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78DE" w14:textId="77777777" w:rsidR="00361442" w:rsidRPr="00BD37EF" w:rsidRDefault="00361442" w:rsidP="00EE18AE">
      <w:pPr>
        <w:pStyle w:val="QuestionNoBR"/>
      </w:pPr>
      <w:r w:rsidRPr="00BD37EF">
        <w:t>QUESTION ITU-R 257-</w:t>
      </w:r>
      <w:r>
        <w:t>2</w:t>
      </w:r>
      <w:r w:rsidRPr="00BD37EF">
        <w:t>/5</w:t>
      </w:r>
    </w:p>
    <w:p w14:paraId="1AB2A3C2" w14:textId="77777777" w:rsidR="00361442" w:rsidRDefault="00361442" w:rsidP="00EE18AE">
      <w:pPr>
        <w:pStyle w:val="Questiondate"/>
        <w:spacing w:before="240"/>
        <w:jc w:val="center"/>
        <w:rPr>
          <w:rFonts w:asciiTheme="majorBidi" w:hAnsiTheme="majorBidi" w:cstheme="majorBidi"/>
          <w:b/>
          <w:i/>
          <w:sz w:val="28"/>
        </w:rPr>
      </w:pPr>
      <w:r w:rsidRPr="00BD37EF">
        <w:rPr>
          <w:rFonts w:asciiTheme="majorBidi" w:hAnsiTheme="majorBidi" w:cstheme="majorBidi"/>
          <w:b/>
          <w:sz w:val="28"/>
        </w:rPr>
        <w:t>Technical and operational characteristics of stations in the fixed service</w:t>
      </w:r>
      <w:r>
        <w:rPr>
          <w:rFonts w:asciiTheme="majorBidi" w:hAnsiTheme="majorBidi" w:cstheme="majorBidi"/>
          <w:b/>
          <w:sz w:val="28"/>
        </w:rPr>
        <w:br/>
      </w:r>
      <w:r w:rsidRPr="00BD37EF">
        <w:rPr>
          <w:rFonts w:asciiTheme="majorBidi" w:hAnsiTheme="majorBidi" w:cstheme="majorBidi"/>
          <w:b/>
          <w:sz w:val="28"/>
        </w:rPr>
        <w:t>in the frequency range 275-1 000 GHz</w:t>
      </w:r>
    </w:p>
    <w:p w14:paraId="52410B6A" w14:textId="77777777" w:rsidR="00361442" w:rsidRPr="00BD37EF" w:rsidRDefault="00361442" w:rsidP="00EE18AE">
      <w:pPr>
        <w:keepNext/>
        <w:keepLines/>
        <w:jc w:val="right"/>
        <w:rPr>
          <w:rFonts w:eastAsia="MS Mincho"/>
          <w:i/>
          <w:sz w:val="22"/>
          <w:szCs w:val="24"/>
        </w:rPr>
      </w:pPr>
      <w:r w:rsidRPr="00BD37EF">
        <w:rPr>
          <w:rFonts w:eastAsia="MS Mincho"/>
          <w:sz w:val="22"/>
          <w:szCs w:val="24"/>
        </w:rPr>
        <w:t>(2015-</w:t>
      </w:r>
      <w:r w:rsidRPr="00D74F6F">
        <w:rPr>
          <w:rFonts w:eastAsia="MS Mincho"/>
          <w:sz w:val="22"/>
          <w:szCs w:val="24"/>
        </w:rPr>
        <w:t>2019-2023)</w:t>
      </w:r>
    </w:p>
    <w:p w14:paraId="245FB55B" w14:textId="77777777" w:rsidR="00361442" w:rsidRPr="00BD37EF" w:rsidRDefault="00361442" w:rsidP="00EE18AE">
      <w:pPr>
        <w:spacing w:before="360"/>
        <w:rPr>
          <w:rFonts w:eastAsia="MS Mincho"/>
        </w:rPr>
      </w:pPr>
      <w:r w:rsidRPr="00BD37EF">
        <w:rPr>
          <w:rFonts w:eastAsia="MS Mincho"/>
        </w:rPr>
        <w:t>The ITU Radiocommunication Assembly,</w:t>
      </w:r>
    </w:p>
    <w:p w14:paraId="06BD215B" w14:textId="77777777" w:rsidR="00361442" w:rsidRPr="00BD37EF" w:rsidRDefault="00361442" w:rsidP="00EE18AE">
      <w:pPr>
        <w:pStyle w:val="Calltimesnewroman"/>
        <w:rPr>
          <w:rFonts w:eastAsia="MS Mincho"/>
          <w:szCs w:val="20"/>
          <w:lang w:val="en-GB"/>
        </w:rPr>
      </w:pPr>
      <w:r w:rsidRPr="00BD37EF">
        <w:t>considering</w:t>
      </w:r>
    </w:p>
    <w:p w14:paraId="20B54380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iCs/>
        </w:rPr>
        <w:t>a)</w:t>
      </w:r>
      <w:r w:rsidRPr="00BD37EF">
        <w:rPr>
          <w:rFonts w:eastAsia="MS Mincho"/>
        </w:rPr>
        <w:tab/>
        <w:t>that the</w:t>
      </w:r>
      <w:r w:rsidRPr="00BD37EF">
        <w:rPr>
          <w:rFonts w:eastAsia="MS Mincho"/>
          <w:lang w:eastAsia="ja-JP"/>
        </w:rPr>
        <w:t xml:space="preserve">re is a growing demand for high speed and large capacity radiocommunications having data rates of several tens of Gbit/s to sometime over 100 Gbit/s for fixed service </w:t>
      </w:r>
      <w:proofErr w:type="gramStart"/>
      <w:r w:rsidRPr="00BD37EF">
        <w:rPr>
          <w:rFonts w:eastAsia="MS Mincho"/>
          <w:lang w:eastAsia="ja-JP"/>
        </w:rPr>
        <w:t>systems</w:t>
      </w:r>
      <w:r w:rsidRPr="00BD37EF">
        <w:rPr>
          <w:rFonts w:eastAsia="MS Mincho"/>
        </w:rPr>
        <w:t>;</w:t>
      </w:r>
      <w:proofErr w:type="gramEnd"/>
    </w:p>
    <w:p w14:paraId="64EB5C1D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i/>
          <w:iCs/>
          <w:lang w:eastAsia="ja-JP"/>
        </w:rPr>
        <w:t>b</w:t>
      </w:r>
      <w:r w:rsidRPr="00BD37EF">
        <w:rPr>
          <w:rFonts w:eastAsia="MS Mincho"/>
          <w:i/>
          <w:iCs/>
        </w:rPr>
        <w:t>)</w:t>
      </w:r>
      <w:r w:rsidRPr="00BD37EF">
        <w:rPr>
          <w:rFonts w:eastAsia="MS Mincho"/>
        </w:rPr>
        <w:tab/>
        <w:t xml:space="preserve">that </w:t>
      </w:r>
      <w:r w:rsidRPr="00BD37EF">
        <w:rPr>
          <w:rFonts w:eastAsia="MS Mincho"/>
          <w:lang w:eastAsia="ja-JP"/>
        </w:rPr>
        <w:t>due to progress in the recent terahertz technologies, the integrated devices and circuits operating above 275 GHz</w:t>
      </w:r>
      <w:r w:rsidRPr="00BD37EF">
        <w:rPr>
          <w:rFonts w:eastAsia="MS Mincho"/>
        </w:rPr>
        <w:t xml:space="preserve"> can </w:t>
      </w:r>
      <w:r w:rsidRPr="00BD37EF">
        <w:rPr>
          <w:rFonts w:eastAsia="MS Mincho"/>
          <w:lang w:eastAsia="ja-JP"/>
        </w:rPr>
        <w:t xml:space="preserve">achieve various sophisticated </w:t>
      </w:r>
      <w:proofErr w:type="gramStart"/>
      <w:r w:rsidRPr="00BD37EF">
        <w:rPr>
          <w:rFonts w:eastAsia="MS Mincho"/>
          <w:lang w:eastAsia="ja-JP"/>
        </w:rPr>
        <w:t>applications</w:t>
      </w:r>
      <w:r w:rsidRPr="00BD37EF">
        <w:rPr>
          <w:rFonts w:eastAsia="MS Mincho"/>
        </w:rPr>
        <w:t>;</w:t>
      </w:r>
      <w:proofErr w:type="gramEnd"/>
    </w:p>
    <w:p w14:paraId="3439C3D7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iCs/>
          <w:lang w:eastAsia="ja-JP"/>
        </w:rPr>
        <w:t>c</w:t>
      </w:r>
      <w:r w:rsidRPr="00BD37EF">
        <w:rPr>
          <w:rFonts w:eastAsia="MS Mincho"/>
          <w:i/>
          <w:iCs/>
        </w:rPr>
        <w:t>)</w:t>
      </w:r>
      <w:r w:rsidRPr="00BD37EF">
        <w:rPr>
          <w:rFonts w:eastAsia="MS Mincho"/>
        </w:rPr>
        <w:tab/>
        <w:t>that the</w:t>
      </w:r>
      <w:r w:rsidRPr="00BD37EF">
        <w:rPr>
          <w:rFonts w:eastAsia="MS Mincho"/>
          <w:lang w:eastAsia="ja-JP"/>
        </w:rPr>
        <w:t xml:space="preserve"> above devices and circuits will be able to provide such high speed and large capacity radiocommunications for fixed service </w:t>
      </w:r>
      <w:proofErr w:type="gramStart"/>
      <w:r w:rsidRPr="00BD37EF">
        <w:rPr>
          <w:rFonts w:eastAsia="MS Mincho"/>
          <w:lang w:eastAsia="ja-JP"/>
        </w:rPr>
        <w:t>systems;</w:t>
      </w:r>
      <w:proofErr w:type="gramEnd"/>
    </w:p>
    <w:p w14:paraId="271AD9E3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lang w:eastAsia="ja-JP"/>
        </w:rPr>
        <w:t>d)</w:t>
      </w:r>
      <w:r w:rsidRPr="00BD37EF">
        <w:rPr>
          <w:rFonts w:eastAsia="MS Mincho"/>
          <w:i/>
          <w:lang w:eastAsia="ja-JP"/>
        </w:rPr>
        <w:tab/>
      </w:r>
      <w:r w:rsidRPr="00BD37EF">
        <w:rPr>
          <w:rFonts w:eastAsia="MS Mincho"/>
          <w:lang w:eastAsia="ja-JP"/>
        </w:rPr>
        <w:t xml:space="preserve">that the traffic demands for backhaul and fronthaul for mobile systems are increasing due to mobile broadband communications such as IMT-Advanced, IMT-2020 and future </w:t>
      </w:r>
      <w:proofErr w:type="gramStart"/>
      <w:r w:rsidRPr="00BD37EF">
        <w:rPr>
          <w:rFonts w:eastAsia="MS Mincho"/>
          <w:lang w:eastAsia="ja-JP"/>
        </w:rPr>
        <w:t>IMT;</w:t>
      </w:r>
      <w:proofErr w:type="gramEnd"/>
    </w:p>
    <w:p w14:paraId="4C259794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i/>
          <w:iCs/>
          <w:lang w:eastAsia="ja-JP"/>
        </w:rPr>
        <w:t>e</w:t>
      </w:r>
      <w:r w:rsidRPr="00BD37EF">
        <w:rPr>
          <w:rFonts w:eastAsia="MS Mincho"/>
          <w:i/>
          <w:iCs/>
        </w:rPr>
        <w:t>)</w:t>
      </w:r>
      <w:r w:rsidRPr="00BD37EF">
        <w:rPr>
          <w:rFonts w:eastAsia="MS Mincho"/>
        </w:rPr>
        <w:tab/>
        <w:t xml:space="preserve">that </w:t>
      </w:r>
      <w:r w:rsidRPr="00BD37EF">
        <w:rPr>
          <w:rFonts w:eastAsia="MS Mincho"/>
          <w:lang w:eastAsia="ja-JP"/>
        </w:rPr>
        <w:t xml:space="preserve">certain parts of </w:t>
      </w:r>
      <w:r w:rsidRPr="00BD37EF">
        <w:rPr>
          <w:rFonts w:eastAsia="MS Mincho"/>
        </w:rPr>
        <w:t>the</w:t>
      </w:r>
      <w:r w:rsidRPr="00BD37EF">
        <w:rPr>
          <w:rFonts w:eastAsia="MS Mincho"/>
          <w:lang w:eastAsia="ja-JP"/>
        </w:rPr>
        <w:t xml:space="preserve"> spectrum in the frequency range 275-1 000 GHz are identified in No. </w:t>
      </w:r>
      <w:r w:rsidRPr="00BD37EF">
        <w:rPr>
          <w:rFonts w:eastAsia="MS Mincho"/>
          <w:b/>
          <w:bCs/>
          <w:lang w:eastAsia="ja-JP"/>
        </w:rPr>
        <w:t>5.565</w:t>
      </w:r>
      <w:r w:rsidRPr="00BD37EF">
        <w:rPr>
          <w:rFonts w:eastAsia="MS Mincho"/>
          <w:lang w:eastAsia="ja-JP"/>
        </w:rPr>
        <w:t xml:space="preserve"> for passive services in the Radio </w:t>
      </w:r>
      <w:proofErr w:type="gramStart"/>
      <w:r w:rsidRPr="00BD37EF">
        <w:rPr>
          <w:rFonts w:eastAsia="MS Mincho"/>
          <w:lang w:eastAsia="ja-JP"/>
        </w:rPr>
        <w:t>Regulations</w:t>
      </w:r>
      <w:r w:rsidRPr="00BD37EF">
        <w:rPr>
          <w:rFonts w:eastAsia="MS Mincho"/>
        </w:rPr>
        <w:t>;</w:t>
      </w:r>
      <w:proofErr w:type="gramEnd"/>
    </w:p>
    <w:p w14:paraId="5934F8DB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lang w:eastAsia="ja-JP"/>
        </w:rPr>
        <w:t>f)</w:t>
      </w:r>
      <w:r w:rsidRPr="00BD37EF">
        <w:rPr>
          <w:rFonts w:eastAsia="MS Mincho"/>
          <w:lang w:eastAsia="ja-JP"/>
        </w:rPr>
        <w:tab/>
        <w:t>that certain parts of spectrum in the frequency range 275-450 GHz are identified in No.</w:t>
      </w:r>
      <w:r>
        <w:rPr>
          <w:rFonts w:eastAsia="MS Mincho"/>
          <w:lang w:eastAsia="ja-JP"/>
        </w:rPr>
        <w:t> </w:t>
      </w:r>
      <w:r w:rsidRPr="000C1AD7">
        <w:rPr>
          <w:rFonts w:eastAsia="MS Mincho"/>
          <w:b/>
          <w:lang w:eastAsia="ja-JP"/>
        </w:rPr>
        <w:t>5.564A</w:t>
      </w:r>
      <w:r w:rsidRPr="00BD37EF">
        <w:rPr>
          <w:rFonts w:eastAsia="MS Mincho"/>
          <w:lang w:eastAsia="ja-JP"/>
        </w:rPr>
        <w:t xml:space="preserve"> for use of fixed and land-mobile service applications, where no specific conditions are necessary to protect Earth exploration-satellite service (passive</w:t>
      </w:r>
      <w:proofErr w:type="gramStart"/>
      <w:r w:rsidRPr="00BD37EF">
        <w:rPr>
          <w:rFonts w:eastAsia="MS Mincho"/>
          <w:lang w:eastAsia="ja-JP"/>
        </w:rPr>
        <w:t>);</w:t>
      </w:r>
      <w:proofErr w:type="gramEnd"/>
    </w:p>
    <w:p w14:paraId="603BDF92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lang w:eastAsia="ja-JP"/>
        </w:rPr>
        <w:t>g)</w:t>
      </w:r>
      <w:r w:rsidRPr="00BD37EF">
        <w:rPr>
          <w:rFonts w:eastAsia="MS Mincho"/>
          <w:i/>
          <w:lang w:eastAsia="ja-JP"/>
        </w:rPr>
        <w:tab/>
      </w:r>
      <w:r w:rsidRPr="000C1AD7">
        <w:rPr>
          <w:rFonts w:eastAsia="MS Mincho"/>
          <w:lang w:eastAsia="ja-JP"/>
        </w:rPr>
        <w:t xml:space="preserve">that </w:t>
      </w:r>
      <w:r w:rsidRPr="00BD37EF">
        <w:rPr>
          <w:rFonts w:eastAsia="MS Mincho"/>
          <w:lang w:eastAsia="ja-JP"/>
        </w:rPr>
        <w:t xml:space="preserve">the use of frequency bands of 275-450 GHz by fixed service applications does not preclude use by, and does not establish priority over, any other applications of radio </w:t>
      </w:r>
      <w:proofErr w:type="gramStart"/>
      <w:r w:rsidRPr="00BD37EF">
        <w:rPr>
          <w:rFonts w:eastAsia="MS Mincho"/>
          <w:lang w:eastAsia="ja-JP"/>
        </w:rPr>
        <w:t>services;</w:t>
      </w:r>
      <w:proofErr w:type="gramEnd"/>
    </w:p>
    <w:p w14:paraId="73FCC119" w14:textId="77777777" w:rsidR="00361442" w:rsidRPr="00BD37EF" w:rsidRDefault="00361442" w:rsidP="00EE18AE">
      <w:pPr>
        <w:rPr>
          <w:rFonts w:eastAsia="MS Mincho"/>
          <w:iCs/>
          <w:lang w:eastAsia="ja-JP"/>
        </w:rPr>
      </w:pPr>
      <w:r w:rsidRPr="00BD37EF">
        <w:rPr>
          <w:rFonts w:eastAsia="MS Mincho"/>
          <w:i/>
          <w:iCs/>
          <w:lang w:eastAsia="ja-JP"/>
        </w:rPr>
        <w:t>h)</w:t>
      </w:r>
      <w:r w:rsidRPr="00BD37EF">
        <w:rPr>
          <w:rFonts w:eastAsia="MS Mincho"/>
          <w:lang w:eastAsia="ja-JP"/>
        </w:rPr>
        <w:tab/>
        <w:t xml:space="preserve">that the technical and operational characteristics of the fixed service need to be specified for sharing and compatibility studies with the passive service applications indicated in </w:t>
      </w:r>
      <w:r w:rsidRPr="00BD37EF">
        <w:rPr>
          <w:rFonts w:eastAsia="MS Mincho"/>
          <w:i/>
          <w:lang w:eastAsia="ja-JP"/>
        </w:rPr>
        <w:t>considering f)</w:t>
      </w:r>
      <w:r w:rsidRPr="00BD37EF">
        <w:rPr>
          <w:rFonts w:eastAsia="MS Mincho"/>
          <w:iCs/>
          <w:lang w:eastAsia="ja-JP"/>
        </w:rPr>
        <w:t>,</w:t>
      </w:r>
    </w:p>
    <w:p w14:paraId="4288CCD9" w14:textId="77777777" w:rsidR="00361442" w:rsidRPr="00BD37EF" w:rsidRDefault="00361442" w:rsidP="005B2D6A">
      <w:pPr>
        <w:pStyle w:val="Calltimesnewroman"/>
        <w:rPr>
          <w:lang w:val="en-GB" w:eastAsia="ja-JP"/>
        </w:rPr>
      </w:pPr>
      <w:r w:rsidRPr="00BD37EF">
        <w:rPr>
          <w:lang w:val="en-GB" w:eastAsia="ja-JP"/>
        </w:rPr>
        <w:t>noting</w:t>
      </w:r>
    </w:p>
    <w:p w14:paraId="152788E9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iCs/>
        </w:rPr>
        <w:t>a)</w:t>
      </w:r>
      <w:r w:rsidRPr="00BD37EF">
        <w:rPr>
          <w:rFonts w:eastAsia="MS Mincho"/>
        </w:rPr>
        <w:tab/>
        <w:t xml:space="preserve">that </w:t>
      </w:r>
      <w:r w:rsidRPr="00BD37EF">
        <w:rPr>
          <w:rFonts w:eastAsia="MS Mincho"/>
          <w:lang w:eastAsia="ja-JP"/>
        </w:rPr>
        <w:t xml:space="preserve">Report ITU-R SM.2352 provides the technology trends of active services in the frequency range 275-3 000 </w:t>
      </w:r>
      <w:proofErr w:type="gramStart"/>
      <w:r w:rsidRPr="00BD37EF">
        <w:rPr>
          <w:rFonts w:eastAsia="MS Mincho"/>
          <w:lang w:eastAsia="ja-JP"/>
        </w:rPr>
        <w:t>GHz;</w:t>
      </w:r>
      <w:proofErr w:type="gramEnd"/>
    </w:p>
    <w:p w14:paraId="28BC1196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iCs/>
          <w:lang w:eastAsia="ja-JP"/>
        </w:rPr>
        <w:t>b</w:t>
      </w:r>
      <w:r w:rsidRPr="00BD37EF">
        <w:rPr>
          <w:rFonts w:eastAsia="MS Mincho"/>
          <w:i/>
          <w:iCs/>
        </w:rPr>
        <w:t>)</w:t>
      </w:r>
      <w:r w:rsidRPr="00BD37EF">
        <w:rPr>
          <w:rFonts w:eastAsia="MS Mincho"/>
        </w:rPr>
        <w:tab/>
      </w:r>
      <w:r w:rsidRPr="00BD37EF">
        <w:rPr>
          <w:rFonts w:eastAsia="MS Mincho"/>
          <w:lang w:eastAsia="ja-JP"/>
        </w:rPr>
        <w:t xml:space="preserve">that Report ITU-R F.2323 provides guidance on the future development of the fixed service operating in the millimetric-wave </w:t>
      </w:r>
      <w:proofErr w:type="gramStart"/>
      <w:r w:rsidRPr="00BD37EF">
        <w:rPr>
          <w:rFonts w:eastAsia="MS Mincho"/>
          <w:lang w:eastAsia="ja-JP"/>
        </w:rPr>
        <w:t>band;</w:t>
      </w:r>
      <w:proofErr w:type="gramEnd"/>
    </w:p>
    <w:p w14:paraId="51FB7125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iCs/>
          <w:lang w:eastAsia="ja-JP"/>
        </w:rPr>
        <w:t>c</w:t>
      </w:r>
      <w:r w:rsidRPr="00BD37EF">
        <w:rPr>
          <w:rFonts w:eastAsia="MS Mincho"/>
          <w:i/>
          <w:iCs/>
        </w:rPr>
        <w:t>)</w:t>
      </w:r>
      <w:r w:rsidRPr="00BD37EF">
        <w:rPr>
          <w:rFonts w:eastAsia="MS Mincho"/>
        </w:rPr>
        <w:tab/>
      </w:r>
      <w:r w:rsidRPr="00BD37EF">
        <w:rPr>
          <w:rFonts w:eastAsia="MS Mincho"/>
          <w:lang w:eastAsia="ja-JP"/>
        </w:rPr>
        <w:t xml:space="preserve">that Report ITU-R RA.2189 initiated sharing studies between radio astronomy service and active services in the frequency range 275-3 000 </w:t>
      </w:r>
      <w:proofErr w:type="gramStart"/>
      <w:r w:rsidRPr="00BD37EF">
        <w:rPr>
          <w:rFonts w:eastAsia="MS Mincho"/>
          <w:lang w:eastAsia="ja-JP"/>
        </w:rPr>
        <w:t>GHz;</w:t>
      </w:r>
      <w:proofErr w:type="gramEnd"/>
    </w:p>
    <w:p w14:paraId="3630877C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i/>
          <w:lang w:eastAsia="ja-JP"/>
        </w:rPr>
        <w:t>d)</w:t>
      </w:r>
      <w:r w:rsidRPr="00BD37EF">
        <w:rPr>
          <w:rFonts w:eastAsia="MS Mincho"/>
          <w:lang w:eastAsia="ja-JP"/>
        </w:rPr>
        <w:tab/>
        <w:t xml:space="preserve">that Report ITU-R F.2416 provides technical and operational characteristics and applications of the point-to-point fixed service operating in the frequency band 275-450 </w:t>
      </w:r>
      <w:proofErr w:type="gramStart"/>
      <w:r w:rsidRPr="00BD37EF">
        <w:rPr>
          <w:rFonts w:eastAsia="MS Mincho"/>
          <w:lang w:eastAsia="ja-JP"/>
        </w:rPr>
        <w:t>GHz;</w:t>
      </w:r>
      <w:proofErr w:type="gramEnd"/>
      <w:r w:rsidRPr="00BD37EF">
        <w:rPr>
          <w:rFonts w:eastAsia="MS Mincho"/>
          <w:lang w:eastAsia="ja-JP"/>
        </w:rPr>
        <w:t xml:space="preserve"> </w:t>
      </w:r>
    </w:p>
    <w:p w14:paraId="7ECA813A" w14:textId="77777777" w:rsidR="00361442" w:rsidRPr="00B90595" w:rsidRDefault="00361442" w:rsidP="00B90595">
      <w:pPr>
        <w:rPr>
          <w:rFonts w:eastAsia="MS Mincho"/>
          <w:i/>
          <w:lang w:eastAsia="ja-JP"/>
        </w:rPr>
      </w:pPr>
      <w:r w:rsidRPr="00B90595">
        <w:rPr>
          <w:rFonts w:eastAsia="MS Mincho"/>
          <w:i/>
          <w:lang w:eastAsia="ja-JP"/>
        </w:rPr>
        <w:t>e)</w:t>
      </w:r>
      <w:r w:rsidRPr="00B90595">
        <w:rPr>
          <w:rFonts w:eastAsia="MS Mincho"/>
          <w:i/>
          <w:lang w:eastAsia="ja-JP"/>
        </w:rPr>
        <w:tab/>
      </w:r>
      <w:r w:rsidRPr="00B90595">
        <w:rPr>
          <w:rFonts w:eastAsia="MS Mincho"/>
          <w:lang w:eastAsia="ja-JP"/>
        </w:rPr>
        <w:t>that Report ITU-R M.2417 provides technical and operational characteristics of land</w:t>
      </w:r>
      <w:r w:rsidRPr="00B90595">
        <w:rPr>
          <w:rFonts w:eastAsia="MS Mincho"/>
          <w:lang w:eastAsia="ja-JP"/>
        </w:rPr>
        <w:noBreakHyphen/>
        <w:t xml:space="preserve">mobile service applications in the frequency range 275-450 </w:t>
      </w:r>
      <w:proofErr w:type="gramStart"/>
      <w:r w:rsidRPr="00B90595">
        <w:rPr>
          <w:rFonts w:eastAsia="MS Mincho"/>
          <w:lang w:eastAsia="ja-JP"/>
        </w:rPr>
        <w:t>GHz;</w:t>
      </w:r>
      <w:proofErr w:type="gramEnd"/>
    </w:p>
    <w:p w14:paraId="39CC7E77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i/>
          <w:iCs/>
        </w:rPr>
        <w:t>f)</w:t>
      </w:r>
      <w:r w:rsidRPr="00BD37EF">
        <w:rPr>
          <w:rFonts w:eastAsia="MS Mincho"/>
        </w:rPr>
        <w:tab/>
      </w:r>
      <w:r w:rsidRPr="00BD37EF">
        <w:rPr>
          <w:rFonts w:eastAsia="MS Mincho"/>
          <w:lang w:eastAsia="ja-JP"/>
        </w:rPr>
        <w:t xml:space="preserve">that </w:t>
      </w:r>
      <w:r w:rsidRPr="00BD37EF">
        <w:rPr>
          <w:rFonts w:eastAsia="MS Mincho"/>
          <w:lang w:eastAsia="zh-CN"/>
        </w:rPr>
        <w:t xml:space="preserve">Report ITU-R RS.2431 </w:t>
      </w:r>
      <w:r w:rsidRPr="00BD37EF">
        <w:rPr>
          <w:rFonts w:eastAsia="MS Mincho"/>
        </w:rPr>
        <w:t>provides the technical and operational characteristics of Earth</w:t>
      </w:r>
      <w:r>
        <w:rPr>
          <w:rFonts w:eastAsia="MS Mincho"/>
        </w:rPr>
        <w:t> </w:t>
      </w:r>
      <w:r w:rsidRPr="00BD37EF">
        <w:rPr>
          <w:rFonts w:eastAsia="MS Mincho"/>
        </w:rPr>
        <w:t xml:space="preserve">Observation (passive) sensors in the frequency range 275-450 </w:t>
      </w:r>
      <w:proofErr w:type="gramStart"/>
      <w:r w:rsidRPr="00BD37EF">
        <w:rPr>
          <w:rFonts w:eastAsia="MS Mincho"/>
        </w:rPr>
        <w:t>GHz;</w:t>
      </w:r>
      <w:proofErr w:type="gramEnd"/>
    </w:p>
    <w:p w14:paraId="751C6063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i/>
          <w:iCs/>
          <w:lang w:eastAsia="ja-JP"/>
        </w:rPr>
        <w:lastRenderedPageBreak/>
        <w:t>g)</w:t>
      </w:r>
      <w:r w:rsidRPr="00BD37EF">
        <w:rPr>
          <w:rFonts w:eastAsia="MS Mincho"/>
          <w:lang w:eastAsia="ja-JP"/>
        </w:rPr>
        <w:tab/>
        <w:t xml:space="preserve">that Report ITU-R SM.2450 provides sharing and compatibility studies between in the land-mobile, </w:t>
      </w:r>
      <w:proofErr w:type="gramStart"/>
      <w:r w:rsidRPr="00BD37EF">
        <w:rPr>
          <w:rFonts w:eastAsia="MS Mincho"/>
          <w:lang w:eastAsia="ja-JP"/>
        </w:rPr>
        <w:t>fixed</w:t>
      </w:r>
      <w:proofErr w:type="gramEnd"/>
      <w:r w:rsidRPr="00BD37EF">
        <w:rPr>
          <w:rFonts w:eastAsia="MS Mincho"/>
          <w:lang w:eastAsia="ja-JP"/>
        </w:rPr>
        <w:t xml:space="preserve"> and passive services in the frequency range 275-450 GHz,</w:t>
      </w:r>
    </w:p>
    <w:p w14:paraId="5CAAA8E7" w14:textId="77777777" w:rsidR="00361442" w:rsidRPr="00BD37EF" w:rsidRDefault="00361442" w:rsidP="005B2D6A">
      <w:pPr>
        <w:pStyle w:val="Calltimesnewroman"/>
        <w:rPr>
          <w:iCs/>
          <w:lang w:val="en-GB"/>
        </w:rPr>
      </w:pPr>
      <w:r w:rsidRPr="00BD37EF">
        <w:rPr>
          <w:lang w:val="en-GB"/>
        </w:rPr>
        <w:t>decides</w:t>
      </w:r>
      <w:r w:rsidRPr="00BD37EF">
        <w:rPr>
          <w:iCs/>
          <w:lang w:val="en-GB"/>
        </w:rPr>
        <w:t xml:space="preserve"> </w:t>
      </w:r>
      <w:r w:rsidRPr="005B2D6A">
        <w:rPr>
          <w:i w:val="0"/>
          <w:iCs/>
          <w:lang w:val="en-GB"/>
        </w:rPr>
        <w:t>that the following Question should be studied</w:t>
      </w:r>
    </w:p>
    <w:p w14:paraId="1A1E9856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</w:rPr>
        <w:t xml:space="preserve">What are the technical </w:t>
      </w:r>
      <w:r w:rsidRPr="00BD37EF">
        <w:rPr>
          <w:rFonts w:eastAsia="MS Mincho"/>
          <w:lang w:eastAsia="ja-JP"/>
        </w:rPr>
        <w:t>and operational characteristics of the fixed service in the frequency range 275</w:t>
      </w:r>
      <w:r w:rsidRPr="00BD37EF">
        <w:rPr>
          <w:rFonts w:eastAsia="MS Mincho"/>
          <w:lang w:eastAsia="ja-JP"/>
        </w:rPr>
        <w:noBreakHyphen/>
        <w:t>1 000 GHz</w:t>
      </w:r>
      <w:r w:rsidRPr="00BD37EF">
        <w:rPr>
          <w:rFonts w:eastAsia="MS Mincho"/>
        </w:rPr>
        <w:t>?</w:t>
      </w:r>
    </w:p>
    <w:p w14:paraId="22C6DCBB" w14:textId="77777777" w:rsidR="00361442" w:rsidRPr="00BD37EF" w:rsidRDefault="00361442" w:rsidP="005B2D6A">
      <w:pPr>
        <w:pStyle w:val="Calltimesnewroman"/>
        <w:rPr>
          <w:lang w:val="en-GB"/>
        </w:rPr>
      </w:pPr>
      <w:r w:rsidRPr="005B2D6A">
        <w:t>further</w:t>
      </w:r>
      <w:r w:rsidRPr="00BD37EF">
        <w:rPr>
          <w:lang w:val="en-GB"/>
        </w:rPr>
        <w:t xml:space="preserve"> decides</w:t>
      </w:r>
    </w:p>
    <w:p w14:paraId="420EC255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lang w:eastAsia="ja-JP"/>
        </w:rPr>
        <w:t>1</w:t>
      </w:r>
      <w:r w:rsidRPr="00BD37EF">
        <w:rPr>
          <w:rFonts w:eastAsia="MS Mincho"/>
        </w:rPr>
        <w:tab/>
      </w:r>
      <w:r w:rsidRPr="00BD37EF">
        <w:rPr>
          <w:rFonts w:eastAsia="MS Mincho"/>
          <w:lang w:eastAsia="ja-JP"/>
        </w:rPr>
        <w:t xml:space="preserve">that sharing studies between the fixed and passive services, as well as the fixed and other active services should be carried out taking into account the characteristics mentioned in </w:t>
      </w:r>
      <w:proofErr w:type="gramStart"/>
      <w:r w:rsidRPr="00BD37EF">
        <w:rPr>
          <w:rFonts w:eastAsia="MS Mincho"/>
          <w:i/>
          <w:lang w:eastAsia="ja-JP"/>
        </w:rPr>
        <w:t>decides</w:t>
      </w:r>
      <w:r w:rsidRPr="00BD37EF">
        <w:rPr>
          <w:rFonts w:eastAsia="MS Mincho"/>
          <w:lang w:eastAsia="ja-JP"/>
        </w:rPr>
        <w:t>;</w:t>
      </w:r>
      <w:proofErr w:type="gramEnd"/>
    </w:p>
    <w:p w14:paraId="4B420CE5" w14:textId="77777777" w:rsidR="00361442" w:rsidRPr="00BD37EF" w:rsidRDefault="00361442" w:rsidP="00EE18AE">
      <w:pPr>
        <w:rPr>
          <w:rFonts w:eastAsia="MS Mincho"/>
          <w:lang w:eastAsia="ja-JP"/>
        </w:rPr>
      </w:pPr>
      <w:r w:rsidRPr="00BD37EF">
        <w:rPr>
          <w:rFonts w:eastAsia="MS Mincho"/>
          <w:lang w:eastAsia="ja-JP"/>
        </w:rPr>
        <w:t>2</w:t>
      </w:r>
      <w:r w:rsidRPr="00BD37EF">
        <w:rPr>
          <w:rFonts w:eastAsia="MS Mincho"/>
        </w:rPr>
        <w:tab/>
        <w:t xml:space="preserve">that the results of studies </w:t>
      </w:r>
      <w:r w:rsidRPr="00BD37EF">
        <w:rPr>
          <w:rFonts w:eastAsia="MS Mincho"/>
          <w:lang w:eastAsia="ja-JP"/>
        </w:rPr>
        <w:t xml:space="preserve">in the frequency range </w:t>
      </w:r>
      <w:r w:rsidRPr="00BD37EF">
        <w:rPr>
          <w:rFonts w:eastAsia="MS Mincho"/>
        </w:rPr>
        <w:t>275</w:t>
      </w:r>
      <w:r w:rsidRPr="00BD37EF">
        <w:rPr>
          <w:rFonts w:eastAsia="MS Mincho"/>
          <w:lang w:eastAsia="ja-JP"/>
        </w:rPr>
        <w:t>-1 000</w:t>
      </w:r>
      <w:r w:rsidRPr="00BD37EF">
        <w:rPr>
          <w:rFonts w:eastAsia="MS Mincho"/>
        </w:rPr>
        <w:t xml:space="preserve"> GHz should be brought to the attention of the other Study </w:t>
      </w:r>
      <w:proofErr w:type="gramStart"/>
      <w:r w:rsidRPr="00BD37EF">
        <w:rPr>
          <w:rFonts w:eastAsia="MS Mincho"/>
        </w:rPr>
        <w:t>Groups;</w:t>
      </w:r>
      <w:proofErr w:type="gramEnd"/>
    </w:p>
    <w:p w14:paraId="3FF59B1D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lang w:eastAsia="ja-JP"/>
        </w:rPr>
        <w:t>3</w:t>
      </w:r>
      <w:r w:rsidRPr="00BD37EF">
        <w:rPr>
          <w:rFonts w:eastAsia="MS Mincho"/>
        </w:rPr>
        <w:tab/>
        <w:t xml:space="preserve">that the results of the above studies should be included in one or more Recommendations, Reports, or </w:t>
      </w:r>
      <w:proofErr w:type="gramStart"/>
      <w:r w:rsidRPr="00BD37EF">
        <w:rPr>
          <w:rFonts w:eastAsia="MS Mincho"/>
        </w:rPr>
        <w:t>Handbooks;</w:t>
      </w:r>
      <w:proofErr w:type="gramEnd"/>
    </w:p>
    <w:p w14:paraId="4C4C6CEB" w14:textId="77777777" w:rsidR="00361442" w:rsidRPr="00BD37EF" w:rsidRDefault="00361442" w:rsidP="00EE18AE">
      <w:pPr>
        <w:rPr>
          <w:rFonts w:eastAsia="MS Mincho"/>
        </w:rPr>
      </w:pPr>
      <w:r w:rsidRPr="00BD37EF">
        <w:rPr>
          <w:rFonts w:eastAsia="MS Mincho"/>
          <w:lang w:eastAsia="ja-JP"/>
        </w:rPr>
        <w:t>4</w:t>
      </w:r>
      <w:r w:rsidRPr="00BD37EF">
        <w:rPr>
          <w:rFonts w:eastAsia="MS Mincho"/>
        </w:rPr>
        <w:tab/>
        <w:t>that the above studies should be completed by 2027.</w:t>
      </w:r>
    </w:p>
    <w:p w14:paraId="2AFB54DB" w14:textId="77777777" w:rsidR="00361442" w:rsidRPr="00BD37EF" w:rsidRDefault="00361442" w:rsidP="00EE18AE">
      <w:pPr>
        <w:spacing w:before="480"/>
        <w:rPr>
          <w:rFonts w:eastAsia="MS Mincho"/>
          <w:lang w:eastAsia="ja-JP"/>
        </w:rPr>
      </w:pPr>
      <w:r w:rsidRPr="00BD37EF">
        <w:rPr>
          <w:rFonts w:eastAsia="MS Mincho"/>
          <w:lang w:eastAsia="ja-JP"/>
        </w:rPr>
        <w:t>Category:  S2</w:t>
      </w:r>
    </w:p>
    <w:p w14:paraId="06F3151A" w14:textId="1C008D09" w:rsidR="00361442" w:rsidRDefault="00361442" w:rsidP="00EE18AE">
      <w:pPr>
        <w:overflowPunct/>
        <w:autoSpaceDE/>
        <w:autoSpaceDN/>
        <w:adjustRightInd/>
        <w:spacing w:before="0"/>
        <w:textAlignment w:val="auto"/>
        <w:rPr>
          <w:i/>
          <w:iCs/>
          <w:highlight w:val="yellow"/>
        </w:rPr>
      </w:pPr>
    </w:p>
    <w:sectPr w:rsidR="00361442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4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61442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D14F4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36144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61442"/>
    <w:pPr>
      <w:tabs>
        <w:tab w:val="clear" w:pos="1134"/>
        <w:tab w:val="clear" w:pos="1871"/>
        <w:tab w:val="clear" w:pos="2268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361442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3614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TabletextChar">
    <w:name w:val="Table_text Char"/>
    <w:link w:val="Tabletext"/>
    <w:uiPriority w:val="99"/>
    <w:locked/>
    <w:rsid w:val="00361442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1442"/>
    <w:rPr>
      <w:rFonts w:ascii="Times New Roman Bold" w:hAnsi="Times New Roman Bold" w:cs="Times New Roman Bold"/>
      <w:b/>
      <w:lang w:val="en-GB" w:eastAsia="en-US"/>
    </w:rPr>
  </w:style>
  <w:style w:type="paragraph" w:customStyle="1" w:styleId="Calltimesnewroman">
    <w:name w:val="Call + times new roman"/>
    <w:basedOn w:val="Normal"/>
    <w:rsid w:val="00361442"/>
    <w:pPr>
      <w:keepNext/>
      <w:keepLines/>
      <w:spacing w:before="160"/>
      <w:ind w:left="1134"/>
    </w:pPr>
    <w:rPr>
      <w:rFonts w:eastAsiaTheme="minorEastAsia"/>
      <w:i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14</TotalTime>
  <Pages>2</Pages>
  <Words>519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ITU</cp:lastModifiedBy>
  <cp:revision>16</cp:revision>
  <cp:lastPrinted>2008-02-21T14:04:00Z</cp:lastPrinted>
  <dcterms:created xsi:type="dcterms:W3CDTF">2023-08-29T10:07:00Z</dcterms:created>
  <dcterms:modified xsi:type="dcterms:W3CDTF">2024-01-18T13:59:00Z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