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8E62" w14:textId="297690E0" w:rsidR="0026697E" w:rsidRPr="00611B8B" w:rsidRDefault="0026697E" w:rsidP="0026697E">
      <w:pPr>
        <w:tabs>
          <w:tab w:val="center" w:pos="4819"/>
        </w:tabs>
        <w:spacing w:before="400"/>
        <w:jc w:val="center"/>
        <w:rPr>
          <w:caps/>
          <w:sz w:val="28"/>
          <w:szCs w:val="20"/>
          <w:lang w:val="en-GB" w:eastAsia="ja-JP"/>
        </w:rPr>
      </w:pPr>
      <w:r w:rsidRPr="00611B8B">
        <w:rPr>
          <w:caps/>
          <w:sz w:val="28"/>
          <w:szCs w:val="20"/>
          <w:lang w:val="en-GB" w:eastAsia="ja-JP"/>
        </w:rPr>
        <w:t>ITU-R 257</w:t>
      </w:r>
      <w:r w:rsidR="00F873B0">
        <w:rPr>
          <w:caps/>
          <w:sz w:val="28"/>
          <w:szCs w:val="20"/>
          <w:lang w:val="en-GB" w:eastAsia="ja-JP"/>
        </w:rPr>
        <w:t>-1</w:t>
      </w:r>
      <w:r w:rsidRPr="00611B8B">
        <w:rPr>
          <w:caps/>
          <w:sz w:val="28"/>
          <w:szCs w:val="20"/>
          <w:lang w:val="en-GB" w:eastAsia="ja-JP"/>
        </w:rPr>
        <w:t>/5</w:t>
      </w:r>
      <w:r w:rsidRPr="00611B8B">
        <w:rPr>
          <w:rFonts w:hint="eastAsia"/>
          <w:caps/>
          <w:sz w:val="28"/>
          <w:szCs w:val="20"/>
          <w:lang w:val="en-GB" w:eastAsia="ja-JP"/>
        </w:rPr>
        <w:t>号课题</w:t>
      </w:r>
    </w:p>
    <w:p w14:paraId="1E20090A" w14:textId="77777777" w:rsidR="0026697E" w:rsidRPr="00611B8B" w:rsidRDefault="0026697E" w:rsidP="0026697E">
      <w:pPr>
        <w:pStyle w:val="Questiontitle"/>
        <w:rPr>
          <w:lang w:eastAsia="zh-CN"/>
        </w:rPr>
      </w:pPr>
      <w:r w:rsidRPr="00611B8B">
        <w:rPr>
          <w:lang w:eastAsia="ja-JP"/>
        </w:rPr>
        <w:t>275-1 000 GHz</w:t>
      </w:r>
      <w:r w:rsidRPr="00611B8B">
        <w:rPr>
          <w:rFonts w:hint="eastAsia"/>
          <w:lang w:eastAsia="zh-CN"/>
        </w:rPr>
        <w:t>频率范围内固定业务台站的技术和操作特性</w:t>
      </w:r>
    </w:p>
    <w:p w14:paraId="4E078A64" w14:textId="77777777" w:rsidR="0026697E" w:rsidRPr="00EE4D9B" w:rsidRDefault="0026697E" w:rsidP="0026697E">
      <w:pPr>
        <w:pStyle w:val="Questiondate"/>
        <w:rPr>
          <w:i w:val="0"/>
          <w:iCs/>
          <w:szCs w:val="20"/>
          <w:lang w:eastAsia="zh-CN"/>
          <w:rPrChange w:id="0" w:author="Yu, Yan" w:date="2019-11-21T14:40:00Z">
            <w:rPr>
              <w:szCs w:val="20"/>
              <w:lang w:eastAsia="zh-CN"/>
            </w:rPr>
          </w:rPrChange>
        </w:rPr>
      </w:pPr>
      <w:r w:rsidRPr="00EE4D9B">
        <w:rPr>
          <w:rFonts w:hint="eastAsia"/>
          <w:i w:val="0"/>
          <w:iCs/>
          <w:lang w:eastAsia="zh-CN"/>
          <w:rPrChange w:id="1" w:author="Yu, Yan" w:date="2019-11-21T14:40:00Z">
            <w:rPr>
              <w:rFonts w:hint="eastAsia"/>
              <w:lang w:eastAsia="zh-CN"/>
            </w:rPr>
          </w:rPrChange>
        </w:rPr>
        <w:t>（</w:t>
      </w:r>
      <w:r w:rsidRPr="00EE4D9B">
        <w:rPr>
          <w:i w:val="0"/>
          <w:iCs/>
          <w:lang w:eastAsia="zh-CN"/>
          <w:rPrChange w:id="2" w:author="Yu, Yan" w:date="2019-11-21T14:40:00Z">
            <w:rPr>
              <w:lang w:eastAsia="zh-CN"/>
            </w:rPr>
          </w:rPrChange>
        </w:rPr>
        <w:t>2015-2019</w:t>
      </w:r>
      <w:r w:rsidRPr="00EE4D9B">
        <w:rPr>
          <w:rFonts w:hint="eastAsia"/>
          <w:i w:val="0"/>
          <w:iCs/>
          <w:lang w:eastAsia="zh-CN"/>
          <w:rPrChange w:id="3" w:author="Yu, Yan" w:date="2019-11-21T14:40:00Z">
            <w:rPr>
              <w:rFonts w:hint="eastAsia"/>
              <w:lang w:eastAsia="zh-CN"/>
            </w:rPr>
          </w:rPrChange>
        </w:rPr>
        <w:t>年）</w:t>
      </w:r>
    </w:p>
    <w:p w14:paraId="1254FC4B" w14:textId="77777777" w:rsidR="0026697E" w:rsidRPr="005B1144" w:rsidRDefault="0026697E" w:rsidP="0026697E">
      <w:pPr>
        <w:pStyle w:val="Normalaftertitle0"/>
        <w:tabs>
          <w:tab w:val="clear" w:pos="794"/>
          <w:tab w:val="clear" w:pos="1191"/>
          <w:tab w:val="clear" w:pos="1588"/>
          <w:tab w:val="clear" w:pos="1985"/>
          <w:tab w:val="left" w:pos="1134"/>
          <w:tab w:val="left" w:pos="1871"/>
          <w:tab w:val="left" w:pos="2268"/>
        </w:tabs>
        <w:spacing w:before="280"/>
        <w:textAlignment w:val="baseline"/>
        <w:rPr>
          <w:rFonts w:asciiTheme="minorEastAsia" w:eastAsiaTheme="minorEastAsia" w:hAnsiTheme="minorEastAsia" w:cstheme="minorHAnsi"/>
          <w:lang w:val="fr-FR" w:eastAsia="zh-CN"/>
        </w:rPr>
      </w:pPr>
      <w:r w:rsidRPr="005B1144">
        <w:rPr>
          <w:rFonts w:asciiTheme="minorEastAsia" w:eastAsiaTheme="minorEastAsia" w:hAnsiTheme="minorEastAsia" w:cs="Microsoft YaHei" w:hint="eastAsia"/>
          <w:lang w:val="fr-FR" w:eastAsia="zh-CN"/>
        </w:rPr>
        <w:t>国际电联无线电通信全会</w:t>
      </w:r>
      <w:r>
        <w:rPr>
          <w:rFonts w:asciiTheme="minorEastAsia" w:eastAsiaTheme="minorEastAsia" w:hAnsiTheme="minorEastAsia" w:cs="Microsoft YaHei" w:hint="eastAsia"/>
          <w:lang w:val="fr-FR" w:eastAsia="zh-CN"/>
        </w:rPr>
        <w:t>，</w:t>
      </w:r>
    </w:p>
    <w:p w14:paraId="615F742E"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25F8E5A0"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i/>
          <w:iCs/>
          <w:szCs w:val="20"/>
          <w:lang w:val="en-GB" w:eastAsia="zh-CN"/>
        </w:rPr>
        <w:t>a)</w:t>
      </w:r>
      <w:r w:rsidRPr="00611B8B">
        <w:rPr>
          <w:szCs w:val="20"/>
          <w:lang w:val="en-GB" w:eastAsia="zh-CN"/>
        </w:rPr>
        <w:tab/>
      </w:r>
      <w:r w:rsidRPr="00611B8B">
        <w:rPr>
          <w:rFonts w:hint="eastAsia"/>
          <w:szCs w:val="20"/>
          <w:lang w:val="en-GB" w:eastAsia="zh-CN"/>
        </w:rPr>
        <w:t>对用于陆地移动业务应用、数据速率在几十</w:t>
      </w:r>
      <w:r w:rsidRPr="00611B8B">
        <w:rPr>
          <w:rFonts w:hint="eastAsia"/>
          <w:szCs w:val="20"/>
          <w:lang w:val="en-GB" w:eastAsia="ja-JP"/>
        </w:rPr>
        <w:t>Gb</w:t>
      </w:r>
      <w:r w:rsidRPr="00611B8B">
        <w:rPr>
          <w:szCs w:val="20"/>
          <w:lang w:val="en-GB" w:eastAsia="ja-JP"/>
        </w:rPr>
        <w:t>it/s</w:t>
      </w:r>
      <w:r w:rsidRPr="00611B8B">
        <w:rPr>
          <w:rFonts w:hint="eastAsia"/>
          <w:szCs w:val="20"/>
          <w:lang w:val="en-GB" w:eastAsia="zh-CN"/>
        </w:rPr>
        <w:t>至某些时候</w:t>
      </w:r>
      <w:r w:rsidRPr="00611B8B">
        <w:rPr>
          <w:rFonts w:hint="eastAsia"/>
          <w:szCs w:val="20"/>
          <w:lang w:val="en-GB" w:eastAsia="zh-CN"/>
        </w:rPr>
        <w:t>100</w:t>
      </w:r>
      <w:r w:rsidRPr="00611B8B">
        <w:rPr>
          <w:szCs w:val="20"/>
          <w:lang w:val="en-GB" w:eastAsia="zh-CN"/>
        </w:rPr>
        <w:t> </w:t>
      </w:r>
      <w:r w:rsidRPr="00611B8B">
        <w:rPr>
          <w:rFonts w:hint="eastAsia"/>
          <w:szCs w:val="20"/>
          <w:lang w:val="en-GB" w:eastAsia="ja-JP"/>
        </w:rPr>
        <w:t>Gb</w:t>
      </w:r>
      <w:r w:rsidRPr="00611B8B">
        <w:rPr>
          <w:szCs w:val="20"/>
          <w:lang w:val="en-GB" w:eastAsia="ja-JP"/>
        </w:rPr>
        <w:t>it/</w:t>
      </w:r>
      <w:r w:rsidRPr="00611B8B">
        <w:rPr>
          <w:rFonts w:hint="eastAsia"/>
          <w:szCs w:val="20"/>
          <w:lang w:val="en-GB" w:eastAsia="ja-JP"/>
        </w:rPr>
        <w:t>s</w:t>
      </w:r>
      <w:r w:rsidRPr="00611B8B">
        <w:rPr>
          <w:rFonts w:hint="eastAsia"/>
          <w:szCs w:val="20"/>
          <w:lang w:val="en-GB" w:eastAsia="zh-CN"/>
        </w:rPr>
        <w:t>以上的高速大容量无线电通信的需求日益增长；</w:t>
      </w:r>
    </w:p>
    <w:p w14:paraId="588DE797"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611B8B">
        <w:rPr>
          <w:rFonts w:hint="eastAsia"/>
          <w:i/>
          <w:iCs/>
          <w:szCs w:val="20"/>
          <w:lang w:val="en-GB" w:eastAsia="ja-JP"/>
        </w:rPr>
        <w:t>b</w:t>
      </w:r>
      <w:r w:rsidRPr="00611B8B">
        <w:rPr>
          <w:i/>
          <w:iCs/>
          <w:szCs w:val="20"/>
          <w:lang w:val="en-GB" w:eastAsia="zh-CN"/>
        </w:rPr>
        <w:t>)</w:t>
      </w:r>
      <w:r w:rsidRPr="00611B8B">
        <w:rPr>
          <w:szCs w:val="20"/>
          <w:lang w:val="en-GB" w:eastAsia="zh-CN"/>
        </w:rPr>
        <w:tab/>
      </w:r>
      <w:r w:rsidRPr="00611B8B">
        <w:rPr>
          <w:rFonts w:hint="eastAsia"/>
          <w:szCs w:val="20"/>
          <w:lang w:val="en-GB" w:eastAsia="zh-CN"/>
        </w:rPr>
        <w:t>由于近期太赫技术的发展，在</w:t>
      </w:r>
      <w:r w:rsidRPr="00611B8B">
        <w:rPr>
          <w:rFonts w:hint="eastAsia"/>
          <w:szCs w:val="20"/>
          <w:lang w:val="en-GB" w:eastAsia="ja-JP"/>
        </w:rPr>
        <w:t>275 GHz</w:t>
      </w:r>
      <w:r w:rsidRPr="00611B8B">
        <w:rPr>
          <w:rFonts w:hint="eastAsia"/>
          <w:szCs w:val="20"/>
          <w:lang w:val="en-GB" w:eastAsia="zh-CN"/>
        </w:rPr>
        <w:t>以上操作的集成器件和电路可实现各种复杂的应用；</w:t>
      </w:r>
    </w:p>
    <w:p w14:paraId="56FA7C19"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rFonts w:hint="eastAsia"/>
          <w:i/>
          <w:iCs/>
          <w:szCs w:val="20"/>
          <w:lang w:val="en-GB" w:eastAsia="ja-JP"/>
        </w:rPr>
        <w:t>c</w:t>
      </w:r>
      <w:r w:rsidRPr="00611B8B">
        <w:rPr>
          <w:i/>
          <w:iCs/>
          <w:szCs w:val="20"/>
          <w:lang w:val="en-GB" w:eastAsia="zh-CN"/>
        </w:rPr>
        <w:t>)</w:t>
      </w:r>
      <w:r w:rsidRPr="00611B8B">
        <w:rPr>
          <w:szCs w:val="20"/>
          <w:lang w:val="en-GB" w:eastAsia="zh-CN"/>
        </w:rPr>
        <w:tab/>
      </w:r>
      <w:r w:rsidRPr="00611B8B">
        <w:rPr>
          <w:rFonts w:hint="eastAsia"/>
          <w:szCs w:val="20"/>
          <w:lang w:val="en-GB" w:eastAsia="zh-CN"/>
        </w:rPr>
        <w:t>上述器件和电路可为陆地移动业务系统提供此类高速大容量无线电通信；</w:t>
      </w:r>
    </w:p>
    <w:p w14:paraId="6277A8AA"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i/>
          <w:szCs w:val="20"/>
          <w:lang w:val="en-GB" w:eastAsia="ja-JP"/>
        </w:rPr>
        <w:t>d)</w:t>
      </w:r>
      <w:r w:rsidRPr="00611B8B">
        <w:rPr>
          <w:i/>
          <w:szCs w:val="20"/>
          <w:lang w:val="en-GB" w:eastAsia="ja-JP"/>
        </w:rPr>
        <w:tab/>
      </w:r>
      <w:r w:rsidRPr="00611B8B">
        <w:rPr>
          <w:rFonts w:hint="eastAsia"/>
          <w:szCs w:val="20"/>
          <w:lang w:val="en-GB" w:eastAsia="zh-CN"/>
        </w:rPr>
        <w:t>由于</w:t>
      </w:r>
      <w:r w:rsidRPr="00611B8B">
        <w:rPr>
          <w:rFonts w:hint="eastAsia"/>
          <w:szCs w:val="20"/>
          <w:lang w:val="en-GB" w:eastAsia="zh-CN"/>
        </w:rPr>
        <w:t>IMT-Advanced</w:t>
      </w:r>
      <w:r w:rsidRPr="00611B8B">
        <w:rPr>
          <w:rFonts w:hint="eastAsia"/>
          <w:szCs w:val="20"/>
          <w:lang w:val="en-GB" w:eastAsia="zh-CN"/>
        </w:rPr>
        <w:t>、</w:t>
      </w:r>
      <w:r w:rsidRPr="00611B8B">
        <w:rPr>
          <w:lang w:eastAsia="ja-JP"/>
        </w:rPr>
        <w:t>IMT-2020</w:t>
      </w:r>
      <w:r w:rsidRPr="00611B8B">
        <w:rPr>
          <w:rFonts w:hint="eastAsia"/>
          <w:lang w:eastAsia="zh-CN"/>
        </w:rPr>
        <w:t>和未来</w:t>
      </w:r>
      <w:r w:rsidRPr="00611B8B">
        <w:rPr>
          <w:lang w:eastAsia="ja-JP"/>
        </w:rPr>
        <w:t>IMT</w:t>
      </w:r>
      <w:r w:rsidRPr="00611B8B">
        <w:rPr>
          <w:rFonts w:hint="eastAsia"/>
          <w:szCs w:val="20"/>
          <w:lang w:val="en-GB" w:eastAsia="zh-CN"/>
        </w:rPr>
        <w:t>等宽带移动通信的存在，移动系统回传和前传的业务量需求日益增长；</w:t>
      </w:r>
    </w:p>
    <w:p w14:paraId="238E7CF1"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rFonts w:hint="eastAsia"/>
          <w:i/>
          <w:szCs w:val="20"/>
          <w:lang w:val="en-GB" w:eastAsia="ja-JP"/>
        </w:rPr>
        <w:t>e</w:t>
      </w:r>
      <w:r w:rsidRPr="00611B8B">
        <w:rPr>
          <w:rFonts w:hint="eastAsia"/>
          <w:szCs w:val="20"/>
          <w:lang w:val="en-GB" w:eastAsia="ja-JP"/>
        </w:rPr>
        <w:t>)</w:t>
      </w:r>
      <w:r w:rsidRPr="00611B8B">
        <w:rPr>
          <w:rFonts w:hint="eastAsia"/>
          <w:szCs w:val="20"/>
          <w:lang w:val="en-GB" w:eastAsia="ja-JP"/>
        </w:rPr>
        <w:tab/>
      </w:r>
      <w:r w:rsidRPr="00611B8B">
        <w:rPr>
          <w:rFonts w:hint="eastAsia"/>
          <w:szCs w:val="20"/>
          <w:lang w:val="en-GB" w:eastAsia="zh-CN"/>
        </w:rPr>
        <w:t>在《无线电规则》第</w:t>
      </w:r>
      <w:r w:rsidRPr="00611B8B">
        <w:rPr>
          <w:b/>
          <w:bCs/>
          <w:lang w:eastAsia="ja-JP"/>
        </w:rPr>
        <w:t>5.565</w:t>
      </w:r>
      <w:r w:rsidRPr="00F873B0">
        <w:rPr>
          <w:rFonts w:eastAsia="SimSun" w:hint="eastAsia"/>
          <w:lang w:eastAsia="zh-CN"/>
        </w:rPr>
        <w:t>款</w:t>
      </w:r>
      <w:r w:rsidRPr="00611B8B">
        <w:rPr>
          <w:rFonts w:hint="eastAsia"/>
          <w:szCs w:val="20"/>
          <w:lang w:val="en-GB" w:eastAsia="zh-CN"/>
        </w:rPr>
        <w:t>中，</w:t>
      </w:r>
      <w:r w:rsidRPr="00611B8B">
        <w:rPr>
          <w:szCs w:val="20"/>
          <w:lang w:val="en-GB" w:eastAsia="ja-JP"/>
        </w:rPr>
        <w:t>275</w:t>
      </w:r>
      <w:r w:rsidRPr="00611B8B">
        <w:rPr>
          <w:rFonts w:hint="eastAsia"/>
          <w:szCs w:val="20"/>
          <w:lang w:val="en-GB" w:eastAsia="ja-JP"/>
        </w:rPr>
        <w:t>-1 000</w:t>
      </w:r>
      <w:r w:rsidRPr="00611B8B">
        <w:rPr>
          <w:szCs w:val="20"/>
          <w:lang w:val="en-GB" w:eastAsia="ja-JP"/>
        </w:rPr>
        <w:t xml:space="preserve"> GHz</w:t>
      </w:r>
      <w:r w:rsidRPr="00611B8B">
        <w:rPr>
          <w:rFonts w:hint="eastAsia"/>
          <w:szCs w:val="20"/>
          <w:lang w:val="en-GB" w:eastAsia="zh-CN"/>
        </w:rPr>
        <w:t>频率范围的一些部分已确定用于无源业务应用；</w:t>
      </w:r>
    </w:p>
    <w:p w14:paraId="2C5BF4B5"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611B8B">
        <w:rPr>
          <w:i/>
          <w:iCs/>
          <w:szCs w:val="20"/>
          <w:lang w:val="en-GB" w:eastAsia="ja-JP"/>
        </w:rPr>
        <w:t>f)</w:t>
      </w:r>
      <w:r w:rsidRPr="00611B8B">
        <w:rPr>
          <w:szCs w:val="20"/>
          <w:lang w:val="en-GB" w:eastAsia="zh-CN"/>
        </w:rPr>
        <w:tab/>
      </w:r>
      <w:r w:rsidRPr="00611B8B">
        <w:rPr>
          <w:rFonts w:hint="eastAsia"/>
          <w:szCs w:val="20"/>
          <w:lang w:val="en-GB" w:eastAsia="zh-CN"/>
        </w:rPr>
        <w:t>无源业务使用</w:t>
      </w:r>
      <w:r w:rsidRPr="00611B8B">
        <w:rPr>
          <w:szCs w:val="20"/>
          <w:lang w:val="en-GB" w:eastAsia="zh-CN"/>
        </w:rPr>
        <w:t>275-1 000 GHz</w:t>
      </w:r>
      <w:r w:rsidRPr="00611B8B">
        <w:rPr>
          <w:rFonts w:hint="eastAsia"/>
          <w:szCs w:val="20"/>
          <w:lang w:val="en-GB" w:eastAsia="zh-CN"/>
        </w:rPr>
        <w:t>频率范围并不妨碍有源业务对这一范围的使用；</w:t>
      </w:r>
    </w:p>
    <w:p w14:paraId="5EC77E59" w14:textId="44A0A363"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611B8B">
        <w:rPr>
          <w:i/>
          <w:iCs/>
          <w:szCs w:val="20"/>
          <w:lang w:val="en-GB" w:eastAsia="ja-JP"/>
        </w:rPr>
        <w:t>g</w:t>
      </w:r>
      <w:r w:rsidRPr="00611B8B">
        <w:rPr>
          <w:i/>
          <w:iCs/>
          <w:szCs w:val="20"/>
          <w:lang w:val="en-GB" w:eastAsia="zh-CN"/>
        </w:rPr>
        <w:t>)</w:t>
      </w:r>
      <w:r w:rsidRPr="00611B8B">
        <w:rPr>
          <w:szCs w:val="20"/>
          <w:lang w:val="en-GB" w:eastAsia="zh-CN"/>
        </w:rPr>
        <w:tab/>
      </w:r>
      <w:r w:rsidRPr="00611B8B">
        <w:rPr>
          <w:rFonts w:hint="eastAsia"/>
          <w:szCs w:val="20"/>
          <w:lang w:val="en-GB" w:eastAsia="zh-CN"/>
        </w:rPr>
        <w:t>需规定陆地移动业务与</w:t>
      </w:r>
      <w:r w:rsidRPr="00611B8B">
        <w:rPr>
          <w:rFonts w:ascii="STKaiti" w:eastAsia="STKaiti" w:hAnsi="STKaiti" w:hint="eastAsia"/>
          <w:iCs/>
          <w:szCs w:val="20"/>
          <w:lang w:val="en-GB" w:eastAsia="zh-CN"/>
        </w:rPr>
        <w:t>考虑到</w:t>
      </w:r>
      <w:r w:rsidRPr="00611B8B">
        <w:rPr>
          <w:i/>
          <w:szCs w:val="20"/>
          <w:lang w:val="en-GB" w:eastAsia="zh-CN"/>
        </w:rPr>
        <w:t>f)</w:t>
      </w:r>
      <w:r w:rsidRPr="00611B8B">
        <w:rPr>
          <w:rFonts w:hint="eastAsia"/>
          <w:szCs w:val="20"/>
          <w:lang w:val="en-GB" w:eastAsia="zh-CN"/>
        </w:rPr>
        <w:t>所述的无源业务共用和兼容性研究的技术和操作特性；</w:t>
      </w:r>
    </w:p>
    <w:p w14:paraId="2646F7D2"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i/>
          <w:iCs/>
          <w:szCs w:val="20"/>
          <w:lang w:val="en-GB" w:eastAsia="ja-JP"/>
        </w:rPr>
        <w:t>h)</w:t>
      </w:r>
      <w:r w:rsidRPr="00611B8B">
        <w:rPr>
          <w:i/>
          <w:iCs/>
          <w:szCs w:val="20"/>
          <w:lang w:val="en-GB" w:eastAsia="ja-JP"/>
        </w:rPr>
        <w:tab/>
      </w:r>
      <w:r w:rsidRPr="00F873B0">
        <w:rPr>
          <w:rFonts w:eastAsia="SimSun" w:hint="eastAsia"/>
          <w:szCs w:val="20"/>
          <w:lang w:val="en-GB" w:eastAsia="ja-JP"/>
        </w:rPr>
        <w:t>已研究</w:t>
      </w:r>
      <w:r w:rsidRPr="00611B8B">
        <w:rPr>
          <w:rFonts w:hint="eastAsia"/>
          <w:szCs w:val="20"/>
          <w:lang w:val="en-GB" w:eastAsia="ja-JP"/>
        </w:rPr>
        <w:t>了将</w:t>
      </w:r>
      <w:r w:rsidRPr="00F873B0">
        <w:rPr>
          <w:rFonts w:eastAsia="SimSun"/>
          <w:szCs w:val="20"/>
          <w:lang w:val="en-GB" w:eastAsia="ja-JP"/>
        </w:rPr>
        <w:t>275-450</w:t>
      </w:r>
      <w:r w:rsidRPr="00611B8B">
        <w:rPr>
          <w:szCs w:val="20"/>
          <w:lang w:val="en-GB" w:eastAsia="ja-JP"/>
        </w:rPr>
        <w:t xml:space="preserve"> GHz</w:t>
      </w:r>
      <w:r w:rsidRPr="00F873B0">
        <w:rPr>
          <w:rFonts w:eastAsia="SimSun" w:hint="eastAsia"/>
          <w:szCs w:val="20"/>
          <w:lang w:val="en-GB" w:eastAsia="ja-JP"/>
        </w:rPr>
        <w:t>的频率范围供陆地移动和固定服务应用使用</w:t>
      </w:r>
      <w:r w:rsidRPr="00611B8B">
        <w:rPr>
          <w:rFonts w:hint="eastAsia"/>
          <w:szCs w:val="20"/>
          <w:lang w:val="en-GB" w:eastAsia="ja-JP"/>
        </w:rPr>
        <w:t>的问题</w:t>
      </w:r>
      <w:r w:rsidRPr="00F873B0">
        <w:rPr>
          <w:rFonts w:eastAsia="SimSun" w:hint="eastAsia"/>
          <w:szCs w:val="20"/>
          <w:lang w:val="en-GB" w:eastAsia="ja-JP"/>
        </w:rPr>
        <w:t>，</w:t>
      </w:r>
    </w:p>
    <w:p w14:paraId="0B9E04D1" w14:textId="61A8E7C7" w:rsidR="0026697E" w:rsidRPr="0090553E" w:rsidRDefault="0026697E" w:rsidP="0026697E">
      <w:pPr>
        <w:pStyle w:val="call0"/>
        <w:rPr>
          <w:rFonts w:ascii="STKaiti" w:eastAsia="STKaiti" w:hAnsi="STKaiti"/>
          <w:i w:val="0"/>
          <w:iCs/>
          <w:lang w:eastAsia="zh-CN"/>
        </w:rPr>
      </w:pPr>
      <w:r>
        <w:rPr>
          <w:rFonts w:ascii="STKaiti" w:eastAsia="STKaiti" w:hAnsi="STKaiti" w:hint="eastAsia"/>
          <w:i w:val="0"/>
          <w:iCs/>
          <w:lang w:eastAsia="zh-CN"/>
        </w:rPr>
        <w:t>注意到</w:t>
      </w:r>
    </w:p>
    <w:p w14:paraId="482B6B04"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i/>
          <w:iCs/>
          <w:szCs w:val="20"/>
          <w:lang w:val="en-GB" w:eastAsia="zh-CN"/>
        </w:rPr>
        <w:t>a)</w:t>
      </w:r>
      <w:r w:rsidRPr="00E74818">
        <w:rPr>
          <w:szCs w:val="20"/>
          <w:lang w:val="en-GB" w:eastAsia="zh-CN"/>
        </w:rPr>
        <w:tab/>
      </w:r>
      <w:r w:rsidRPr="00E74818">
        <w:rPr>
          <w:rFonts w:hint="eastAsia"/>
          <w:szCs w:val="20"/>
          <w:lang w:val="en-GB" w:eastAsia="ja-JP"/>
        </w:rPr>
        <w:t>ITU-R SM.</w:t>
      </w:r>
      <w:r w:rsidRPr="00E74818">
        <w:rPr>
          <w:szCs w:val="20"/>
          <w:lang w:val="en-GB" w:eastAsia="ja-JP"/>
        </w:rPr>
        <w:t>2352</w:t>
      </w:r>
      <w:r w:rsidRPr="00E74818">
        <w:rPr>
          <w:rFonts w:hint="eastAsia"/>
          <w:szCs w:val="20"/>
          <w:lang w:val="en-GB" w:eastAsia="zh-CN"/>
        </w:rPr>
        <w:t>号报告提供了</w:t>
      </w:r>
      <w:r w:rsidRPr="00E74818">
        <w:rPr>
          <w:szCs w:val="20"/>
          <w:lang w:val="en-GB" w:eastAsia="ja-JP"/>
        </w:rPr>
        <w:t>275-3 000 GHz</w:t>
      </w:r>
      <w:r w:rsidRPr="00E74818">
        <w:rPr>
          <w:rFonts w:hint="eastAsia"/>
          <w:szCs w:val="20"/>
          <w:lang w:val="en-GB" w:eastAsia="zh-CN"/>
        </w:rPr>
        <w:t>频率范围内有源业务的技术发展趋势；</w:t>
      </w:r>
    </w:p>
    <w:p w14:paraId="44B54EEC"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eastAsia="ja-JP"/>
        </w:rPr>
      </w:pPr>
      <w:r w:rsidRPr="00E74818">
        <w:rPr>
          <w:i/>
          <w:iCs/>
          <w:szCs w:val="20"/>
          <w:lang w:eastAsia="ja-JP"/>
        </w:rPr>
        <w:t>b</w:t>
      </w:r>
      <w:r w:rsidRPr="00E74818">
        <w:rPr>
          <w:i/>
          <w:iCs/>
          <w:szCs w:val="20"/>
          <w:lang w:eastAsia="zh-CN"/>
        </w:rPr>
        <w:t>)</w:t>
      </w:r>
      <w:r w:rsidRPr="00E74818">
        <w:rPr>
          <w:szCs w:val="20"/>
          <w:lang w:eastAsia="zh-CN"/>
        </w:rPr>
        <w:tab/>
      </w:r>
      <w:r w:rsidRPr="00E74818">
        <w:rPr>
          <w:szCs w:val="20"/>
          <w:lang w:eastAsia="ja-JP"/>
        </w:rPr>
        <w:t>ITU-R F.2323</w:t>
      </w:r>
      <w:r w:rsidRPr="00E74818">
        <w:rPr>
          <w:rFonts w:hint="eastAsia"/>
          <w:szCs w:val="20"/>
          <w:lang w:eastAsia="zh-CN"/>
        </w:rPr>
        <w:t>号报告提供了工作在毫米波频段的固定业务未来发展的导则；</w:t>
      </w:r>
    </w:p>
    <w:p w14:paraId="196955F1"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i/>
          <w:iCs/>
          <w:szCs w:val="20"/>
          <w:lang w:eastAsia="ja-JP"/>
        </w:rPr>
      </w:pPr>
      <w:r>
        <w:rPr>
          <w:i/>
          <w:iCs/>
          <w:szCs w:val="20"/>
          <w:lang w:eastAsia="ja-JP"/>
        </w:rPr>
        <w:br w:type="page"/>
      </w:r>
    </w:p>
    <w:p w14:paraId="7912CF52" w14:textId="59D1D85A"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i/>
          <w:iCs/>
          <w:szCs w:val="20"/>
          <w:lang w:eastAsia="ja-JP"/>
        </w:rPr>
        <w:lastRenderedPageBreak/>
        <w:t>c</w:t>
      </w:r>
      <w:r w:rsidRPr="00E74818">
        <w:rPr>
          <w:i/>
          <w:iCs/>
          <w:szCs w:val="20"/>
          <w:lang w:val="en-GB" w:eastAsia="zh-CN"/>
        </w:rPr>
        <w:t>)</w:t>
      </w:r>
      <w:r w:rsidRPr="00E74818">
        <w:rPr>
          <w:szCs w:val="20"/>
          <w:lang w:val="en-GB" w:eastAsia="zh-CN"/>
        </w:rPr>
        <w:tab/>
      </w:r>
      <w:r w:rsidRPr="00E74818">
        <w:rPr>
          <w:rFonts w:hint="eastAsia"/>
          <w:szCs w:val="20"/>
          <w:lang w:val="en-GB" w:eastAsia="ja-JP"/>
        </w:rPr>
        <w:t>ITU-R RA.2189</w:t>
      </w:r>
      <w:r w:rsidRPr="00E74818">
        <w:rPr>
          <w:rFonts w:hint="eastAsia"/>
          <w:szCs w:val="20"/>
          <w:lang w:val="en-GB" w:eastAsia="zh-CN"/>
        </w:rPr>
        <w:t>号报告启动了</w:t>
      </w:r>
      <w:r w:rsidRPr="00E74818">
        <w:rPr>
          <w:szCs w:val="20"/>
          <w:lang w:val="en-GB" w:eastAsia="ja-JP"/>
        </w:rPr>
        <w:t>275-3 000 GHz</w:t>
      </w:r>
      <w:r w:rsidRPr="00E74818">
        <w:rPr>
          <w:rFonts w:hint="eastAsia"/>
          <w:szCs w:val="20"/>
          <w:lang w:val="en-GB" w:eastAsia="zh-CN"/>
        </w:rPr>
        <w:t>频率范围内射电天文业务与有源业务的共用研究；</w:t>
      </w:r>
    </w:p>
    <w:p w14:paraId="61A875A6" w14:textId="77777777" w:rsidR="0026697E" w:rsidRPr="00E74818" w:rsidRDefault="0026697E" w:rsidP="0026697E">
      <w:pPr>
        <w:rPr>
          <w:b/>
          <w:color w:val="800000"/>
          <w:sz w:val="22"/>
          <w:lang w:eastAsia="ja-JP"/>
        </w:rPr>
      </w:pPr>
      <w:r w:rsidRPr="00E74818">
        <w:rPr>
          <w:i/>
          <w:lang w:eastAsia="ja-JP"/>
        </w:rPr>
        <w:t>d)</w:t>
      </w:r>
      <w:r w:rsidRPr="00E74818">
        <w:rPr>
          <w:lang w:eastAsia="ja-JP"/>
        </w:rPr>
        <w:tab/>
      </w:r>
      <w:r w:rsidRPr="00E74818">
        <w:rPr>
          <w:rStyle w:val="Hyperlink"/>
          <w:lang w:eastAsia="zh-CN"/>
        </w:rPr>
        <w:t xml:space="preserve">ITU-R </w:t>
      </w:r>
      <w:hyperlink r:id="rId8" w:history="1">
        <w:r w:rsidRPr="00E74818">
          <w:rPr>
            <w:rStyle w:val="Hyperlink"/>
            <w:lang w:eastAsia="zh-CN"/>
          </w:rPr>
          <w:t>F.2416</w:t>
        </w:r>
      </w:hyperlink>
      <w:r w:rsidRPr="00E74818">
        <w:rPr>
          <w:rFonts w:hint="eastAsia"/>
          <w:lang w:eastAsia="zh-CN"/>
        </w:rPr>
        <w:t>号报告提供了</w:t>
      </w:r>
      <w:r w:rsidRPr="00E74818">
        <w:rPr>
          <w:rFonts w:hint="eastAsia"/>
          <w:lang w:eastAsia="zh-CN"/>
        </w:rPr>
        <w:t>275-450</w:t>
      </w:r>
      <w:r w:rsidRPr="00E74818">
        <w:rPr>
          <w:lang w:eastAsia="zh-CN"/>
        </w:rPr>
        <w:t> </w:t>
      </w:r>
      <w:r w:rsidRPr="00E74818">
        <w:rPr>
          <w:rFonts w:hint="eastAsia"/>
          <w:lang w:eastAsia="zh-CN"/>
        </w:rPr>
        <w:t>GHz</w:t>
      </w:r>
      <w:r w:rsidRPr="00E74818">
        <w:rPr>
          <w:rFonts w:hint="eastAsia"/>
          <w:lang w:eastAsia="zh-CN"/>
        </w:rPr>
        <w:t>频率范围内点对点固定业务的技术和操作特性及其应用；</w:t>
      </w:r>
    </w:p>
    <w:p w14:paraId="16B63AB2" w14:textId="77777777" w:rsidR="0026697E" w:rsidRPr="00F873B0" w:rsidRDefault="0026697E" w:rsidP="0026697E">
      <w:pPr>
        <w:rPr>
          <w:i/>
          <w:lang w:eastAsia="ja-JP"/>
        </w:rPr>
      </w:pPr>
      <w:r w:rsidRPr="00E74818">
        <w:rPr>
          <w:i/>
          <w:lang w:eastAsia="ja-JP"/>
        </w:rPr>
        <w:t>e)</w:t>
      </w:r>
      <w:r w:rsidRPr="00E74818">
        <w:rPr>
          <w:i/>
          <w:lang w:eastAsia="ja-JP"/>
        </w:rPr>
        <w:tab/>
      </w:r>
      <w:r w:rsidRPr="00E74818">
        <w:rPr>
          <w:rStyle w:val="Hyperlink"/>
          <w:lang w:eastAsia="zh-CN"/>
        </w:rPr>
        <w:t xml:space="preserve">ITU-R </w:t>
      </w:r>
      <w:hyperlink r:id="rId9" w:history="1">
        <w:r w:rsidRPr="00E74818">
          <w:rPr>
            <w:rStyle w:val="Hyperlink"/>
            <w:lang w:eastAsia="zh-CN"/>
          </w:rPr>
          <w:t>M.2417</w:t>
        </w:r>
      </w:hyperlink>
      <w:r w:rsidRPr="00E74818">
        <w:rPr>
          <w:rFonts w:hint="eastAsia"/>
          <w:lang w:eastAsia="ja-JP"/>
        </w:rPr>
        <w:t>号报告提供了在</w:t>
      </w:r>
      <w:r w:rsidRPr="00E74818">
        <w:rPr>
          <w:rFonts w:hint="eastAsia"/>
          <w:lang w:eastAsia="ja-JP"/>
        </w:rPr>
        <w:t>275-450</w:t>
      </w:r>
      <w:r w:rsidRPr="00E74818">
        <w:rPr>
          <w:lang w:eastAsia="ja-JP"/>
        </w:rPr>
        <w:t> </w:t>
      </w:r>
      <w:r w:rsidRPr="00E74818">
        <w:rPr>
          <w:rFonts w:hint="eastAsia"/>
          <w:lang w:eastAsia="ja-JP"/>
        </w:rPr>
        <w:t>GHz</w:t>
      </w:r>
      <w:r w:rsidRPr="00E74818">
        <w:rPr>
          <w:rFonts w:hint="eastAsia"/>
          <w:lang w:eastAsia="ja-JP"/>
        </w:rPr>
        <w:t>频段运行的</w:t>
      </w:r>
      <w:r w:rsidRPr="00E74818">
        <w:rPr>
          <w:rFonts w:hint="eastAsia"/>
          <w:lang w:eastAsia="zh-CN"/>
        </w:rPr>
        <w:t>陆地移动业务</w:t>
      </w:r>
      <w:r w:rsidRPr="00E74818">
        <w:rPr>
          <w:rFonts w:hint="eastAsia"/>
          <w:lang w:eastAsia="ja-JP"/>
        </w:rPr>
        <w:t>应用的技术和操作特性</w:t>
      </w:r>
      <w:r w:rsidRPr="00E74818">
        <w:rPr>
          <w:rFonts w:hint="eastAsia"/>
          <w:lang w:eastAsia="zh-CN"/>
        </w:rPr>
        <w:t>；</w:t>
      </w:r>
    </w:p>
    <w:p w14:paraId="67F68CE3" w14:textId="77777777" w:rsidR="0026697E" w:rsidRPr="00E74818" w:rsidRDefault="0026697E" w:rsidP="0026697E">
      <w:pPr>
        <w:rPr>
          <w:lang w:eastAsia="zh-CN"/>
        </w:rPr>
      </w:pPr>
      <w:r w:rsidRPr="00E74818">
        <w:rPr>
          <w:i/>
          <w:iCs/>
          <w:lang w:eastAsia="zh-CN"/>
        </w:rPr>
        <w:t>f)</w:t>
      </w:r>
      <w:r w:rsidRPr="00E74818">
        <w:rPr>
          <w:lang w:eastAsia="zh-CN"/>
        </w:rPr>
        <w:tab/>
      </w:r>
      <w:r w:rsidRPr="00E74818">
        <w:rPr>
          <w:rStyle w:val="Hyperlink"/>
          <w:lang w:eastAsia="zh-CN"/>
        </w:rPr>
        <w:t xml:space="preserve">ITU-R </w:t>
      </w:r>
      <w:hyperlink r:id="rId10" w:history="1">
        <w:r w:rsidRPr="00E74818">
          <w:rPr>
            <w:rStyle w:val="Hyperlink"/>
            <w:lang w:eastAsia="zh-CN"/>
          </w:rPr>
          <w:t>RS.2431</w:t>
        </w:r>
      </w:hyperlink>
      <w:r w:rsidRPr="00E74818">
        <w:rPr>
          <w:lang w:eastAsia="zh-CN"/>
        </w:rPr>
        <w:t>号</w:t>
      </w:r>
      <w:r w:rsidRPr="00E74818">
        <w:rPr>
          <w:rFonts w:hint="eastAsia"/>
          <w:lang w:eastAsia="zh-CN"/>
        </w:rPr>
        <w:t>报告提供了</w:t>
      </w:r>
      <w:r w:rsidRPr="00E74818">
        <w:rPr>
          <w:rFonts w:hint="eastAsia"/>
          <w:lang w:eastAsia="zh-CN"/>
        </w:rPr>
        <w:t>275-450 GHz</w:t>
      </w:r>
      <w:r w:rsidRPr="00E74818">
        <w:rPr>
          <w:rFonts w:hint="eastAsia"/>
          <w:lang w:eastAsia="zh-CN"/>
        </w:rPr>
        <w:t>频率范围内地球观测（无源）传感器的技术和操作特性，</w:t>
      </w:r>
    </w:p>
    <w:p w14:paraId="7887D294"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573DF0">
        <w:rPr>
          <w:rFonts w:asciiTheme="minorEastAsia" w:eastAsiaTheme="minorEastAsia" w:hAnsiTheme="minorEastAsia" w:hint="eastAsia"/>
          <w:i w:val="0"/>
          <w:iCs/>
          <w:lang w:eastAsia="zh-CN"/>
        </w:rPr>
        <w:t>应研究以下课题</w:t>
      </w:r>
    </w:p>
    <w:p w14:paraId="0DA66A1C" w14:textId="77777777" w:rsidR="0026697E" w:rsidRPr="00E74818" w:rsidRDefault="0026697E" w:rsidP="0026697E">
      <w:pPr>
        <w:tabs>
          <w:tab w:val="clear" w:pos="794"/>
          <w:tab w:val="clear" w:pos="1191"/>
          <w:tab w:val="clear" w:pos="1588"/>
          <w:tab w:val="clear" w:pos="1985"/>
          <w:tab w:val="left" w:pos="1134"/>
          <w:tab w:val="left" w:pos="1871"/>
          <w:tab w:val="left" w:pos="2268"/>
        </w:tabs>
        <w:spacing w:before="120" w:line="240" w:lineRule="auto"/>
        <w:ind w:firstLineChars="200" w:firstLine="480"/>
        <w:rPr>
          <w:szCs w:val="20"/>
          <w:lang w:val="en-GB" w:eastAsia="zh-CN"/>
        </w:rPr>
      </w:pPr>
      <w:r w:rsidRPr="00E74818">
        <w:rPr>
          <w:szCs w:val="20"/>
          <w:lang w:val="en-GB" w:eastAsia="ja-JP"/>
        </w:rPr>
        <w:t>275-1 000 GHz</w:t>
      </w:r>
      <w:r w:rsidRPr="00E74818">
        <w:rPr>
          <w:rFonts w:hint="eastAsia"/>
          <w:szCs w:val="20"/>
          <w:lang w:val="en-GB" w:eastAsia="zh-CN"/>
        </w:rPr>
        <w:t>频率范围内固定业务有哪些技术和操作特性？</w:t>
      </w:r>
    </w:p>
    <w:p w14:paraId="44416ED7"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1D461090"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szCs w:val="20"/>
          <w:lang w:val="en-GB" w:eastAsia="ja-JP"/>
        </w:rPr>
        <w:t>1</w:t>
      </w:r>
      <w:r w:rsidRPr="00E74818">
        <w:rPr>
          <w:szCs w:val="20"/>
          <w:lang w:val="en-GB" w:eastAsia="zh-CN"/>
        </w:rPr>
        <w:tab/>
      </w:r>
      <w:r w:rsidRPr="00E74818">
        <w:rPr>
          <w:rFonts w:hint="eastAsia"/>
          <w:szCs w:val="20"/>
          <w:lang w:val="en-GB" w:eastAsia="zh-CN"/>
        </w:rPr>
        <w:t>应开展固定业务与无源业务之间以及固定与其他有源业务之间的共用研究，同时考虑</w:t>
      </w:r>
      <w:r w:rsidRPr="00E74818">
        <w:rPr>
          <w:rFonts w:ascii="STKaiti" w:eastAsia="STKaiti" w:hAnsi="STKaiti" w:hint="eastAsia"/>
          <w:iCs/>
          <w:szCs w:val="20"/>
          <w:lang w:val="en-GB" w:eastAsia="zh-CN"/>
        </w:rPr>
        <w:t>做出决定</w:t>
      </w:r>
      <w:r w:rsidRPr="00E74818">
        <w:rPr>
          <w:rFonts w:hint="eastAsia"/>
          <w:szCs w:val="20"/>
          <w:lang w:val="en-GB" w:eastAsia="zh-CN"/>
        </w:rPr>
        <w:t>中所述的特性；</w:t>
      </w:r>
    </w:p>
    <w:p w14:paraId="23F631B7"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szCs w:val="20"/>
          <w:lang w:val="en-GB" w:eastAsia="ja-JP"/>
        </w:rPr>
        <w:t>2</w:t>
      </w:r>
      <w:r w:rsidRPr="00E74818">
        <w:rPr>
          <w:szCs w:val="20"/>
          <w:lang w:val="en-GB" w:eastAsia="zh-CN"/>
        </w:rPr>
        <w:tab/>
      </w:r>
      <w:r w:rsidRPr="00E74818">
        <w:rPr>
          <w:rFonts w:hint="eastAsia"/>
          <w:szCs w:val="20"/>
          <w:lang w:val="en-GB" w:eastAsia="zh-CN"/>
        </w:rPr>
        <w:t>应提请其他研究组注意</w:t>
      </w:r>
      <w:r w:rsidRPr="00E74818">
        <w:rPr>
          <w:szCs w:val="20"/>
          <w:lang w:val="en-GB" w:eastAsia="ja-JP"/>
        </w:rPr>
        <w:t>275-1 000 GHz</w:t>
      </w:r>
      <w:r w:rsidRPr="00E74818">
        <w:rPr>
          <w:rFonts w:hint="eastAsia"/>
          <w:szCs w:val="20"/>
          <w:lang w:val="en-GB" w:eastAsia="zh-CN"/>
        </w:rPr>
        <w:t>频率范围内的研究结果；</w:t>
      </w:r>
    </w:p>
    <w:p w14:paraId="36DE054F"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E74818">
        <w:rPr>
          <w:rFonts w:hint="eastAsia"/>
          <w:szCs w:val="20"/>
          <w:lang w:val="en-GB" w:eastAsia="ja-JP"/>
        </w:rPr>
        <w:t>3</w:t>
      </w:r>
      <w:r w:rsidRPr="00E74818">
        <w:rPr>
          <w:szCs w:val="20"/>
          <w:lang w:val="en-GB" w:eastAsia="zh-CN"/>
        </w:rPr>
        <w:tab/>
      </w:r>
      <w:r w:rsidRPr="00E74818">
        <w:rPr>
          <w:rFonts w:hint="eastAsia"/>
          <w:szCs w:val="20"/>
          <w:lang w:val="en-GB" w:eastAsia="zh-CN"/>
        </w:rPr>
        <w:t>上述研究结果应纳入一份或多份建议书、报告或手册中；</w:t>
      </w:r>
    </w:p>
    <w:p w14:paraId="7E7E7AA4" w14:textId="6265D14E"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E74818">
        <w:rPr>
          <w:rFonts w:hint="eastAsia"/>
          <w:szCs w:val="20"/>
          <w:lang w:val="en-GB" w:eastAsia="ja-JP"/>
        </w:rPr>
        <w:t>4</w:t>
      </w:r>
      <w:r w:rsidRPr="00E74818">
        <w:rPr>
          <w:szCs w:val="20"/>
          <w:lang w:val="en-GB" w:eastAsia="zh-CN"/>
        </w:rPr>
        <w:tab/>
      </w:r>
      <w:r w:rsidRPr="00E74818">
        <w:rPr>
          <w:rFonts w:hint="eastAsia"/>
          <w:szCs w:val="20"/>
          <w:lang w:val="en-GB" w:eastAsia="zh-CN"/>
        </w:rPr>
        <w:t>上述研究应在</w:t>
      </w:r>
      <w:r w:rsidRPr="00E74818">
        <w:rPr>
          <w:szCs w:val="20"/>
          <w:lang w:eastAsia="zh-CN"/>
        </w:rPr>
        <w:t>2023</w:t>
      </w:r>
      <w:r w:rsidRPr="00E74818">
        <w:rPr>
          <w:rFonts w:hint="eastAsia"/>
          <w:szCs w:val="20"/>
          <w:lang w:val="en-GB" w:eastAsia="zh-CN"/>
        </w:rPr>
        <w:t>年之前完成。</w:t>
      </w:r>
    </w:p>
    <w:p w14:paraId="2B917474" w14:textId="606816BE" w:rsidR="0007389C" w:rsidRPr="008905B3" w:rsidRDefault="0026697E" w:rsidP="008905B3">
      <w:pPr>
        <w:tabs>
          <w:tab w:val="clear" w:pos="794"/>
          <w:tab w:val="clear" w:pos="1191"/>
          <w:tab w:val="clear" w:pos="1588"/>
          <w:tab w:val="clear" w:pos="1985"/>
          <w:tab w:val="left" w:pos="1134"/>
          <w:tab w:val="left" w:pos="1871"/>
          <w:tab w:val="left" w:pos="2268"/>
        </w:tabs>
        <w:spacing w:before="480" w:line="240" w:lineRule="auto"/>
        <w:jc w:val="left"/>
        <w:rPr>
          <w:b/>
          <w:sz w:val="28"/>
          <w:szCs w:val="28"/>
          <w:lang w:val="en-GB" w:eastAsia="zh-CN"/>
        </w:rPr>
      </w:pPr>
      <w:r w:rsidRPr="00E74818">
        <w:rPr>
          <w:rFonts w:hint="eastAsia"/>
          <w:szCs w:val="20"/>
          <w:lang w:val="en-GB" w:eastAsia="zh-CN"/>
        </w:rPr>
        <w:t>类别：</w:t>
      </w:r>
      <w:r w:rsidRPr="00E74818">
        <w:rPr>
          <w:szCs w:val="20"/>
          <w:lang w:val="en-GB" w:eastAsia="ja-JP"/>
        </w:rPr>
        <w:t>S2</w:t>
      </w:r>
    </w:p>
    <w:sectPr w:rsidR="0007389C" w:rsidRPr="008905B3" w:rsidSect="008905B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51E14" w14:textId="77777777" w:rsidR="008905B3" w:rsidRDefault="00890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009F92C0" w:rsidR="00BE343F" w:rsidRPr="008905B3" w:rsidRDefault="00BE343F" w:rsidP="0089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8905B3">
      <w:rPr>
        <w:iCs/>
        <w:noProof/>
        <w:sz w:val="18"/>
        <w:szCs w:val="18"/>
      </w:rPr>
      <w:t>- 2 -</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04CD8D0C" w:rsidR="00BE343F" w:rsidRPr="008905B3" w:rsidRDefault="00BE343F" w:rsidP="008905B3">
    <w:pPr>
      <w:pStyle w:val="Header"/>
    </w:pP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A7931"/>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905B3"/>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F.2416"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pub/R-REP-RS.24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R-REP-M.2417"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C830-DCAA-4DC0-89D0-051BA213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457</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3</cp:revision>
  <cp:lastPrinted>2019-09-18T12:09:00Z</cp:lastPrinted>
  <dcterms:created xsi:type="dcterms:W3CDTF">2019-12-04T12:11:00Z</dcterms:created>
  <dcterms:modified xsi:type="dcterms:W3CDTF">2019-12-04T12:12:00Z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