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A9263" w14:textId="5BDD8869" w:rsidR="00160288" w:rsidRPr="00BB2E1E" w:rsidRDefault="00160288" w:rsidP="00531BC3">
      <w:pPr>
        <w:pStyle w:val="QuestionNo"/>
      </w:pPr>
      <w:r w:rsidRPr="00BB2E1E">
        <w:rPr>
          <w:rFonts w:hint="eastAsia"/>
          <w:rtl/>
        </w:rPr>
        <w:t>المسألة</w:t>
      </w:r>
      <w:r w:rsidRPr="00BB2E1E">
        <w:rPr>
          <w:rtl/>
        </w:rPr>
        <w:t xml:space="preserve"> </w:t>
      </w:r>
      <w:r w:rsidR="00531BC3" w:rsidRPr="00531BC3">
        <w:rPr>
          <w:lang w:val="en-GB"/>
        </w:rPr>
        <w:t>ITU-R 257-1/5</w:t>
      </w:r>
    </w:p>
    <w:p w14:paraId="424ED6E0" w14:textId="77777777" w:rsidR="00160288" w:rsidRPr="0052737D" w:rsidRDefault="00160288" w:rsidP="00A36297">
      <w:pPr>
        <w:pStyle w:val="Questiontitle"/>
        <w:rPr>
          <w:rtl/>
        </w:rPr>
      </w:pPr>
      <w:r w:rsidRPr="0052737D">
        <w:rPr>
          <w:rtl/>
        </w:rPr>
        <w:t xml:space="preserve">الخصائص التقنية والتشغيلية لمحطات الخدمة الثابتة في مدى التردد </w:t>
      </w:r>
      <w:r w:rsidRPr="0052737D">
        <w:t>GHz 1 000-275</w:t>
      </w:r>
    </w:p>
    <w:p w14:paraId="65963354" w14:textId="77777777" w:rsidR="00160288" w:rsidRPr="0052737D" w:rsidRDefault="00160288" w:rsidP="00160288">
      <w:pPr>
        <w:pStyle w:val="Date"/>
        <w:rPr>
          <w:rtl/>
        </w:rPr>
      </w:pPr>
      <w:r w:rsidRPr="0052737D">
        <w:t>(</w:t>
      </w:r>
      <w:r w:rsidRPr="00BB2E1E">
        <w:t>2019-</w:t>
      </w:r>
      <w:r w:rsidRPr="0052737D">
        <w:t>2015)</w:t>
      </w:r>
    </w:p>
    <w:p w14:paraId="4E3C0331" w14:textId="77777777" w:rsidR="00160288" w:rsidRPr="0052737D" w:rsidRDefault="00160288" w:rsidP="00160288">
      <w:pPr>
        <w:pStyle w:val="Normalaftertitle"/>
        <w:rPr>
          <w:rtl/>
        </w:rPr>
      </w:pPr>
      <w:r w:rsidRPr="0052737D">
        <w:rPr>
          <w:rtl/>
        </w:rPr>
        <w:t>إن جمعية الاتصالات الراديوية للاتحاد الدولي للاتصالات،</w:t>
      </w:r>
    </w:p>
    <w:p w14:paraId="6F535B4B" w14:textId="77777777" w:rsidR="00160288" w:rsidRPr="0052737D" w:rsidRDefault="00160288" w:rsidP="00160288">
      <w:pPr>
        <w:pStyle w:val="Call"/>
        <w:rPr>
          <w:rtl/>
        </w:rPr>
      </w:pPr>
      <w:r w:rsidRPr="0052737D">
        <w:rPr>
          <w:rtl/>
        </w:rPr>
        <w:t>إذ تضع في اعتبارها</w:t>
      </w:r>
    </w:p>
    <w:p w14:paraId="6BE24D0C" w14:textId="77777777" w:rsidR="00160288" w:rsidRPr="0052737D" w:rsidRDefault="00160288" w:rsidP="00160288">
      <w:pPr>
        <w:rPr>
          <w:rtl/>
        </w:rPr>
      </w:pPr>
      <w:r w:rsidRPr="0052737D">
        <w:rPr>
          <w:rFonts w:hint="eastAsia"/>
          <w:i/>
          <w:iCs/>
          <w:rtl/>
        </w:rPr>
        <w:t> أ</w:t>
      </w:r>
      <w:r w:rsidRPr="00BB2E1E">
        <w:rPr>
          <w:rFonts w:hint="cs"/>
          <w:i/>
          <w:iCs/>
          <w:rtl/>
        </w:rPr>
        <w:t> 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52737D">
        <w:rPr>
          <w:rFonts w:hint="eastAsia"/>
          <w:rtl/>
        </w:rPr>
        <w:t>الطلب</w:t>
      </w:r>
      <w:r w:rsidRPr="0052737D">
        <w:rPr>
          <w:rtl/>
        </w:rPr>
        <w:t xml:space="preserve"> المتنامي على الاتصالات الراديوية ذات السرعة العالية والسعة الكبيرة التي تتمتع بمعدلات بيانات تتراوح بين عشرات </w:t>
      </w:r>
      <w:r w:rsidRPr="0052737D">
        <w:rPr>
          <w:rFonts w:hint="eastAsia"/>
          <w:rtl/>
        </w:rPr>
        <w:t>الجيغابت</w:t>
      </w:r>
      <w:r w:rsidRPr="0052737D">
        <w:rPr>
          <w:rtl/>
        </w:rPr>
        <w:t xml:space="preserve"> في الثانية إلى أكثر من </w:t>
      </w:r>
      <w:r w:rsidRPr="0052737D">
        <w:rPr>
          <w:lang w:val="en-GB"/>
        </w:rPr>
        <w:t>100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جيغابت</w:t>
      </w:r>
      <w:r w:rsidRPr="0052737D">
        <w:rPr>
          <w:rtl/>
        </w:rPr>
        <w:t xml:space="preserve"> في الثانية أحياناً فيما يتعلق بأنظمة الخدمة الثابتة؛</w:t>
      </w:r>
    </w:p>
    <w:p w14:paraId="63B2A87D" w14:textId="77777777" w:rsidR="00160288" w:rsidRPr="0052737D" w:rsidRDefault="00160288" w:rsidP="00160288">
      <w:pPr>
        <w:rPr>
          <w:rtl/>
        </w:rPr>
      </w:pPr>
      <w:r w:rsidRPr="0052737D">
        <w:rPr>
          <w:rFonts w:hint="eastAsia"/>
          <w:i/>
          <w:iCs/>
          <w:rtl/>
        </w:rPr>
        <w:t>ب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52737D">
        <w:rPr>
          <w:rFonts w:hint="eastAsia"/>
          <w:rtl/>
        </w:rPr>
        <w:t>أن</w:t>
      </w:r>
      <w:r w:rsidRPr="0052737D">
        <w:rPr>
          <w:rtl/>
        </w:rPr>
        <w:t xml:space="preserve"> بفضل التقدم في تكنولوجيات </w:t>
      </w:r>
      <w:r w:rsidRPr="0052737D">
        <w:rPr>
          <w:rFonts w:hint="eastAsia"/>
          <w:rtl/>
        </w:rPr>
        <w:t>التيراهرتز</w:t>
      </w:r>
      <w:r w:rsidRPr="0052737D">
        <w:rPr>
          <w:rtl/>
        </w:rPr>
        <w:t xml:space="preserve"> الحديثة، يمكن للأجهزة والدارات المتكاملة العاملة فوق</w:t>
      </w:r>
      <w:r w:rsidRPr="0052737D">
        <w:rPr>
          <w:rFonts w:hint="eastAsia"/>
          <w:rtl/>
        </w:rPr>
        <w:t> </w:t>
      </w:r>
      <w:r w:rsidRPr="0052737D">
        <w:rPr>
          <w:lang w:val="en-GB"/>
        </w:rPr>
        <w:t>GHz 275</w:t>
      </w:r>
      <w:r w:rsidRPr="0052737D">
        <w:rPr>
          <w:rtl/>
        </w:rPr>
        <w:t xml:space="preserve"> أن</w:t>
      </w:r>
      <w:r w:rsidRPr="0052737D">
        <w:rPr>
          <w:rFonts w:hint="eastAsia"/>
          <w:rtl/>
        </w:rPr>
        <w:t> تنشئ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العديد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من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التطبيقات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المتطورة؛</w:t>
      </w:r>
    </w:p>
    <w:p w14:paraId="57F6A93D" w14:textId="77777777" w:rsidR="00160288" w:rsidRPr="0052737D" w:rsidRDefault="00160288" w:rsidP="00160288">
      <w:pPr>
        <w:rPr>
          <w:rtl/>
        </w:rPr>
      </w:pPr>
      <w:r w:rsidRPr="0052737D">
        <w:rPr>
          <w:rFonts w:hint="eastAsia"/>
          <w:i/>
          <w:iCs/>
          <w:rtl/>
        </w:rPr>
        <w:t>ج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52737D">
        <w:rPr>
          <w:rFonts w:hint="eastAsia"/>
          <w:rtl/>
        </w:rPr>
        <w:t>أن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الأجهزة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والدارات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المذكورة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أعلاه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سيكون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بإمكانها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توفير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هذه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الاتصالات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الراديوية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ذات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السرعة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العالية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والسعة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الكبيرة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لأنظمة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الخدمة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الثابتة؛</w:t>
      </w:r>
    </w:p>
    <w:p w14:paraId="2CC75D3B" w14:textId="0F6694BA" w:rsidR="00160288" w:rsidRPr="0052737D" w:rsidRDefault="00160288" w:rsidP="00AD22C7">
      <w:pPr>
        <w:rPr>
          <w:spacing w:val="-4"/>
          <w:rtl/>
        </w:rPr>
      </w:pPr>
      <w:r w:rsidRPr="0052737D">
        <w:rPr>
          <w:rFonts w:hint="eastAsia"/>
          <w:i/>
          <w:iCs/>
          <w:spacing w:val="-4"/>
          <w:rtl/>
        </w:rPr>
        <w:t>د</w:t>
      </w:r>
      <w:r w:rsidRPr="00861828">
        <w:rPr>
          <w:rFonts w:hint="cs"/>
          <w:i/>
          <w:iCs/>
          <w:spacing w:val="-4"/>
          <w:rtl/>
        </w:rPr>
        <w:t> </w:t>
      </w:r>
      <w:r w:rsidRPr="0052737D">
        <w:rPr>
          <w:i/>
          <w:iCs/>
          <w:spacing w:val="-4"/>
          <w:rtl/>
        </w:rPr>
        <w:t>)</w:t>
      </w:r>
      <w:r w:rsidRPr="0052737D">
        <w:rPr>
          <w:spacing w:val="-4"/>
          <w:rtl/>
        </w:rPr>
        <w:tab/>
      </w:r>
      <w:r w:rsidRPr="0052737D">
        <w:rPr>
          <w:rFonts w:hint="eastAsia"/>
          <w:spacing w:val="-4"/>
          <w:rtl/>
        </w:rPr>
        <w:t>أن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الطلب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على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الحركة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من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أجل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اتصالات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التوصيلات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المباشرة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وغير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المباشرة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للأنظمة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المتنقلة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يتزايد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بسبب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الاتصالات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المتنقلة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عريضة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النطاق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مثل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الاتصالات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المتنقلة</w:t>
      </w:r>
      <w:r w:rsidRPr="0052737D">
        <w:rPr>
          <w:spacing w:val="-4"/>
          <w:rtl/>
        </w:rPr>
        <w:t xml:space="preserve"> </w:t>
      </w:r>
      <w:r w:rsidRPr="0052737D">
        <w:rPr>
          <w:rFonts w:hint="eastAsia"/>
          <w:spacing w:val="-4"/>
          <w:rtl/>
        </w:rPr>
        <w:t>الدولية</w:t>
      </w:r>
      <w:r w:rsidRPr="0052737D">
        <w:rPr>
          <w:spacing w:val="-4"/>
          <w:rtl/>
        </w:rPr>
        <w:t>-المتقدمة</w:t>
      </w:r>
      <w:r w:rsidRPr="0052737D">
        <w:rPr>
          <w:rFonts w:hint="eastAsia"/>
          <w:spacing w:val="-4"/>
          <w:rtl/>
          <w:lang w:bidi="ar-EG"/>
        </w:rPr>
        <w:t>،</w:t>
      </w:r>
      <w:r w:rsidRPr="0052737D">
        <w:rPr>
          <w:spacing w:val="-4"/>
          <w:rtl/>
          <w:lang w:bidi="ar-EG"/>
        </w:rPr>
        <w:t xml:space="preserve"> </w:t>
      </w:r>
      <w:r w:rsidRPr="00861828">
        <w:rPr>
          <w:rFonts w:hint="cs"/>
          <w:spacing w:val="-4"/>
          <w:rtl/>
          <w:lang w:bidi="ar-EG"/>
        </w:rPr>
        <w:t>و</w:t>
      </w:r>
      <w:r w:rsidRPr="00861828">
        <w:rPr>
          <w:rFonts w:hint="eastAsia"/>
          <w:spacing w:val="-4"/>
          <w:rtl/>
        </w:rPr>
        <w:t>الاتصالات</w:t>
      </w:r>
      <w:r w:rsidRPr="00861828">
        <w:rPr>
          <w:spacing w:val="-4"/>
          <w:rtl/>
        </w:rPr>
        <w:t xml:space="preserve"> </w:t>
      </w:r>
      <w:r w:rsidRPr="00861828">
        <w:rPr>
          <w:rFonts w:hint="eastAsia"/>
          <w:spacing w:val="-4"/>
          <w:rtl/>
        </w:rPr>
        <w:t>المتنقلة</w:t>
      </w:r>
      <w:r w:rsidRPr="00861828">
        <w:rPr>
          <w:spacing w:val="-4"/>
          <w:rtl/>
        </w:rPr>
        <w:t xml:space="preserve"> </w:t>
      </w:r>
      <w:r w:rsidRPr="00861828">
        <w:rPr>
          <w:rFonts w:hint="cs"/>
          <w:spacing w:val="-4"/>
          <w:rtl/>
        </w:rPr>
        <w:t>الدولية</w:t>
      </w:r>
      <w:r w:rsidR="00AD22C7">
        <w:rPr>
          <w:rFonts w:hint="cs"/>
          <w:spacing w:val="-4"/>
          <w:rtl/>
          <w:lang w:bidi="ar-EG"/>
        </w:rPr>
        <w:t>-</w:t>
      </w:r>
      <w:r w:rsidRPr="00861828">
        <w:rPr>
          <w:spacing w:val="-4"/>
          <w:lang w:val="fr-FR"/>
        </w:rPr>
        <w:t>2020</w:t>
      </w:r>
      <w:r w:rsidRPr="00861828">
        <w:rPr>
          <w:rFonts w:hint="cs"/>
          <w:spacing w:val="-4"/>
          <w:rtl/>
          <w:lang w:bidi="ar-EG"/>
        </w:rPr>
        <w:t>، و</w:t>
      </w:r>
      <w:r w:rsidRPr="00861828">
        <w:rPr>
          <w:rFonts w:hint="eastAsia"/>
          <w:spacing w:val="-4"/>
          <w:rtl/>
        </w:rPr>
        <w:t>الاتصالات</w:t>
      </w:r>
      <w:r w:rsidRPr="00861828">
        <w:rPr>
          <w:spacing w:val="-4"/>
          <w:rtl/>
        </w:rPr>
        <w:t xml:space="preserve"> </w:t>
      </w:r>
      <w:r w:rsidRPr="00861828">
        <w:rPr>
          <w:rFonts w:hint="eastAsia"/>
          <w:spacing w:val="-4"/>
          <w:rtl/>
        </w:rPr>
        <w:t>المتنقلة</w:t>
      </w:r>
      <w:r w:rsidRPr="00861828">
        <w:rPr>
          <w:spacing w:val="-4"/>
          <w:rtl/>
        </w:rPr>
        <w:t xml:space="preserve"> </w:t>
      </w:r>
      <w:r w:rsidRPr="00861828">
        <w:rPr>
          <w:rFonts w:hint="eastAsia"/>
          <w:spacing w:val="-4"/>
          <w:rtl/>
        </w:rPr>
        <w:t>الدولية</w:t>
      </w:r>
      <w:r w:rsidRPr="00861828">
        <w:rPr>
          <w:rFonts w:hint="cs"/>
          <w:spacing w:val="-4"/>
          <w:rtl/>
        </w:rPr>
        <w:t xml:space="preserve"> المستقبلية</w:t>
      </w:r>
      <w:r w:rsidRPr="0052737D">
        <w:rPr>
          <w:rFonts w:hint="eastAsia"/>
          <w:spacing w:val="-4"/>
          <w:rtl/>
        </w:rPr>
        <w:t>؛</w:t>
      </w:r>
    </w:p>
    <w:p w14:paraId="775072A0" w14:textId="079919F1" w:rsidR="00160288" w:rsidRPr="0052737D" w:rsidRDefault="00160288" w:rsidP="00160288">
      <w:pPr>
        <w:rPr>
          <w:rtl/>
        </w:rPr>
      </w:pPr>
      <w:r w:rsidRPr="0052737D">
        <w:rPr>
          <w:rFonts w:hint="cs"/>
          <w:i/>
          <w:iCs/>
          <w:rtl/>
        </w:rPr>
        <w:t>ﻫ</w:t>
      </w:r>
      <w:r w:rsidRPr="00BB2E1E">
        <w:rPr>
          <w:rFonts w:hint="eastAsia"/>
          <w:i/>
          <w:iCs/>
          <w:rtl/>
        </w:rPr>
        <w:t> 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52737D">
        <w:rPr>
          <w:rFonts w:hint="eastAsia"/>
          <w:rtl/>
        </w:rPr>
        <w:t>أن</w:t>
      </w:r>
      <w:r w:rsidRPr="0052737D">
        <w:rPr>
          <w:rtl/>
        </w:rPr>
        <w:t xml:space="preserve"> لوائح الراديو تحد</w:t>
      </w:r>
      <w:r w:rsidR="003A2C57">
        <w:rPr>
          <w:rFonts w:hint="cs"/>
          <w:rtl/>
        </w:rPr>
        <w:t>ّ</w:t>
      </w:r>
      <w:r w:rsidRPr="0052737D">
        <w:rPr>
          <w:rtl/>
        </w:rPr>
        <w:t xml:space="preserve">د بعض أجزاء الطيف في مدى التردد </w:t>
      </w:r>
      <w:r w:rsidRPr="0052737D">
        <w:rPr>
          <w:lang w:val="en-GB"/>
        </w:rPr>
        <w:t>GHz 1 000-275</w:t>
      </w:r>
      <w:r w:rsidRPr="0052737D">
        <w:rPr>
          <w:rtl/>
        </w:rPr>
        <w:t xml:space="preserve"> </w:t>
      </w:r>
      <w:r w:rsidRPr="00BB2E1E">
        <w:rPr>
          <w:rFonts w:hint="cs"/>
          <w:rtl/>
        </w:rPr>
        <w:t xml:space="preserve">في الرقم </w:t>
      </w:r>
      <w:r w:rsidRPr="0052737D">
        <w:rPr>
          <w:b/>
          <w:bCs/>
          <w:lang w:val="en-GB"/>
        </w:rPr>
        <w:t>565.5</w:t>
      </w:r>
      <w:r w:rsidRPr="00BB2E1E">
        <w:rPr>
          <w:rFonts w:hint="cs"/>
          <w:b/>
          <w:bCs/>
          <w:rtl/>
          <w:lang w:val="en-GB"/>
        </w:rPr>
        <w:t xml:space="preserve"> </w:t>
      </w:r>
      <w:r w:rsidRPr="0052737D">
        <w:rPr>
          <w:rtl/>
        </w:rPr>
        <w:t>من أجل تطبيقات الخدمات</w:t>
      </w:r>
      <w:r w:rsidRPr="0052737D">
        <w:rPr>
          <w:rFonts w:hint="eastAsia"/>
          <w:rtl/>
        </w:rPr>
        <w:t> المنفعلة؛</w:t>
      </w:r>
    </w:p>
    <w:p w14:paraId="644A6E4A" w14:textId="77777777" w:rsidR="00160288" w:rsidRPr="0052737D" w:rsidRDefault="00160288" w:rsidP="00160288">
      <w:pPr>
        <w:rPr>
          <w:rtl/>
        </w:rPr>
      </w:pPr>
      <w:r w:rsidRPr="0052737D">
        <w:rPr>
          <w:rFonts w:hint="eastAsia"/>
          <w:i/>
          <w:iCs/>
          <w:rtl/>
        </w:rPr>
        <w:t>و</w:t>
      </w:r>
      <w:r w:rsidRPr="00BB2E1E">
        <w:rPr>
          <w:rFonts w:hint="cs"/>
          <w:i/>
          <w:iCs/>
          <w:rtl/>
        </w:rPr>
        <w:t> 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52737D">
        <w:rPr>
          <w:rFonts w:hint="eastAsia"/>
          <w:rtl/>
        </w:rPr>
        <w:t>أن</w:t>
      </w:r>
      <w:r w:rsidRPr="0052737D">
        <w:rPr>
          <w:rtl/>
        </w:rPr>
        <w:t xml:space="preserve"> استعمال الخدمات المنفعلة </w:t>
      </w:r>
      <w:r w:rsidRPr="0052737D">
        <w:rPr>
          <w:rFonts w:hint="eastAsia"/>
          <w:rtl/>
        </w:rPr>
        <w:t>لمدى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التردد</w:t>
      </w:r>
      <w:r w:rsidRPr="0052737D">
        <w:rPr>
          <w:rtl/>
        </w:rPr>
        <w:t xml:space="preserve"> </w:t>
      </w:r>
      <w:r w:rsidRPr="0052737D">
        <w:rPr>
          <w:lang w:val="en-GB"/>
        </w:rPr>
        <w:t>GHz 1 000-275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لا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يحول</w:t>
      </w:r>
      <w:r w:rsidRPr="0052737D">
        <w:rPr>
          <w:rtl/>
        </w:rPr>
        <w:t xml:space="preserve"> دون استعمال الخدمات النشيطة لهذا</w:t>
      </w:r>
      <w:r w:rsidRPr="0052737D">
        <w:rPr>
          <w:rFonts w:hint="eastAsia"/>
          <w:rtl/>
        </w:rPr>
        <w:t> المدى؛</w:t>
      </w:r>
    </w:p>
    <w:p w14:paraId="16760AFD" w14:textId="57F6A13E" w:rsidR="00160288" w:rsidRPr="0052737D" w:rsidRDefault="00160288" w:rsidP="00160288">
      <w:pPr>
        <w:rPr>
          <w:rtl/>
        </w:rPr>
      </w:pPr>
      <w:r w:rsidRPr="0052737D">
        <w:rPr>
          <w:rFonts w:hint="eastAsia"/>
          <w:i/>
          <w:iCs/>
          <w:rtl/>
        </w:rPr>
        <w:t>ز</w:t>
      </w:r>
      <w:r w:rsidRPr="00BB2E1E">
        <w:rPr>
          <w:rFonts w:hint="cs"/>
          <w:i/>
          <w:iCs/>
          <w:rtl/>
        </w:rPr>
        <w:t> 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52737D">
        <w:rPr>
          <w:rFonts w:hint="eastAsia"/>
          <w:rtl/>
        </w:rPr>
        <w:t>أن</w:t>
      </w:r>
      <w:r w:rsidRPr="0052737D">
        <w:rPr>
          <w:rtl/>
        </w:rPr>
        <w:t xml:space="preserve"> الخصائص التقنية والتشغيلية للخدمة الثابتة يلزم تحديدها لأغراض دراسات التقاسم والتوافق مع تطبيقات الخدمات المنفعلة المذكور في </w:t>
      </w:r>
      <w:r w:rsidRPr="0052737D">
        <w:rPr>
          <w:rFonts w:hint="eastAsia"/>
          <w:i/>
          <w:iCs/>
          <w:rtl/>
        </w:rPr>
        <w:t>الفقرة</w:t>
      </w:r>
      <w:r w:rsidRPr="0052737D">
        <w:rPr>
          <w:i/>
          <w:iCs/>
          <w:rtl/>
        </w:rPr>
        <w:t xml:space="preserve"> </w:t>
      </w:r>
      <w:r w:rsidRPr="0052737D">
        <w:rPr>
          <w:rFonts w:hint="eastAsia"/>
          <w:i/>
          <w:iCs/>
          <w:rtl/>
        </w:rPr>
        <w:t>و</w:t>
      </w:r>
      <w:r w:rsidRPr="0052737D">
        <w:rPr>
          <w:i/>
          <w:iCs/>
          <w:rtl/>
        </w:rPr>
        <w:t xml:space="preserve">) </w:t>
      </w:r>
      <w:r w:rsidRPr="003A2C57">
        <w:rPr>
          <w:rFonts w:hint="eastAsia"/>
          <w:rtl/>
        </w:rPr>
        <w:t>من</w:t>
      </w:r>
      <w:r w:rsidRPr="0052737D">
        <w:rPr>
          <w:i/>
          <w:iCs/>
          <w:rtl/>
        </w:rPr>
        <w:t xml:space="preserve"> </w:t>
      </w:r>
      <w:r w:rsidRPr="00251612">
        <w:rPr>
          <w:rtl/>
        </w:rPr>
        <w:t>"</w:t>
      </w:r>
      <w:r w:rsidR="00251612">
        <w:rPr>
          <w:rFonts w:hint="cs"/>
          <w:i/>
          <w:iCs/>
          <w:rtl/>
        </w:rPr>
        <w:t xml:space="preserve"> </w:t>
      </w:r>
      <w:r w:rsidRPr="0052737D">
        <w:rPr>
          <w:i/>
          <w:iCs/>
          <w:rtl/>
        </w:rPr>
        <w:t xml:space="preserve">إذ </w:t>
      </w:r>
      <w:r w:rsidRPr="0052737D">
        <w:rPr>
          <w:rFonts w:hint="eastAsia"/>
          <w:i/>
          <w:iCs/>
          <w:rtl/>
        </w:rPr>
        <w:t>تضع</w:t>
      </w:r>
      <w:r w:rsidRPr="0052737D">
        <w:rPr>
          <w:i/>
          <w:iCs/>
          <w:rtl/>
        </w:rPr>
        <w:t xml:space="preserve"> </w:t>
      </w:r>
      <w:r w:rsidRPr="0052737D">
        <w:rPr>
          <w:rFonts w:hint="eastAsia"/>
          <w:i/>
          <w:iCs/>
          <w:rtl/>
        </w:rPr>
        <w:t>في</w:t>
      </w:r>
      <w:r w:rsidRPr="0052737D">
        <w:rPr>
          <w:i/>
          <w:iCs/>
          <w:rtl/>
        </w:rPr>
        <w:t xml:space="preserve"> </w:t>
      </w:r>
      <w:r w:rsidRPr="0052737D">
        <w:rPr>
          <w:rFonts w:hint="eastAsia"/>
          <w:i/>
          <w:iCs/>
          <w:rtl/>
        </w:rPr>
        <w:t>اعتبارها</w:t>
      </w:r>
      <w:r w:rsidRPr="00251612">
        <w:rPr>
          <w:rtl/>
        </w:rPr>
        <w:t>"</w:t>
      </w:r>
      <w:r w:rsidRPr="0052737D">
        <w:rPr>
          <w:rFonts w:hint="eastAsia"/>
          <w:rtl/>
        </w:rPr>
        <w:t>؛</w:t>
      </w:r>
    </w:p>
    <w:p w14:paraId="49905A49" w14:textId="77777777" w:rsidR="00160288" w:rsidRPr="00BB2E1E" w:rsidRDefault="00160288" w:rsidP="00160288">
      <w:pPr>
        <w:rPr>
          <w:rtl/>
          <w:lang w:bidi="ar-EG"/>
        </w:rPr>
      </w:pPr>
      <w:r w:rsidRPr="0052737D">
        <w:rPr>
          <w:rFonts w:hint="cs"/>
          <w:i/>
          <w:iCs/>
          <w:rtl/>
        </w:rPr>
        <w:t>ﺡ</w:t>
      </w:r>
      <w:r w:rsidRPr="0052737D">
        <w:rPr>
          <w:i/>
          <w:iCs/>
          <w:rtl/>
        </w:rPr>
        <w:t>)</w:t>
      </w:r>
      <w:r w:rsidRPr="0052737D">
        <w:rPr>
          <w:i/>
          <w:iCs/>
          <w:rtl/>
        </w:rPr>
        <w:tab/>
      </w:r>
      <w:r w:rsidRPr="00BB2E1E">
        <w:rPr>
          <w:rFonts w:hint="eastAsia"/>
          <w:rtl/>
          <w:lang w:bidi="ar-EG"/>
        </w:rPr>
        <w:t>أن</w:t>
      </w:r>
      <w:r w:rsidRPr="00BB2E1E">
        <w:rPr>
          <w:rFonts w:hint="cs"/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مدى</w:t>
      </w:r>
      <w:r w:rsidRPr="00BB2E1E">
        <w:rPr>
          <w:rtl/>
          <w:lang w:bidi="ar-EG"/>
        </w:rPr>
        <w:t xml:space="preserve"> التردد </w:t>
      </w:r>
      <w:r w:rsidRPr="00BB2E1E">
        <w:rPr>
          <w:lang w:bidi="ar-EG"/>
        </w:rPr>
        <w:t>GHz 450-275</w:t>
      </w:r>
      <w:r w:rsidRPr="00BB2E1E">
        <w:rPr>
          <w:rFonts w:hint="cs"/>
          <w:rtl/>
          <w:lang w:bidi="ar-EG"/>
        </w:rPr>
        <w:t xml:space="preserve"> قد دُرس في إطار المؤتمر العالمي للاتصالات الراديوية لعام </w:t>
      </w:r>
      <w:r w:rsidRPr="00BB2E1E">
        <w:rPr>
          <w:lang w:val="fr-FR" w:bidi="ar-EG"/>
        </w:rPr>
        <w:t>2019</w:t>
      </w:r>
      <w:r w:rsidRPr="00BB2E1E">
        <w:rPr>
          <w:rFonts w:hint="cs"/>
          <w:rtl/>
        </w:rPr>
        <w:t xml:space="preserve"> لاستعماله في</w:t>
      </w:r>
      <w:r w:rsidRPr="00BB2E1E">
        <w:rPr>
          <w:rFonts w:hint="eastAsia"/>
          <w:rtl/>
        </w:rPr>
        <w:t> </w:t>
      </w:r>
      <w:r w:rsidRPr="00BB2E1E">
        <w:rPr>
          <w:rFonts w:hint="cs"/>
          <w:rtl/>
        </w:rPr>
        <w:t xml:space="preserve">تطبيقات </w:t>
      </w:r>
      <w:r w:rsidRPr="00BB2E1E">
        <w:rPr>
          <w:rtl/>
        </w:rPr>
        <w:t>الخدمة المتنقلة البرية والخدمة الثابتة</w:t>
      </w:r>
      <w:r w:rsidRPr="00BB2E1E">
        <w:rPr>
          <w:rFonts w:hint="cs"/>
          <w:rtl/>
          <w:lang w:bidi="ar-EG"/>
        </w:rPr>
        <w:t>،</w:t>
      </w:r>
    </w:p>
    <w:p w14:paraId="41E47C35" w14:textId="081BAE83" w:rsidR="00160288" w:rsidRPr="0052737D" w:rsidRDefault="00160288" w:rsidP="00160288">
      <w:pPr>
        <w:pStyle w:val="Call"/>
        <w:rPr>
          <w:rtl/>
        </w:rPr>
      </w:pPr>
      <w:r w:rsidRPr="0052737D">
        <w:rPr>
          <w:rFonts w:hint="eastAsia"/>
          <w:rtl/>
        </w:rPr>
        <w:t>وإذ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تلاحظ</w:t>
      </w:r>
    </w:p>
    <w:p w14:paraId="757DE759" w14:textId="77777777" w:rsidR="00160288" w:rsidRPr="0052737D" w:rsidRDefault="00160288" w:rsidP="00160288">
      <w:pPr>
        <w:rPr>
          <w:rtl/>
        </w:rPr>
      </w:pPr>
      <w:r w:rsidRPr="0052737D">
        <w:rPr>
          <w:rFonts w:hint="eastAsia"/>
          <w:i/>
          <w:iCs/>
          <w:rtl/>
        </w:rPr>
        <w:t> أ</w:t>
      </w:r>
      <w:r w:rsidRPr="00BB2E1E">
        <w:rPr>
          <w:rFonts w:hint="cs"/>
          <w:i/>
          <w:iCs/>
          <w:rtl/>
        </w:rPr>
        <w:t> 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52737D">
        <w:rPr>
          <w:rFonts w:hint="eastAsia"/>
          <w:rtl/>
        </w:rPr>
        <w:t>أن</w:t>
      </w:r>
      <w:r w:rsidRPr="0052737D">
        <w:rPr>
          <w:rtl/>
        </w:rPr>
        <w:t xml:space="preserve"> التقرير </w:t>
      </w:r>
      <w:r w:rsidRPr="0052737D">
        <w:rPr>
          <w:lang w:val="en-GB"/>
        </w:rPr>
        <w:t>ITU-R SM.2352</w:t>
      </w:r>
      <w:r w:rsidRPr="0052737D">
        <w:rPr>
          <w:rtl/>
        </w:rPr>
        <w:t xml:space="preserve"> يبين اتجاهات التكنولوجيا للخدمات النشيطة في مدى التردد </w:t>
      </w:r>
      <w:r w:rsidRPr="0052737D">
        <w:rPr>
          <w:lang w:val="en-GB"/>
        </w:rPr>
        <w:t>GHz 3 000-275</w:t>
      </w:r>
      <w:r w:rsidRPr="0052737D">
        <w:rPr>
          <w:rFonts w:hint="eastAsia"/>
          <w:rtl/>
        </w:rPr>
        <w:t>؛</w:t>
      </w:r>
    </w:p>
    <w:p w14:paraId="7A214953" w14:textId="77777777" w:rsidR="00160288" w:rsidRPr="0052737D" w:rsidRDefault="00160288" w:rsidP="00160288">
      <w:pPr>
        <w:rPr>
          <w:spacing w:val="-2"/>
          <w:rtl/>
        </w:rPr>
      </w:pPr>
      <w:r w:rsidRPr="0052737D">
        <w:rPr>
          <w:rFonts w:hint="eastAsia"/>
          <w:i/>
          <w:iCs/>
          <w:spacing w:val="-2"/>
          <w:rtl/>
        </w:rPr>
        <w:t>ب</w:t>
      </w:r>
      <w:r w:rsidRPr="0052737D">
        <w:rPr>
          <w:i/>
          <w:iCs/>
          <w:spacing w:val="-2"/>
          <w:rtl/>
        </w:rPr>
        <w:t>)</w:t>
      </w:r>
      <w:r w:rsidRPr="0052737D">
        <w:rPr>
          <w:spacing w:val="-2"/>
          <w:rtl/>
        </w:rPr>
        <w:tab/>
      </w:r>
      <w:r w:rsidRPr="0052737D">
        <w:rPr>
          <w:rFonts w:hint="eastAsia"/>
          <w:spacing w:val="-2"/>
          <w:rtl/>
        </w:rPr>
        <w:t>أن</w:t>
      </w:r>
      <w:r w:rsidRPr="0052737D">
        <w:rPr>
          <w:spacing w:val="-2"/>
          <w:rtl/>
        </w:rPr>
        <w:t xml:space="preserve"> التقرير </w:t>
      </w:r>
      <w:r w:rsidRPr="0052737D">
        <w:rPr>
          <w:spacing w:val="-2"/>
          <w:lang w:val="en-GB"/>
        </w:rPr>
        <w:t>ITU-R F.2323</w:t>
      </w:r>
      <w:r w:rsidRPr="0052737D">
        <w:rPr>
          <w:spacing w:val="-2"/>
          <w:rtl/>
        </w:rPr>
        <w:t xml:space="preserve"> </w:t>
      </w:r>
      <w:r w:rsidRPr="006D47AD">
        <w:rPr>
          <w:rFonts w:hint="cs"/>
          <w:spacing w:val="-2"/>
          <w:rtl/>
        </w:rPr>
        <w:t>يقدم</w:t>
      </w:r>
      <w:r w:rsidRPr="0052737D">
        <w:rPr>
          <w:spacing w:val="-2"/>
          <w:rtl/>
        </w:rPr>
        <w:t xml:space="preserve"> توجيهات بشأن التطوير المستقبلي للخدمة الثابتة العاملة في نطاق الموجات </w:t>
      </w:r>
      <w:r w:rsidRPr="0052737D">
        <w:rPr>
          <w:rFonts w:hint="eastAsia"/>
          <w:spacing w:val="-2"/>
          <w:rtl/>
        </w:rPr>
        <w:t>المليمترية؛</w:t>
      </w:r>
    </w:p>
    <w:p w14:paraId="693B6A1F" w14:textId="7D34E54F" w:rsidR="00160288" w:rsidRPr="0052737D" w:rsidRDefault="00160288" w:rsidP="00160288">
      <w:pPr>
        <w:rPr>
          <w:rtl/>
        </w:rPr>
      </w:pPr>
      <w:r w:rsidRPr="0052737D">
        <w:rPr>
          <w:rFonts w:hint="cs"/>
          <w:i/>
          <w:iCs/>
          <w:rtl/>
        </w:rPr>
        <w:t>ﺝ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52737D">
        <w:rPr>
          <w:rFonts w:hint="eastAsia"/>
          <w:rtl/>
        </w:rPr>
        <w:t>أن</w:t>
      </w:r>
      <w:r w:rsidRPr="0052737D">
        <w:rPr>
          <w:rtl/>
        </w:rPr>
        <w:t xml:space="preserve"> التقرير </w:t>
      </w:r>
      <w:r w:rsidRPr="0052737D">
        <w:rPr>
          <w:lang w:val="en-GB"/>
        </w:rPr>
        <w:t>ITU-R RA.2189</w:t>
      </w:r>
      <w:r w:rsidRPr="0052737D">
        <w:rPr>
          <w:rtl/>
        </w:rPr>
        <w:t xml:space="preserve"> أطلق دراسات التقاسم بين خدمة الفلك الراديوي والخدمات النشيطة في</w:t>
      </w:r>
      <w:r w:rsidRPr="0052737D">
        <w:rPr>
          <w:rFonts w:hint="eastAsia"/>
          <w:rtl/>
        </w:rPr>
        <w:t> مدى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التردد </w:t>
      </w:r>
      <w:r w:rsidRPr="0052737D">
        <w:rPr>
          <w:lang w:val="en-GB"/>
        </w:rPr>
        <w:t>GHz 3 000-275</w:t>
      </w:r>
      <w:r w:rsidRPr="0052737D">
        <w:rPr>
          <w:rFonts w:hint="eastAsia"/>
          <w:rtl/>
        </w:rPr>
        <w:t>؛</w:t>
      </w:r>
    </w:p>
    <w:p w14:paraId="27632704" w14:textId="77777777" w:rsidR="00160288" w:rsidRPr="0052737D" w:rsidRDefault="00160288" w:rsidP="00160288">
      <w:pPr>
        <w:rPr>
          <w:rtl/>
        </w:rPr>
      </w:pPr>
      <w:r w:rsidRPr="0052737D">
        <w:rPr>
          <w:rFonts w:hint="cs"/>
          <w:i/>
          <w:iCs/>
          <w:rtl/>
        </w:rPr>
        <w:t>ﺩ</w:t>
      </w:r>
      <w:r w:rsidRPr="00BB2E1E">
        <w:rPr>
          <w:rFonts w:hint="eastAsia"/>
          <w:i/>
          <w:iCs/>
          <w:rtl/>
        </w:rPr>
        <w:t> 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BB2E1E">
        <w:rPr>
          <w:rFonts w:hint="cs"/>
          <w:rtl/>
        </w:rPr>
        <w:t xml:space="preserve">أن </w:t>
      </w:r>
      <w:r w:rsidRPr="0052737D">
        <w:rPr>
          <w:rtl/>
          <w:lang w:bidi="ar-SY"/>
        </w:rPr>
        <w:t xml:space="preserve">التقرير </w:t>
      </w:r>
      <w:hyperlink r:id="rId10" w:history="1">
        <w:r w:rsidRPr="003A2C57">
          <w:rPr>
            <w:lang w:val="en-GB"/>
          </w:rPr>
          <w:t>ITU-R F.2416</w:t>
        </w:r>
      </w:hyperlink>
      <w:r w:rsidRPr="0052737D">
        <w:rPr>
          <w:rtl/>
        </w:rPr>
        <w:t xml:space="preserve"> </w:t>
      </w:r>
      <w:r w:rsidRPr="00BB2E1E">
        <w:rPr>
          <w:rtl/>
          <w:lang w:bidi="ar-SY"/>
        </w:rPr>
        <w:t xml:space="preserve">يقدم </w:t>
      </w:r>
      <w:r w:rsidRPr="0052737D">
        <w:rPr>
          <w:rtl/>
        </w:rPr>
        <w:t>الخصائص التقنية والتشغيلية</w:t>
      </w:r>
      <w:r w:rsidRPr="0052737D">
        <w:rPr>
          <w:rtl/>
          <w:lang w:bidi="ar"/>
        </w:rPr>
        <w:t xml:space="preserve"> </w:t>
      </w:r>
      <w:r w:rsidRPr="0052737D">
        <w:rPr>
          <w:rtl/>
        </w:rPr>
        <w:t>لتطبيقات الخدمة الثابتة من نقطة إلى نقطة المشغَّلة في </w:t>
      </w:r>
      <w:r w:rsidRPr="00BB2E1E">
        <w:rPr>
          <w:rFonts w:hint="cs"/>
          <w:rtl/>
        </w:rPr>
        <w:t>نطاق</w:t>
      </w:r>
      <w:r w:rsidRPr="0052737D">
        <w:rPr>
          <w:rtl/>
        </w:rPr>
        <w:t xml:space="preserve"> التردد </w:t>
      </w:r>
      <w:r w:rsidRPr="0052737D">
        <w:t>GHz 450-275</w:t>
      </w:r>
      <w:r w:rsidRPr="0052737D">
        <w:rPr>
          <w:rFonts w:hint="eastAsia"/>
          <w:rtl/>
        </w:rPr>
        <w:t>؛</w:t>
      </w:r>
    </w:p>
    <w:p w14:paraId="21DC92AE" w14:textId="77777777" w:rsidR="00160288" w:rsidRPr="0052737D" w:rsidRDefault="00160288" w:rsidP="00160288">
      <w:pPr>
        <w:rPr>
          <w:rtl/>
        </w:rPr>
      </w:pPr>
      <w:r w:rsidRPr="0052737D">
        <w:rPr>
          <w:rFonts w:hint="cs"/>
          <w:i/>
          <w:iCs/>
          <w:rtl/>
        </w:rPr>
        <w:t>ﻫ</w:t>
      </w:r>
      <w:r w:rsidRPr="0052737D">
        <w:rPr>
          <w:rFonts w:hint="eastAsia"/>
          <w:i/>
          <w:iCs/>
          <w:rtl/>
        </w:rPr>
        <w:t> </w:t>
      </w:r>
      <w:r w:rsidRPr="0052737D">
        <w:rPr>
          <w:i/>
          <w:iCs/>
          <w:rtl/>
        </w:rPr>
        <w:t>)</w:t>
      </w:r>
      <w:r w:rsidRPr="0052737D">
        <w:rPr>
          <w:i/>
          <w:iCs/>
          <w:rtl/>
        </w:rPr>
        <w:tab/>
      </w:r>
      <w:r w:rsidRPr="0052737D">
        <w:rPr>
          <w:rFonts w:hint="eastAsia"/>
          <w:rtl/>
        </w:rPr>
        <w:t>أن</w:t>
      </w:r>
      <w:r w:rsidRPr="00BB2E1E">
        <w:rPr>
          <w:rFonts w:hint="cs"/>
          <w:rtl/>
          <w:lang w:bidi="ar-SY"/>
        </w:rPr>
        <w:t xml:space="preserve"> </w:t>
      </w:r>
      <w:r w:rsidRPr="0052737D">
        <w:rPr>
          <w:rtl/>
          <w:lang w:bidi="ar-SY"/>
        </w:rPr>
        <w:t xml:space="preserve">التقرير </w:t>
      </w:r>
      <w:hyperlink r:id="rId11" w:history="1">
        <w:r w:rsidRPr="003A2C57">
          <w:t>ITU-R M.2417</w:t>
        </w:r>
      </w:hyperlink>
      <w:r w:rsidRPr="0052737D">
        <w:rPr>
          <w:rtl/>
        </w:rPr>
        <w:t xml:space="preserve"> </w:t>
      </w:r>
      <w:r w:rsidRPr="00BB2E1E">
        <w:rPr>
          <w:rtl/>
          <w:lang w:bidi="ar-SY"/>
        </w:rPr>
        <w:t xml:space="preserve">يقدم </w:t>
      </w:r>
      <w:r w:rsidRPr="0052737D">
        <w:rPr>
          <w:rtl/>
        </w:rPr>
        <w:t>الخصائص التقنية والتشغيلية</w:t>
      </w:r>
      <w:r w:rsidRPr="0052737D">
        <w:rPr>
          <w:rtl/>
          <w:lang w:bidi="ar"/>
        </w:rPr>
        <w:t xml:space="preserve"> </w:t>
      </w:r>
      <w:r w:rsidRPr="0052737D">
        <w:rPr>
          <w:rtl/>
        </w:rPr>
        <w:t>لتطبيقات الخدمة المتنقلة البرية المشغَّلة في </w:t>
      </w:r>
      <w:r w:rsidRPr="00BB2E1E">
        <w:rPr>
          <w:rFonts w:hint="cs"/>
          <w:rtl/>
        </w:rPr>
        <w:t>مدى</w:t>
      </w:r>
      <w:r w:rsidRPr="0052737D">
        <w:rPr>
          <w:rtl/>
        </w:rPr>
        <w:t xml:space="preserve"> التردد </w:t>
      </w:r>
      <w:r w:rsidRPr="0052737D">
        <w:t>GHz 450-275</w:t>
      </w:r>
      <w:r w:rsidRPr="0052737D">
        <w:rPr>
          <w:rFonts w:hint="eastAsia"/>
          <w:rtl/>
        </w:rPr>
        <w:t>؛</w:t>
      </w:r>
    </w:p>
    <w:p w14:paraId="25F3E8F7" w14:textId="77777777" w:rsidR="00160288" w:rsidRPr="0052737D" w:rsidRDefault="00160288" w:rsidP="00160288">
      <w:pPr>
        <w:rPr>
          <w:lang w:val="en-GB"/>
        </w:rPr>
      </w:pPr>
      <w:r w:rsidRPr="0052737D">
        <w:rPr>
          <w:rFonts w:hint="cs"/>
          <w:i/>
          <w:iCs/>
          <w:rtl/>
        </w:rPr>
        <w:t>ﻭ</w:t>
      </w:r>
      <w:r w:rsidRPr="0052737D">
        <w:rPr>
          <w:rFonts w:hint="eastAsia"/>
          <w:i/>
          <w:iCs/>
          <w:rtl/>
        </w:rPr>
        <w:t> </w:t>
      </w:r>
      <w:r w:rsidRPr="0052737D">
        <w:rPr>
          <w:i/>
          <w:iCs/>
          <w:rtl/>
        </w:rPr>
        <w:t>)</w:t>
      </w:r>
      <w:r w:rsidRPr="0052737D">
        <w:rPr>
          <w:rtl/>
        </w:rPr>
        <w:tab/>
      </w:r>
      <w:r w:rsidRPr="00BB2E1E">
        <w:rPr>
          <w:rFonts w:hint="cs"/>
          <w:rtl/>
        </w:rPr>
        <w:t xml:space="preserve">أن </w:t>
      </w:r>
      <w:r w:rsidRPr="0052737D">
        <w:rPr>
          <w:rtl/>
          <w:lang w:bidi="ar"/>
        </w:rPr>
        <w:t xml:space="preserve">التقرير </w:t>
      </w:r>
      <w:hyperlink r:id="rId12" w:history="1">
        <w:r w:rsidRPr="003A2C57">
          <w:t>ITU</w:t>
        </w:r>
        <w:r w:rsidRPr="003A2C57">
          <w:noBreakHyphen/>
          <w:t>R RS.2431</w:t>
        </w:r>
      </w:hyperlink>
      <w:r w:rsidRPr="0052737D">
        <w:rPr>
          <w:rtl/>
          <w:lang w:bidi="ar"/>
        </w:rPr>
        <w:t xml:space="preserve"> </w:t>
      </w:r>
      <w:r w:rsidRPr="00BB2E1E">
        <w:rPr>
          <w:rtl/>
          <w:lang w:bidi="ar"/>
        </w:rPr>
        <w:t xml:space="preserve">يقدم </w:t>
      </w:r>
      <w:r w:rsidRPr="0052737D">
        <w:rPr>
          <w:rtl/>
          <w:lang w:bidi="ar"/>
        </w:rPr>
        <w:t xml:space="preserve">الخصائص التقنية والتشغيلية </w:t>
      </w:r>
      <w:r w:rsidRPr="00BB2E1E">
        <w:rPr>
          <w:rFonts w:hint="cs"/>
          <w:rtl/>
        </w:rPr>
        <w:t>ل</w:t>
      </w:r>
      <w:r w:rsidRPr="00BB2E1E">
        <w:rPr>
          <w:rtl/>
        </w:rPr>
        <w:t>أجهزة الاستشعار لرصد الأرض</w:t>
      </w:r>
      <w:r w:rsidRPr="00BB2E1E">
        <w:rPr>
          <w:rFonts w:hint="cs"/>
          <w:rtl/>
        </w:rPr>
        <w:t xml:space="preserve"> </w:t>
      </w:r>
      <w:r w:rsidRPr="0052737D">
        <w:rPr>
          <w:rtl/>
          <w:lang w:bidi="ar"/>
        </w:rPr>
        <w:t>(المنفعلة) في مدى التردد </w:t>
      </w:r>
      <w:r w:rsidRPr="0052737D">
        <w:t>GHz 450-275</w:t>
      </w:r>
      <w:r w:rsidRPr="0052737D">
        <w:rPr>
          <w:rFonts w:hint="eastAsia"/>
          <w:rtl/>
          <w:lang w:bidi="ar"/>
        </w:rPr>
        <w:t>،</w:t>
      </w:r>
    </w:p>
    <w:p w14:paraId="193D17B6" w14:textId="42B072ED" w:rsidR="00160288" w:rsidRPr="0052737D" w:rsidRDefault="00160288" w:rsidP="00160288">
      <w:pPr>
        <w:pStyle w:val="Call"/>
        <w:rPr>
          <w:i w:val="0"/>
          <w:iCs w:val="0"/>
          <w:rtl/>
        </w:rPr>
      </w:pPr>
      <w:r w:rsidRPr="00BB2E1E">
        <w:rPr>
          <w:rFonts w:hint="eastAsia"/>
          <w:rtl/>
          <w:lang w:bidi="ar-EG"/>
        </w:rPr>
        <w:lastRenderedPageBreak/>
        <w:t>تقرر</w:t>
      </w:r>
      <w:r w:rsidRPr="00BB2E1E">
        <w:rPr>
          <w:rtl/>
          <w:lang w:bidi="ar-EG"/>
        </w:rPr>
        <w:t xml:space="preserve"> </w:t>
      </w:r>
      <w:r w:rsidRPr="00BB2E1E">
        <w:rPr>
          <w:i w:val="0"/>
          <w:iCs w:val="0"/>
          <w:rtl/>
          <w:lang w:bidi="ar-EG"/>
        </w:rPr>
        <w:t xml:space="preserve">أن تخضع </w:t>
      </w:r>
      <w:r w:rsidR="006E1710">
        <w:rPr>
          <w:rFonts w:hint="eastAsia"/>
          <w:i w:val="0"/>
          <w:iCs w:val="0"/>
          <w:rtl/>
        </w:rPr>
        <w:t>المس</w:t>
      </w:r>
      <w:r w:rsidR="006E1710">
        <w:rPr>
          <w:rFonts w:hint="cs"/>
          <w:i w:val="0"/>
          <w:iCs w:val="0"/>
          <w:rtl/>
        </w:rPr>
        <w:t>ألة</w:t>
      </w:r>
      <w:r w:rsidRPr="00BB2E1E">
        <w:rPr>
          <w:i w:val="0"/>
          <w:iCs w:val="0"/>
          <w:rtl/>
        </w:rPr>
        <w:t xml:space="preserve"> </w:t>
      </w:r>
      <w:r w:rsidRPr="00BB2E1E">
        <w:rPr>
          <w:rFonts w:hint="eastAsia"/>
          <w:i w:val="0"/>
          <w:iCs w:val="0"/>
          <w:rtl/>
          <w:lang w:bidi="ar-EG"/>
        </w:rPr>
        <w:t>التالية</w:t>
      </w:r>
      <w:r w:rsidRPr="00BB2E1E">
        <w:rPr>
          <w:i w:val="0"/>
          <w:iCs w:val="0"/>
          <w:rtl/>
          <w:lang w:bidi="ar-EG"/>
        </w:rPr>
        <w:t xml:space="preserve"> </w:t>
      </w:r>
      <w:r w:rsidRPr="00BB2E1E">
        <w:rPr>
          <w:rFonts w:hint="eastAsia"/>
          <w:i w:val="0"/>
          <w:iCs w:val="0"/>
          <w:rtl/>
          <w:lang w:bidi="ar-EG"/>
        </w:rPr>
        <w:t>للدراسة</w:t>
      </w:r>
    </w:p>
    <w:p w14:paraId="57C35BA3" w14:textId="77777777" w:rsidR="00160288" w:rsidRPr="0052737D" w:rsidRDefault="00160288" w:rsidP="00160288">
      <w:pPr>
        <w:rPr>
          <w:rtl/>
        </w:rPr>
      </w:pPr>
      <w:r w:rsidRPr="0052737D">
        <w:rPr>
          <w:rFonts w:hint="eastAsia"/>
          <w:rtl/>
        </w:rPr>
        <w:t>ما هي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الخصائص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التقنية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والتشغيلية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للخدمة</w:t>
      </w:r>
      <w:r w:rsidRPr="0052737D">
        <w:rPr>
          <w:rtl/>
        </w:rPr>
        <w:t xml:space="preserve"> الثابتة </w:t>
      </w:r>
      <w:r w:rsidRPr="0052737D">
        <w:rPr>
          <w:rFonts w:hint="eastAsia"/>
          <w:rtl/>
        </w:rPr>
        <w:t>في</w:t>
      </w:r>
      <w:r w:rsidRPr="0052737D">
        <w:rPr>
          <w:rtl/>
        </w:rPr>
        <w:t xml:space="preserve"> مدى التردد </w:t>
      </w:r>
      <w:r w:rsidRPr="0052737D">
        <w:rPr>
          <w:lang w:val="en-GB"/>
        </w:rPr>
        <w:t>GHz 1 000-275</w:t>
      </w:r>
      <w:r w:rsidRPr="0052737D">
        <w:rPr>
          <w:rFonts w:hint="eastAsia"/>
          <w:rtl/>
        </w:rPr>
        <w:t>؟</w:t>
      </w:r>
    </w:p>
    <w:p w14:paraId="7C9F50BB" w14:textId="77777777" w:rsidR="00160288" w:rsidRPr="0052737D" w:rsidRDefault="00160288" w:rsidP="00160288">
      <w:pPr>
        <w:pStyle w:val="Call"/>
        <w:rPr>
          <w:rtl/>
        </w:rPr>
      </w:pPr>
      <w:r w:rsidRPr="0052737D">
        <w:rPr>
          <w:rFonts w:hint="eastAsia"/>
          <w:rtl/>
        </w:rPr>
        <w:t>تقرر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كذلك</w:t>
      </w:r>
    </w:p>
    <w:p w14:paraId="06E911F2" w14:textId="5577C94A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1</w:t>
      </w:r>
      <w:r w:rsidRPr="00BB2E1E">
        <w:rPr>
          <w:rtl/>
        </w:rPr>
        <w:tab/>
      </w:r>
      <w:r w:rsidRPr="00BB2E1E">
        <w:rPr>
          <w:rFonts w:hint="eastAsia"/>
          <w:rtl/>
        </w:rPr>
        <w:t>أن</w:t>
      </w:r>
      <w:r w:rsidRPr="00BB2E1E">
        <w:rPr>
          <w:rtl/>
        </w:rPr>
        <w:t xml:space="preserve"> تجرى دراسات التقاسم بين الخدمة </w:t>
      </w:r>
      <w:r w:rsidRPr="00BB2E1E">
        <w:rPr>
          <w:rFonts w:hint="eastAsia"/>
          <w:rtl/>
        </w:rPr>
        <w:t>الثابتة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والخدمات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المنفعلة،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وكذلك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بين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الخدمة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الثابتة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والخدمات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النشيطة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الأخرى،</w:t>
      </w:r>
      <w:r w:rsidRPr="00BB2E1E">
        <w:rPr>
          <w:rtl/>
        </w:rPr>
        <w:t xml:space="preserve"> </w:t>
      </w:r>
      <w:r w:rsidRPr="003A2C57">
        <w:rPr>
          <w:rFonts w:hint="eastAsia"/>
          <w:rtl/>
        </w:rPr>
        <w:t>مع</w:t>
      </w:r>
      <w:r w:rsidRPr="003A2C57">
        <w:rPr>
          <w:rtl/>
        </w:rPr>
        <w:t xml:space="preserve"> </w:t>
      </w:r>
      <w:r w:rsidRPr="003A2C57">
        <w:rPr>
          <w:rFonts w:hint="eastAsia"/>
          <w:rtl/>
        </w:rPr>
        <w:t>مراعاة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الخصائص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المذكورة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في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الفقرة</w:t>
      </w:r>
      <w:r w:rsidRPr="00BB2E1E">
        <w:rPr>
          <w:rtl/>
        </w:rPr>
        <w:t xml:space="preserve"> </w:t>
      </w:r>
      <w:r w:rsidRPr="00251612">
        <w:rPr>
          <w:rtl/>
        </w:rPr>
        <w:t>"</w:t>
      </w:r>
      <w:r w:rsidR="002922F7">
        <w:rPr>
          <w:rFonts w:hint="eastAsia"/>
          <w:i/>
          <w:iCs/>
          <w:rtl/>
        </w:rPr>
        <w:t> </w:t>
      </w:r>
      <w:r w:rsidRPr="00BB2E1E">
        <w:rPr>
          <w:rFonts w:hint="cs"/>
          <w:i/>
          <w:iCs/>
          <w:rtl/>
        </w:rPr>
        <w:t>ت</w:t>
      </w:r>
      <w:r w:rsidRPr="00BB2E1E">
        <w:rPr>
          <w:rFonts w:hint="eastAsia"/>
          <w:i/>
          <w:iCs/>
          <w:rtl/>
        </w:rPr>
        <w:t>قرر</w:t>
      </w:r>
      <w:r w:rsidRPr="00251612">
        <w:rPr>
          <w:rtl/>
        </w:rPr>
        <w:t>"</w:t>
      </w:r>
      <w:r w:rsidRPr="00BB2E1E">
        <w:rPr>
          <w:rFonts w:hint="eastAsia"/>
          <w:rtl/>
        </w:rPr>
        <w:t>؛</w:t>
      </w:r>
    </w:p>
    <w:p w14:paraId="366215B4" w14:textId="77777777" w:rsidR="00160288" w:rsidRPr="00BB2E1E" w:rsidRDefault="00160288" w:rsidP="00160288">
      <w:pPr>
        <w:rPr>
          <w:rtl/>
        </w:rPr>
      </w:pPr>
      <w:r w:rsidRPr="00BB2E1E">
        <w:rPr>
          <w:lang w:val="en-GB"/>
        </w:rPr>
        <w:t>2</w:t>
      </w:r>
      <w:r w:rsidRPr="00BB2E1E">
        <w:rPr>
          <w:rtl/>
        </w:rPr>
        <w:tab/>
      </w:r>
      <w:r w:rsidRPr="00BB2E1E">
        <w:rPr>
          <w:rFonts w:hint="eastAsia"/>
          <w:rtl/>
        </w:rPr>
        <w:t>إحاطة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لجان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الدراسات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الأخرى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علماً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بنتائج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الدراسات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المتعلقة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بمدى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التردد </w:t>
      </w:r>
      <w:r w:rsidRPr="00BB2E1E">
        <w:rPr>
          <w:lang w:val="en-GB"/>
        </w:rPr>
        <w:t>GHz 1 000-275</w:t>
      </w:r>
      <w:r w:rsidRPr="00BB2E1E">
        <w:rPr>
          <w:rFonts w:hint="eastAsia"/>
          <w:rtl/>
        </w:rPr>
        <w:t>؛</w:t>
      </w:r>
    </w:p>
    <w:p w14:paraId="6BE77B58" w14:textId="77777777" w:rsidR="00160288" w:rsidRPr="0052737D" w:rsidRDefault="00160288" w:rsidP="00160288">
      <w:pPr>
        <w:rPr>
          <w:rtl/>
        </w:rPr>
      </w:pPr>
      <w:r w:rsidRPr="0052737D">
        <w:rPr>
          <w:lang w:val="en-GB"/>
        </w:rPr>
        <w:t>3</w:t>
      </w:r>
      <w:r w:rsidRPr="0052737D">
        <w:rPr>
          <w:rtl/>
        </w:rPr>
        <w:tab/>
        <w:t xml:space="preserve">ضرورة </w:t>
      </w:r>
      <w:r w:rsidRPr="0052737D">
        <w:rPr>
          <w:rFonts w:hint="eastAsia"/>
          <w:rtl/>
        </w:rPr>
        <w:t>إدراج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نتائج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الدراسات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المذكورة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أعلاه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في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توصية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أو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تقرير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أو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كتيب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أو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أكثر؛</w:t>
      </w:r>
    </w:p>
    <w:p w14:paraId="2A73E0D2" w14:textId="714DF40B" w:rsidR="00160288" w:rsidRPr="0052737D" w:rsidRDefault="00160288" w:rsidP="00160288">
      <w:pPr>
        <w:rPr>
          <w:rtl/>
        </w:rPr>
      </w:pPr>
      <w:r w:rsidRPr="0052737D">
        <w:rPr>
          <w:lang w:val="en-GB"/>
        </w:rPr>
        <w:t>4</w:t>
      </w:r>
      <w:r w:rsidRPr="0052737D">
        <w:rPr>
          <w:rtl/>
        </w:rPr>
        <w:tab/>
        <w:t xml:space="preserve">ضرورة </w:t>
      </w:r>
      <w:r w:rsidRPr="0052737D">
        <w:rPr>
          <w:rFonts w:hint="eastAsia"/>
          <w:rtl/>
        </w:rPr>
        <w:t>إنجاز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الدراسات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سالفة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الذكر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بحلول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عام</w:t>
      </w:r>
      <w:r w:rsidRPr="00AD3693">
        <w:rPr>
          <w:rtl/>
        </w:rPr>
        <w:t xml:space="preserve"> </w:t>
      </w:r>
      <w:r w:rsidRPr="0052737D">
        <w:t>2023</w:t>
      </w:r>
      <w:r w:rsidRPr="0052737D">
        <w:rPr>
          <w:rtl/>
        </w:rPr>
        <w:t>.</w:t>
      </w:r>
    </w:p>
    <w:p w14:paraId="3A84A9E3" w14:textId="77777777" w:rsidR="00160288" w:rsidRPr="00BB2E1E" w:rsidRDefault="00160288" w:rsidP="003A2C57">
      <w:pPr>
        <w:spacing w:before="480"/>
        <w:rPr>
          <w:rtl/>
        </w:rPr>
      </w:pPr>
      <w:r w:rsidRPr="0052737D">
        <w:rPr>
          <w:rFonts w:hint="eastAsia"/>
          <w:rtl/>
        </w:rPr>
        <w:t>الفئة</w:t>
      </w:r>
      <w:r w:rsidRPr="0052737D">
        <w:rPr>
          <w:rtl/>
        </w:rPr>
        <w:t xml:space="preserve">: </w:t>
      </w:r>
      <w:r w:rsidRPr="0052737D">
        <w:rPr>
          <w:lang w:val="en-GB"/>
        </w:rPr>
        <w:t>S2</w:t>
      </w:r>
    </w:p>
    <w:p w14:paraId="0E763BE4" w14:textId="14C48C77" w:rsidR="00160288" w:rsidRPr="00BB2E1E" w:rsidRDefault="00160288" w:rsidP="00160288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</w:p>
    <w:sectPr w:rsidR="00160288" w:rsidRPr="00BB2E1E" w:rsidSect="008B5B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6F50" w14:textId="77777777" w:rsidR="00546F8E" w:rsidRDefault="00546F8E" w:rsidP="00E07379">
      <w:pPr>
        <w:spacing w:before="0" w:line="240" w:lineRule="auto"/>
      </w:pPr>
      <w:r>
        <w:separator/>
      </w:r>
    </w:p>
  </w:endnote>
  <w:endnote w:type="continuationSeparator" w:id="0">
    <w:p w14:paraId="19865FEB" w14:textId="77777777" w:rsidR="00546F8E" w:rsidRDefault="00546F8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2196" w14:textId="77777777" w:rsidR="009046F6" w:rsidRDefault="00904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82E5D" w14:textId="77777777" w:rsidR="009046F6" w:rsidRDefault="009046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99F5" w14:textId="2A075A76" w:rsidR="00546F8E" w:rsidRPr="009046F6" w:rsidRDefault="00546F8E" w:rsidP="00904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4F243" w14:textId="77777777" w:rsidR="00546F8E" w:rsidRDefault="00546F8E" w:rsidP="00E07379">
      <w:pPr>
        <w:spacing w:before="0" w:line="240" w:lineRule="auto"/>
      </w:pPr>
      <w:r>
        <w:separator/>
      </w:r>
    </w:p>
  </w:footnote>
  <w:footnote w:type="continuationSeparator" w:id="0">
    <w:p w14:paraId="5B03CFCD" w14:textId="77777777" w:rsidR="00546F8E" w:rsidRDefault="00546F8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15B8" w14:textId="77777777" w:rsidR="009046F6" w:rsidRDefault="00904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FD351" w14:textId="77777777" w:rsidR="00546F8E" w:rsidRPr="008B5B5D" w:rsidRDefault="00546F8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9046F6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4766"/>
      <w:gridCol w:w="4873"/>
    </w:tblGrid>
    <w:tr w:rsidR="00C34417" w:rsidRPr="000218F7" w14:paraId="3165406B" w14:textId="77777777" w:rsidTr="00F61A79">
      <w:trPr>
        <w:jc w:val="center"/>
      </w:trPr>
      <w:tc>
        <w:tcPr>
          <w:tcW w:w="2472" w:type="pct"/>
          <w:vAlign w:val="center"/>
        </w:tcPr>
        <w:p w14:paraId="40867EAD" w14:textId="4EEB646D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 w:bidi="ar-EG"/>
            </w:rPr>
          </w:pPr>
          <w:bookmarkStart w:id="0" w:name="_GoBack"/>
          <w:bookmarkEnd w:id="0"/>
        </w:p>
      </w:tc>
      <w:tc>
        <w:tcPr>
          <w:tcW w:w="2528" w:type="pct"/>
          <w:vAlign w:val="center"/>
        </w:tcPr>
        <w:p w14:paraId="02B69455" w14:textId="77262EF0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</w:p>
      </w:tc>
    </w:tr>
  </w:tbl>
  <w:p w14:paraId="700A4D70" w14:textId="7B3522D7" w:rsidR="00546F8E" w:rsidRPr="00933E83" w:rsidRDefault="00546F8E" w:rsidP="00933E83">
    <w:pPr>
      <w:spacing w:before="0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C5"/>
    <w:rsid w:val="000124CC"/>
    <w:rsid w:val="00041F8B"/>
    <w:rsid w:val="00046444"/>
    <w:rsid w:val="0006023B"/>
    <w:rsid w:val="0008638B"/>
    <w:rsid w:val="00090574"/>
    <w:rsid w:val="00092FC2"/>
    <w:rsid w:val="000A1677"/>
    <w:rsid w:val="000A1A0D"/>
    <w:rsid w:val="000B407F"/>
    <w:rsid w:val="000C13C2"/>
    <w:rsid w:val="000F0B1C"/>
    <w:rsid w:val="000F1D42"/>
    <w:rsid w:val="000F4D07"/>
    <w:rsid w:val="00102A03"/>
    <w:rsid w:val="001040A3"/>
    <w:rsid w:val="00160288"/>
    <w:rsid w:val="00173915"/>
    <w:rsid w:val="001C1B77"/>
    <w:rsid w:val="001D0CE6"/>
    <w:rsid w:val="001E00AE"/>
    <w:rsid w:val="001F2ED3"/>
    <w:rsid w:val="001F3168"/>
    <w:rsid w:val="00201801"/>
    <w:rsid w:val="0021544D"/>
    <w:rsid w:val="0022345D"/>
    <w:rsid w:val="00225854"/>
    <w:rsid w:val="0023283D"/>
    <w:rsid w:val="00235B25"/>
    <w:rsid w:val="002365E6"/>
    <w:rsid w:val="00251612"/>
    <w:rsid w:val="00252E0C"/>
    <w:rsid w:val="00271E43"/>
    <w:rsid w:val="00276881"/>
    <w:rsid w:val="0028132D"/>
    <w:rsid w:val="002916BE"/>
    <w:rsid w:val="002922F7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49F1"/>
    <w:rsid w:val="003275AC"/>
    <w:rsid w:val="00333D29"/>
    <w:rsid w:val="003409F4"/>
    <w:rsid w:val="00357185"/>
    <w:rsid w:val="003A2C57"/>
    <w:rsid w:val="003C475F"/>
    <w:rsid w:val="003E4132"/>
    <w:rsid w:val="003F678F"/>
    <w:rsid w:val="004002A9"/>
    <w:rsid w:val="004264B2"/>
    <w:rsid w:val="0042686F"/>
    <w:rsid w:val="004367CE"/>
    <w:rsid w:val="00443869"/>
    <w:rsid w:val="004712C6"/>
    <w:rsid w:val="00497703"/>
    <w:rsid w:val="004C3CA6"/>
    <w:rsid w:val="004F0F06"/>
    <w:rsid w:val="00501E0E"/>
    <w:rsid w:val="005204D7"/>
    <w:rsid w:val="00530420"/>
    <w:rsid w:val="00531BC3"/>
    <w:rsid w:val="00541680"/>
    <w:rsid w:val="00546F8E"/>
    <w:rsid w:val="00552BC5"/>
    <w:rsid w:val="0055516A"/>
    <w:rsid w:val="0056374C"/>
    <w:rsid w:val="0056614F"/>
    <w:rsid w:val="0057656F"/>
    <w:rsid w:val="00576731"/>
    <w:rsid w:val="0059285F"/>
    <w:rsid w:val="005A24B1"/>
    <w:rsid w:val="005B15F3"/>
    <w:rsid w:val="005B7B8A"/>
    <w:rsid w:val="005C124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505E"/>
    <w:rsid w:val="006A62EC"/>
    <w:rsid w:val="006C1556"/>
    <w:rsid w:val="006C3834"/>
    <w:rsid w:val="006D75F7"/>
    <w:rsid w:val="006E1710"/>
    <w:rsid w:val="006F267F"/>
    <w:rsid w:val="006F63F7"/>
    <w:rsid w:val="006F6F03"/>
    <w:rsid w:val="00706D7A"/>
    <w:rsid w:val="00726AEC"/>
    <w:rsid w:val="007530CA"/>
    <w:rsid w:val="007538F5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83D7C"/>
    <w:rsid w:val="008A1810"/>
    <w:rsid w:val="008B0945"/>
    <w:rsid w:val="008B5B5D"/>
    <w:rsid w:val="009046F6"/>
    <w:rsid w:val="00917694"/>
    <w:rsid w:val="00923199"/>
    <w:rsid w:val="009263CD"/>
    <w:rsid w:val="00930E6D"/>
    <w:rsid w:val="00933E83"/>
    <w:rsid w:val="00953092"/>
    <w:rsid w:val="009554DC"/>
    <w:rsid w:val="009568F1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36297"/>
    <w:rsid w:val="00A42AE5"/>
    <w:rsid w:val="00A52B61"/>
    <w:rsid w:val="00A64820"/>
    <w:rsid w:val="00A71DD6"/>
    <w:rsid w:val="00A723C7"/>
    <w:rsid w:val="00A80E11"/>
    <w:rsid w:val="00A97F94"/>
    <w:rsid w:val="00AB1309"/>
    <w:rsid w:val="00AB72F7"/>
    <w:rsid w:val="00AC2C52"/>
    <w:rsid w:val="00AD1503"/>
    <w:rsid w:val="00AD22C7"/>
    <w:rsid w:val="00AE7244"/>
    <w:rsid w:val="00AF3FEE"/>
    <w:rsid w:val="00AF70F6"/>
    <w:rsid w:val="00B02F46"/>
    <w:rsid w:val="00B2000C"/>
    <w:rsid w:val="00B20ADE"/>
    <w:rsid w:val="00B30F39"/>
    <w:rsid w:val="00B31F96"/>
    <w:rsid w:val="00B66B9A"/>
    <w:rsid w:val="00B82089"/>
    <w:rsid w:val="00B92EC3"/>
    <w:rsid w:val="00B970AE"/>
    <w:rsid w:val="00BA1427"/>
    <w:rsid w:val="00BD72FA"/>
    <w:rsid w:val="00BE49D0"/>
    <w:rsid w:val="00BF2C38"/>
    <w:rsid w:val="00C13AC5"/>
    <w:rsid w:val="00C23331"/>
    <w:rsid w:val="00C250F9"/>
    <w:rsid w:val="00C265DA"/>
    <w:rsid w:val="00C31F7F"/>
    <w:rsid w:val="00C34417"/>
    <w:rsid w:val="00C442F2"/>
    <w:rsid w:val="00C449C5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86F35"/>
    <w:rsid w:val="00DA1CF0"/>
    <w:rsid w:val="00DB2271"/>
    <w:rsid w:val="00DB46B5"/>
    <w:rsid w:val="00DB5659"/>
    <w:rsid w:val="00DC24B4"/>
    <w:rsid w:val="00DC5E81"/>
    <w:rsid w:val="00DD7A05"/>
    <w:rsid w:val="00DE3BF1"/>
    <w:rsid w:val="00DF16DC"/>
    <w:rsid w:val="00DF5361"/>
    <w:rsid w:val="00DF5990"/>
    <w:rsid w:val="00E009A1"/>
    <w:rsid w:val="00E00D15"/>
    <w:rsid w:val="00E071BE"/>
    <w:rsid w:val="00E07379"/>
    <w:rsid w:val="00E130D5"/>
    <w:rsid w:val="00E14494"/>
    <w:rsid w:val="00E17033"/>
    <w:rsid w:val="00E22744"/>
    <w:rsid w:val="00E32189"/>
    <w:rsid w:val="00E45211"/>
    <w:rsid w:val="00E47826"/>
    <w:rsid w:val="00E5532C"/>
    <w:rsid w:val="00E7380C"/>
    <w:rsid w:val="00E74BE7"/>
    <w:rsid w:val="00E86CC9"/>
    <w:rsid w:val="00E928EB"/>
    <w:rsid w:val="00E96624"/>
    <w:rsid w:val="00F126F1"/>
    <w:rsid w:val="00F2106A"/>
    <w:rsid w:val="00F36D8B"/>
    <w:rsid w:val="00F401D0"/>
    <w:rsid w:val="00F41F73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8BE5AC"/>
  <w15:chartTrackingRefBased/>
  <w15:docId w15:val="{01036ACC-4886-4CC9-8131-A321985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link w:val="NoteChar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160288"/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A3629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A36297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449C5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C449C5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160288"/>
    <w:pPr>
      <w:tabs>
        <w:tab w:val="clear" w:pos="1134"/>
        <w:tab w:val="left" w:pos="794"/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 w:bidi="ar-EG"/>
    </w:rPr>
  </w:style>
  <w:style w:type="character" w:customStyle="1" w:styleId="NormalafterTitelChar">
    <w:name w:val="Normal after Titel Char"/>
    <w:link w:val="NormalafterTitel"/>
    <w:rsid w:val="00160288"/>
    <w:rPr>
      <w:rFonts w:ascii="Times New Roman" w:eastAsia="Times New Roman" w:hAnsi="Times New Roman" w:cs="Traditional Arabic"/>
      <w:szCs w:val="30"/>
      <w:lang w:val="en-GB" w:eastAsia="en-US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288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customStyle="1" w:styleId="AnnexNo0">
    <w:name w:val="Annex No"/>
    <w:basedOn w:val="Normal"/>
    <w:qFormat/>
    <w:rsid w:val="00C449C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Questiondate">
    <w:name w:val="Question_date"/>
    <w:basedOn w:val="Normal"/>
    <w:next w:val="Normalaftertitle0"/>
    <w:qFormat/>
    <w:rsid w:val="00C449C5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C449C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Annextitle0">
    <w:name w:val="Annex title"/>
    <w:basedOn w:val="AnnexNo0"/>
    <w:qFormat/>
    <w:rsid w:val="00C449C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R-REP-RS.243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pub/R-REP-M.241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tu.int/pub/R-REP-F.2416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0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E566DB-8FE6-43D2-84E1-41C0E9D3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Sir Bosson, Ana</cp:lastModifiedBy>
  <cp:revision>3</cp:revision>
  <cp:lastPrinted>2019-11-25T10:46:00Z</cp:lastPrinted>
  <dcterms:created xsi:type="dcterms:W3CDTF">2019-12-04T10:27:00Z</dcterms:created>
  <dcterms:modified xsi:type="dcterms:W3CDTF">2019-12-04T10:27:00Z</dcterms:modified>
  <cp:category>Conference document</cp:category>
</cp:coreProperties>
</file>