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C4" w:rsidRPr="007D62F7" w:rsidRDefault="000464C4" w:rsidP="000464C4">
      <w:pPr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ind w:left="108"/>
        <w:jc w:val="center"/>
        <w:rPr>
          <w:rFonts w:ascii="Times New Roman" w:hAnsi="Times New Roman" w:cs="Times New Roman"/>
          <w:caps/>
          <w:sz w:val="28"/>
          <w:szCs w:val="20"/>
          <w:lang w:eastAsia="zh-CN"/>
        </w:rPr>
      </w:pPr>
      <w:r w:rsidRPr="007D62F7">
        <w:rPr>
          <w:rFonts w:ascii="Times New Roman" w:hAnsi="Times New Roman" w:cs="Times New Roman" w:hint="eastAsia"/>
          <w:caps/>
          <w:sz w:val="28"/>
          <w:szCs w:val="20"/>
          <w:lang w:eastAsia="ja-JP"/>
        </w:rPr>
        <w:t xml:space="preserve">question ITU-R </w:t>
      </w:r>
      <w:r w:rsidRPr="007D62F7">
        <w:rPr>
          <w:rFonts w:ascii="Times New Roman" w:hAnsi="Times New Roman" w:cs="Times New Roman"/>
          <w:caps/>
          <w:sz w:val="28"/>
          <w:szCs w:val="20"/>
          <w:lang w:eastAsia="ja-JP"/>
        </w:rPr>
        <w:t>256/5</w:t>
      </w:r>
    </w:p>
    <w:p w:rsidR="000464C4" w:rsidRDefault="000464C4" w:rsidP="000464C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ind w:left="108"/>
        <w:jc w:val="center"/>
        <w:rPr>
          <w:rFonts w:ascii="Times New Roman Bold" w:hAnsi="Times New Roman Bold" w:cs="Times New Roman"/>
          <w:b/>
          <w:sz w:val="28"/>
          <w:szCs w:val="20"/>
          <w:lang w:val="en-GB" w:eastAsia="ja-JP"/>
        </w:rPr>
      </w:pPr>
      <w:r w:rsidRPr="006A50DB">
        <w:rPr>
          <w:rFonts w:ascii="Times New Roman Bold" w:hAnsi="Times New Roman Bold" w:cs="Times New Roman" w:hint="eastAsia"/>
          <w:b/>
          <w:sz w:val="28"/>
          <w:szCs w:val="20"/>
          <w:lang w:val="en-GB" w:eastAsia="ja-JP"/>
        </w:rPr>
        <w:t xml:space="preserve">Technical and operational characteristics of the land mobile service </w:t>
      </w:r>
      <w:r w:rsidRPr="006A50DB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br/>
      </w:r>
      <w:r w:rsidRPr="006A50DB">
        <w:rPr>
          <w:rFonts w:ascii="Times New Roman Bold" w:hAnsi="Times New Roman Bold" w:cs="Times New Roman" w:hint="eastAsia"/>
          <w:b/>
          <w:sz w:val="28"/>
          <w:szCs w:val="20"/>
          <w:lang w:val="en-GB" w:eastAsia="ja-JP"/>
        </w:rPr>
        <w:t xml:space="preserve">in the </w:t>
      </w:r>
      <w:r w:rsidRPr="006A50DB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>frequency range</w:t>
      </w:r>
      <w:r w:rsidRPr="006A50DB">
        <w:rPr>
          <w:rFonts w:ascii="Times New Roman Bold" w:hAnsi="Times New Roman Bold" w:cs="Times New Roman" w:hint="eastAsia"/>
          <w:b/>
          <w:sz w:val="28"/>
          <w:szCs w:val="20"/>
          <w:lang w:val="en-GB" w:eastAsia="ja-JP"/>
        </w:rPr>
        <w:t xml:space="preserve"> 275-1 000 GHz</w:t>
      </w:r>
    </w:p>
    <w:p w:rsidR="000464C4" w:rsidRPr="00656EB8" w:rsidRDefault="000464C4" w:rsidP="000464C4">
      <w:pPr>
        <w:pStyle w:val="QuestionTitleDate"/>
        <w:rPr>
          <w:sz w:val="24"/>
          <w:szCs w:val="24"/>
        </w:rPr>
      </w:pPr>
      <w:r>
        <w:rPr>
          <w:sz w:val="24"/>
          <w:szCs w:val="24"/>
        </w:rPr>
        <w:t>(2015</w:t>
      </w:r>
      <w:r w:rsidRPr="00656EB8">
        <w:rPr>
          <w:sz w:val="24"/>
          <w:szCs w:val="24"/>
        </w:rPr>
        <w:t>)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right="-676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:rsidR="000464C4" w:rsidRPr="006A50DB" w:rsidRDefault="000464C4" w:rsidP="000464C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t>considering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6A50DB">
        <w:rPr>
          <w:rFonts w:ascii="Times New Roman" w:hAnsi="Times New Roman" w:cs="Times New Roman"/>
          <w:szCs w:val="20"/>
          <w:lang w:val="en-GB"/>
        </w:rPr>
        <w:tab/>
        <w:t>that the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re is a growing demand for high speed and large capacity radiocommunication</w:t>
      </w:r>
      <w:r>
        <w:rPr>
          <w:rFonts w:ascii="Times New Roman" w:hAnsi="Times New Roman" w:cs="Times New Roman"/>
          <w:szCs w:val="20"/>
          <w:lang w:val="en-GB" w:eastAsia="ja-JP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>
        <w:rPr>
          <w:rFonts w:ascii="Times New Roman" w:hAnsi="Times New Roman" w:cs="Times New Roman"/>
          <w:szCs w:val="20"/>
          <w:lang w:val="en-GB" w:eastAsia="ja-JP"/>
        </w:rPr>
        <w:t>having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data rate</w:t>
      </w:r>
      <w:r>
        <w:rPr>
          <w:rFonts w:ascii="Times New Roman" w:hAnsi="Times New Roman" w:cs="Times New Roman"/>
          <w:szCs w:val="20"/>
          <w:lang w:val="en-GB" w:eastAsia="ja-JP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of several tens of Gb</w:t>
      </w:r>
      <w:r>
        <w:rPr>
          <w:rFonts w:ascii="Times New Roman" w:hAnsi="Times New Roman" w:cs="Times New Roman"/>
          <w:szCs w:val="20"/>
          <w:lang w:val="en-GB" w:eastAsia="ja-JP"/>
        </w:rPr>
        <w:t>it/s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to over 100 Gb</w:t>
      </w:r>
      <w:r>
        <w:rPr>
          <w:rFonts w:ascii="Times New Roman" w:hAnsi="Times New Roman" w:cs="Times New Roman"/>
          <w:szCs w:val="20"/>
          <w:lang w:val="en-GB" w:eastAsia="ja-JP"/>
        </w:rPr>
        <w:t>it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/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s for land mobile service applications</w:t>
      </w:r>
      <w:r w:rsidRPr="006A50DB">
        <w:rPr>
          <w:rFonts w:ascii="Times New Roman" w:hAnsi="Times New Roman" w:cs="Times New Roman"/>
          <w:szCs w:val="20"/>
          <w:lang w:val="en-GB"/>
        </w:rPr>
        <w:t>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 w:hint="eastAsia"/>
          <w:i/>
          <w:iCs/>
          <w:szCs w:val="20"/>
          <w:lang w:val="en-GB" w:eastAsia="ja-JP"/>
        </w:rPr>
        <w:t>b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due to progress in the recent terahertz technologies, the integrated devices and circuits operating above 275 GHz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can achieve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various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sophisticated applications</w:t>
      </w:r>
      <w:r w:rsidRPr="006A50DB">
        <w:rPr>
          <w:rFonts w:ascii="Times New Roman" w:hAnsi="Times New Roman" w:cs="Times New Roman"/>
          <w:szCs w:val="20"/>
          <w:lang w:val="en-GB"/>
        </w:rPr>
        <w:t>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 w:hint="eastAsia"/>
          <w:i/>
          <w:iCs/>
          <w:szCs w:val="20"/>
          <w:lang w:val="en-GB" w:eastAsia="ja-JP"/>
        </w:rPr>
        <w:t>c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ab/>
        <w:t>that the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above devices and circuits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could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provide such high speed and large capacity radiocommunication</w:t>
      </w:r>
      <w:r>
        <w:rPr>
          <w:rFonts w:ascii="Times New Roman" w:hAnsi="Times New Roman" w:cs="Times New Roman"/>
          <w:szCs w:val="20"/>
          <w:lang w:val="en-GB" w:eastAsia="ja-JP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for land mobile service systems;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i/>
          <w:szCs w:val="20"/>
          <w:lang w:val="en-GB" w:eastAsia="ja-JP"/>
        </w:rPr>
        <w:t>d)</w:t>
      </w:r>
      <w:r w:rsidRPr="006A50DB">
        <w:rPr>
          <w:rFonts w:ascii="Times New Roman" w:hAnsi="Times New Roman" w:cs="Times New Roman"/>
          <w:i/>
          <w:szCs w:val="20"/>
          <w:lang w:val="en-GB" w:eastAsia="ja-JP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that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standard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development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organization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such as IEEE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are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developing standard</w:t>
      </w:r>
      <w:r>
        <w:rPr>
          <w:rFonts w:ascii="Times New Roman" w:hAnsi="Times New Roman" w:cs="Times New Roman"/>
          <w:szCs w:val="20"/>
          <w:lang w:val="en-GB" w:eastAsia="ja-JP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>
        <w:rPr>
          <w:rFonts w:ascii="Times New Roman" w:hAnsi="Times New Roman" w:cs="Times New Roman"/>
          <w:szCs w:val="20"/>
          <w:lang w:val="en-GB" w:eastAsia="ja-JP"/>
        </w:rPr>
        <w:t>for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terahertz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wireless systems which utilize t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he broadband c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ontiguous bandwidth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larger than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50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 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GHz using the frequency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range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above 275 GHz; 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775373">
        <w:rPr>
          <w:rFonts w:ascii="Times New Roman" w:hAnsi="Times New Roman" w:cs="Times New Roman" w:hint="eastAsia"/>
          <w:i/>
          <w:szCs w:val="20"/>
          <w:lang w:val="en-GB" w:eastAsia="ja-JP"/>
        </w:rPr>
        <w:t>e)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ab/>
        <w:t xml:space="preserve">that broadband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contiguous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bandwidth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larger than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50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 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GHz for the land mobile service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are not available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in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the frequency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range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below 275 GHz; 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ja-JP"/>
        </w:rPr>
        <w:t>f)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certain parts of </w:t>
      </w:r>
      <w:r w:rsidRPr="006A50DB">
        <w:rPr>
          <w:rFonts w:ascii="Times New Roman" w:hAnsi="Times New Roman" w:cs="Times New Roman"/>
          <w:szCs w:val="20"/>
          <w:lang w:val="en-GB"/>
        </w:rPr>
        <w:t>the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frequenc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y range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275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-1 000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 GHz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are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 identified for </w:t>
      </w:r>
      <w:r>
        <w:rPr>
          <w:rFonts w:ascii="Times New Roman" w:hAnsi="Times New Roman" w:cs="Times New Roman"/>
          <w:szCs w:val="20"/>
          <w:lang w:val="en-GB" w:eastAsia="ja-JP"/>
        </w:rPr>
        <w:t xml:space="preserve">use by administrations for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passive service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applications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in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Radio Regulation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s No. </w:t>
      </w:r>
      <w:r w:rsidRPr="006A50DB">
        <w:rPr>
          <w:rFonts w:ascii="Times New Roman" w:hAnsi="Times New Roman" w:cs="Times New Roman" w:hint="eastAsia"/>
          <w:b/>
          <w:bCs/>
          <w:szCs w:val="20"/>
          <w:lang w:val="en-GB" w:eastAsia="ja-JP"/>
        </w:rPr>
        <w:t>5.565</w:t>
      </w:r>
      <w:r w:rsidRPr="006A50DB">
        <w:rPr>
          <w:rFonts w:ascii="Times New Roman" w:hAnsi="Times New Roman" w:cs="Times New Roman"/>
          <w:szCs w:val="20"/>
          <w:lang w:val="en-GB"/>
        </w:rPr>
        <w:t>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ja-JP"/>
        </w:rPr>
        <w:t>g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the use of the frequency range 275-1 000 GHz by the passive services does not preclude the use of this range by active services; 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ja-JP"/>
        </w:rPr>
        <w:t>h)</w:t>
      </w:r>
      <w:r w:rsidRPr="006A50DB">
        <w:rPr>
          <w:rFonts w:ascii="Times New Roman" w:hAnsi="Times New Roman" w:cs="Times New Roman"/>
          <w:szCs w:val="20"/>
          <w:lang w:val="en-GB" w:eastAsia="ja-JP"/>
        </w:rPr>
        <w:tab/>
        <w:t xml:space="preserve">that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the technical and operational characteristics of the land mobile service need to be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specified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for sharing and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compatibility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studies with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the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passive service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applications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indicated in </w:t>
      </w:r>
      <w:r w:rsidRPr="006A50DB">
        <w:rPr>
          <w:rFonts w:ascii="Times New Roman" w:hAnsi="Times New Roman" w:cs="Times New Roman"/>
          <w:i/>
          <w:szCs w:val="20"/>
          <w:lang w:val="en-GB" w:eastAsia="ja-JP"/>
        </w:rPr>
        <w:t>considering f)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,</w:t>
      </w:r>
    </w:p>
    <w:p w:rsidR="000464C4" w:rsidRPr="006A50DB" w:rsidRDefault="000464C4" w:rsidP="000464C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 w:eastAsia="ja-JP"/>
        </w:rPr>
      </w:pPr>
      <w:r w:rsidRPr="006A50DB">
        <w:rPr>
          <w:rFonts w:ascii="Times New Roman" w:hAnsi="Times New Roman" w:cs="Times New Roman" w:hint="eastAsia"/>
          <w:i/>
          <w:szCs w:val="20"/>
          <w:lang w:val="en-GB" w:eastAsia="ja-JP"/>
        </w:rPr>
        <w:t>recognizing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Report ITU-R SM.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2352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provides the technology trends of active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services in the frequency range 275-3 000 GHz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i/>
          <w:iCs/>
          <w:szCs w:val="20"/>
          <w:lang w:val="en-GB" w:eastAsia="ja-JP"/>
        </w:rPr>
        <w:t>b</w:t>
      </w:r>
      <w:r w:rsidRPr="006A50DB">
        <w:rPr>
          <w:rFonts w:ascii="Times New Roman" w:hAnsi="Times New Roman" w:cs="Times New Roman"/>
          <w:i/>
          <w:iCs/>
          <w:szCs w:val="20"/>
          <w:lang w:val="en-GB"/>
        </w:rPr>
        <w:t>)</w:t>
      </w:r>
      <w:r w:rsidRPr="006A50DB">
        <w:rPr>
          <w:rFonts w:ascii="Times New Roman" w:hAnsi="Times New Roman" w:cs="Times New Roman"/>
          <w:szCs w:val="20"/>
          <w:lang w:val="en-GB"/>
        </w:rPr>
        <w:tab/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that Report ITU-R RA.2189 initiated sharing studies between </w:t>
      </w:r>
      <w:r>
        <w:rPr>
          <w:rFonts w:ascii="Times New Roman" w:hAnsi="Times New Roman" w:cs="Times New Roman"/>
          <w:szCs w:val="20"/>
          <w:lang w:val="en-GB" w:eastAsia="ja-JP"/>
        </w:rPr>
        <w:t xml:space="preserve">the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radio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astronomy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service and active services in the frequency range 275-3 000 GHz,</w:t>
      </w:r>
    </w:p>
    <w:p w:rsidR="000464C4" w:rsidRPr="006A50DB" w:rsidRDefault="000464C4" w:rsidP="000464C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Cs/>
          <w:szCs w:val="20"/>
          <w:lang w:val="en-GB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t>decides</w:t>
      </w:r>
      <w:r w:rsidRPr="006A50DB">
        <w:rPr>
          <w:rFonts w:ascii="Times New Roman" w:hAnsi="Times New Roman" w:cs="Times New Roman"/>
          <w:iCs/>
          <w:szCs w:val="20"/>
          <w:lang w:val="en-GB"/>
        </w:rPr>
        <w:t xml:space="preserve"> that the following Question should be studied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/>
          <w:szCs w:val="20"/>
          <w:lang w:val="en-GB"/>
        </w:rPr>
        <w:t xml:space="preserve">What are the technical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and operational characteristics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of the land mobile service in the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frequency range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275-1 000 GHz</w:t>
      </w:r>
      <w:r w:rsidRPr="006A50DB">
        <w:rPr>
          <w:rFonts w:ascii="Times New Roman" w:hAnsi="Times New Roman" w:cs="Times New Roman"/>
          <w:szCs w:val="20"/>
          <w:lang w:val="en-GB"/>
        </w:rPr>
        <w:t>?</w:t>
      </w:r>
    </w:p>
    <w:p w:rsidR="000464C4" w:rsidRDefault="000464C4" w:rsidP="000464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>
        <w:rPr>
          <w:rFonts w:ascii="Times New Roman" w:hAnsi="Times New Roman" w:cs="Times New Roman"/>
          <w:i/>
          <w:szCs w:val="20"/>
          <w:lang w:val="en-GB"/>
        </w:rPr>
        <w:br w:type="page"/>
      </w:r>
    </w:p>
    <w:p w:rsidR="000464C4" w:rsidRPr="006A50DB" w:rsidRDefault="000464C4" w:rsidP="000464C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6A50DB">
        <w:rPr>
          <w:rFonts w:ascii="Times New Roman" w:hAnsi="Times New Roman" w:cs="Times New Roman"/>
          <w:i/>
          <w:szCs w:val="20"/>
          <w:lang w:val="en-GB"/>
        </w:rPr>
        <w:lastRenderedPageBreak/>
        <w:t>further decides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szCs w:val="20"/>
          <w:lang w:val="en-GB" w:eastAsia="ja-JP"/>
        </w:rPr>
        <w:t>1</w:t>
      </w:r>
      <w:r w:rsidRPr="006A50DB">
        <w:rPr>
          <w:rFonts w:ascii="Times New Roman" w:hAnsi="Times New Roman" w:cs="Times New Roman"/>
          <w:szCs w:val="20"/>
          <w:lang w:val="en-GB"/>
        </w:rPr>
        <w:tab/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that sharing studies between 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the land mobile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 and passive services, as well as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 xml:space="preserve"> the land mobile and other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active services</w:t>
      </w:r>
      <w:r>
        <w:rPr>
          <w:rFonts w:ascii="Times New Roman" w:hAnsi="Times New Roman" w:cs="Times New Roman"/>
          <w:szCs w:val="20"/>
          <w:lang w:val="en-GB" w:eastAsia="ja-JP"/>
        </w:rPr>
        <w:t xml:space="preserve"> should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 be carried out, taking into account the characteristics mentioned in </w:t>
      </w:r>
      <w:r w:rsidRPr="006A50DB">
        <w:rPr>
          <w:rFonts w:ascii="Times New Roman" w:hAnsi="Times New Roman" w:cs="Times New Roman"/>
          <w:i/>
          <w:szCs w:val="20"/>
          <w:lang w:val="en-GB" w:eastAsia="ja-JP"/>
        </w:rPr>
        <w:t>decides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szCs w:val="20"/>
          <w:lang w:val="en-GB" w:eastAsia="ja-JP"/>
        </w:rPr>
        <w:t>2</w:t>
      </w:r>
      <w:r w:rsidRPr="006A50DB">
        <w:rPr>
          <w:rFonts w:ascii="Times New Roman" w:hAnsi="Times New Roman" w:cs="Times New Roman"/>
          <w:szCs w:val="20"/>
          <w:lang w:val="en-GB"/>
        </w:rPr>
        <w:tab/>
        <w:t xml:space="preserve">that the results of studies </w:t>
      </w:r>
      <w:r w:rsidRPr="006A50DB">
        <w:rPr>
          <w:rFonts w:ascii="Times New Roman" w:hAnsi="Times New Roman" w:cs="Times New Roman"/>
          <w:szCs w:val="20"/>
          <w:lang w:val="en-GB" w:eastAsia="ja-JP"/>
        </w:rPr>
        <w:t xml:space="preserve">in the frequency range </w:t>
      </w:r>
      <w:r w:rsidRPr="006A50DB">
        <w:rPr>
          <w:rFonts w:ascii="Times New Roman" w:hAnsi="Times New Roman" w:cs="Times New Roman"/>
          <w:szCs w:val="20"/>
          <w:lang w:val="en-GB"/>
        </w:rPr>
        <w:t>275</w:t>
      </w:r>
      <w:r w:rsidRPr="006A50DB">
        <w:rPr>
          <w:rFonts w:ascii="Times New Roman" w:hAnsi="Times New Roman" w:cs="Times New Roman"/>
          <w:szCs w:val="20"/>
          <w:lang w:val="en-GB" w:eastAsia="ja-JP"/>
        </w:rPr>
        <w:t>-1 000</w:t>
      </w:r>
      <w:r w:rsidRPr="006A50DB">
        <w:rPr>
          <w:rFonts w:ascii="Times New Roman" w:hAnsi="Times New Roman" w:cs="Times New Roman"/>
          <w:szCs w:val="20"/>
          <w:lang w:val="en-GB"/>
        </w:rPr>
        <w:t xml:space="preserve"> GHz should be brought to the attention of the other Study Groups;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3</w:t>
      </w:r>
      <w:r w:rsidRPr="006A50DB">
        <w:rPr>
          <w:rFonts w:ascii="Times New Roman" w:hAnsi="Times New Roman" w:cs="Times New Roman"/>
          <w:szCs w:val="20"/>
          <w:lang w:val="en-GB"/>
        </w:rPr>
        <w:tab/>
        <w:t>that the results of the above studies should be included in one or more Recommendations, Reports or Handbooks;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4</w:t>
      </w:r>
      <w:r w:rsidRPr="006A50DB">
        <w:rPr>
          <w:rFonts w:ascii="Times New Roman" w:hAnsi="Times New Roman" w:cs="Times New Roman"/>
          <w:szCs w:val="20"/>
          <w:lang w:val="en-GB"/>
        </w:rPr>
        <w:tab/>
        <w:t>that the above studies should be completed by 201</w:t>
      </w:r>
      <w:r w:rsidRPr="006A50DB">
        <w:rPr>
          <w:rFonts w:ascii="Times New Roman" w:hAnsi="Times New Roman" w:cs="Times New Roman" w:hint="eastAsia"/>
          <w:szCs w:val="20"/>
          <w:lang w:val="en-GB" w:eastAsia="ja-JP"/>
        </w:rPr>
        <w:t>9</w:t>
      </w:r>
      <w:r w:rsidRPr="006A50DB">
        <w:rPr>
          <w:rFonts w:ascii="Times New Roman" w:hAnsi="Times New Roman" w:cs="Times New Roman"/>
          <w:szCs w:val="20"/>
          <w:lang w:val="en-GB"/>
        </w:rPr>
        <w:t>.</w:t>
      </w:r>
    </w:p>
    <w:p w:rsidR="000464C4" w:rsidRPr="006A50DB" w:rsidRDefault="000464C4" w:rsidP="000464C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60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6A50DB">
        <w:rPr>
          <w:rFonts w:ascii="Times New Roman" w:hAnsi="Times New Roman" w:cs="Times New Roman"/>
          <w:szCs w:val="20"/>
          <w:lang w:val="en-GB" w:eastAsia="ja-JP"/>
        </w:rPr>
        <w:t>Category: S2</w:t>
      </w:r>
    </w:p>
    <w:p w:rsidR="000464C4" w:rsidRPr="006A50DB" w:rsidRDefault="000464C4" w:rsidP="000464C4">
      <w:pPr>
        <w:pStyle w:val="Normalaftertitle"/>
        <w:rPr>
          <w:lang w:val="en-GB"/>
        </w:rPr>
      </w:pPr>
    </w:p>
    <w:p w:rsidR="00CC001C" w:rsidRPr="000464C4" w:rsidRDefault="00CC001C" w:rsidP="000464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  <w:lang w:val="en-GB"/>
        </w:rPr>
      </w:pPr>
    </w:p>
    <w:sectPr w:rsidR="00CC001C" w:rsidRPr="000464C4" w:rsidSect="00046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C4" w:rsidRDefault="000464C4" w:rsidP="000464C4">
      <w:pPr>
        <w:spacing w:before="0" w:line="240" w:lineRule="auto"/>
      </w:pPr>
      <w:r>
        <w:separator/>
      </w:r>
    </w:p>
  </w:endnote>
  <w:endnote w:type="continuationSeparator" w:id="0">
    <w:p w:rsidR="000464C4" w:rsidRDefault="000464C4" w:rsidP="000464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4" w:rsidRDefault="000464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4" w:rsidRDefault="000464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4" w:rsidRDefault="00046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C4" w:rsidRDefault="000464C4" w:rsidP="000464C4">
      <w:pPr>
        <w:spacing w:before="0" w:line="240" w:lineRule="auto"/>
      </w:pPr>
      <w:r>
        <w:separator/>
      </w:r>
    </w:p>
  </w:footnote>
  <w:footnote w:type="continuationSeparator" w:id="0">
    <w:p w:rsidR="000464C4" w:rsidRDefault="000464C4" w:rsidP="000464C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4" w:rsidRDefault="00046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4" w:rsidRPr="000464C4" w:rsidRDefault="000464C4">
    <w:pPr>
      <w:pStyle w:val="Header"/>
      <w:jc w:val="center"/>
      <w:rPr>
        <w:sz w:val="18"/>
        <w:szCs w:val="18"/>
      </w:rPr>
    </w:pPr>
    <w:bookmarkStart w:id="0" w:name="_GoBack"/>
    <w:r w:rsidRPr="000464C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20608935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464C4">
          <w:rPr>
            <w:sz w:val="18"/>
            <w:szCs w:val="18"/>
          </w:rPr>
          <w:fldChar w:fldCharType="begin"/>
        </w:r>
        <w:r w:rsidRPr="000464C4">
          <w:rPr>
            <w:sz w:val="18"/>
            <w:szCs w:val="18"/>
          </w:rPr>
          <w:instrText xml:space="preserve"> PAGE   \* MERGEFORMAT </w:instrText>
        </w:r>
        <w:r w:rsidRPr="000464C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0464C4">
          <w:rPr>
            <w:noProof/>
            <w:sz w:val="18"/>
            <w:szCs w:val="18"/>
          </w:rPr>
          <w:fldChar w:fldCharType="end"/>
        </w:r>
        <w:r w:rsidRPr="000464C4">
          <w:rPr>
            <w:noProof/>
            <w:sz w:val="18"/>
            <w:szCs w:val="18"/>
          </w:rPr>
          <w:t xml:space="preserve"> -</w:t>
        </w:r>
      </w:sdtContent>
    </w:sdt>
  </w:p>
  <w:bookmarkEnd w:id="0"/>
  <w:p w:rsidR="000464C4" w:rsidRPr="000464C4" w:rsidRDefault="000464C4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4C4" w:rsidRDefault="00046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4"/>
    <w:rsid w:val="000464C4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72FE66-9357-40FD-B768-281BAAF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0464C4"/>
    <w:pPr>
      <w:spacing w:before="400"/>
    </w:pPr>
  </w:style>
  <w:style w:type="paragraph" w:customStyle="1" w:styleId="QuestionTitleDate">
    <w:name w:val="Question_Title/Date"/>
    <w:basedOn w:val="Normal"/>
    <w:next w:val="Normal"/>
    <w:rsid w:val="000464C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 w:line="240" w:lineRule="auto"/>
      <w:jc w:val="righ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64C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C4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64C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C4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5518-573A-4635-99DE-6D86FAE8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2169</Characters>
  <Application>Microsoft Office Word</Application>
  <DocSecurity>0</DocSecurity>
  <Lines>18</Lines>
  <Paragraphs>5</Paragraphs>
  <ScaleCrop>false</ScaleCrop>
  <Company>ITU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2015-10-12T07:18:00Z</dcterms:created>
  <dcterms:modified xsi:type="dcterms:W3CDTF">2015-10-12T07:25:00Z</dcterms:modified>
</cp:coreProperties>
</file>