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1E" w:rsidRDefault="00BA431E" w:rsidP="00BA431E">
      <w:pPr>
        <w:pStyle w:val="QuestionNo"/>
        <w:rPr>
          <w:rtl/>
          <w:lang w:val="en-GB"/>
        </w:rPr>
      </w:pPr>
      <w:r w:rsidRPr="006D01BF">
        <w:rPr>
          <w:rFonts w:hint="cs"/>
          <w:rtl/>
        </w:rPr>
        <w:t xml:space="preserve">ال‍مسألة </w:t>
      </w:r>
      <w:r w:rsidRPr="006D01BF">
        <w:rPr>
          <w:rFonts w:hint="eastAsia"/>
          <w:lang w:val="en-GB"/>
        </w:rPr>
        <w:t>ITU-R</w:t>
      </w:r>
      <w:r w:rsidRPr="006D01BF">
        <w:rPr>
          <w:lang w:val="en-GB"/>
        </w:rPr>
        <w:t xml:space="preserve"> 256/5</w:t>
      </w:r>
    </w:p>
    <w:p w:rsidR="00BA431E" w:rsidRPr="006D01BF" w:rsidRDefault="00BA431E" w:rsidP="00BA431E">
      <w:pPr>
        <w:pStyle w:val="QuestionTitle"/>
        <w:rPr>
          <w:rtl/>
          <w:lang w:bidi="ar-EG"/>
        </w:rPr>
      </w:pPr>
      <w:r w:rsidRPr="00940D77">
        <w:rPr>
          <w:rtl/>
        </w:rPr>
        <w:t xml:space="preserve">الخصائص </w:t>
      </w:r>
      <w:r w:rsidRPr="00940D77">
        <w:rPr>
          <w:rFonts w:hint="cs"/>
          <w:rtl/>
        </w:rPr>
        <w:t>التقنية و</w:t>
      </w:r>
      <w:r w:rsidRPr="00940D77">
        <w:rPr>
          <w:rtl/>
        </w:rPr>
        <w:t xml:space="preserve">التشغيلية </w:t>
      </w:r>
      <w:r w:rsidRPr="00940D77">
        <w:rPr>
          <w:rFonts w:hint="cs"/>
          <w:rtl/>
        </w:rPr>
        <w:t>ل</w:t>
      </w:r>
      <w:r w:rsidRPr="00940D77">
        <w:rPr>
          <w:rtl/>
        </w:rPr>
        <w:t>لخدمة المتنقلة البرية</w:t>
      </w:r>
      <w:r w:rsidRPr="00940D77">
        <w:rPr>
          <w:rFonts w:hint="cs"/>
          <w:rtl/>
        </w:rPr>
        <w:t xml:space="preserve"> </w:t>
      </w:r>
      <w:r w:rsidRPr="00940D77">
        <w:rPr>
          <w:rtl/>
        </w:rPr>
        <w:br/>
      </w:r>
      <w:r w:rsidRPr="00940D77">
        <w:rPr>
          <w:rFonts w:hint="cs"/>
          <w:rtl/>
        </w:rPr>
        <w:t xml:space="preserve">في مدى التردد </w:t>
      </w:r>
      <w:r w:rsidRPr="00940D77">
        <w:rPr>
          <w:lang w:val="en-US" w:bidi="ar-EG"/>
        </w:rPr>
        <w:t>GHz 1 000-275</w:t>
      </w:r>
    </w:p>
    <w:p w:rsidR="00BA431E" w:rsidRPr="006D01BF" w:rsidRDefault="00BA431E" w:rsidP="00BA431E">
      <w:pPr>
        <w:pStyle w:val="Date"/>
        <w:rPr>
          <w:rtl/>
        </w:rPr>
      </w:pPr>
      <w:r w:rsidRPr="006D01BF">
        <w:t>(2015)</w:t>
      </w:r>
    </w:p>
    <w:p w:rsidR="00BA431E" w:rsidRPr="006D01BF" w:rsidRDefault="00BA431E" w:rsidP="00BA431E">
      <w:pPr>
        <w:pStyle w:val="Normalaftertitle"/>
        <w:rPr>
          <w:rtl/>
        </w:rPr>
      </w:pPr>
      <w:r w:rsidRPr="006D01BF">
        <w:rPr>
          <w:rtl/>
        </w:rPr>
        <w:t>إن جمعية الاتصالات الراديوية للاتحاد الدولي للاتصالات،</w:t>
      </w:r>
    </w:p>
    <w:p w:rsidR="00BA431E" w:rsidRPr="006D01BF" w:rsidRDefault="00BA431E" w:rsidP="00BA431E">
      <w:pPr>
        <w:pStyle w:val="Call"/>
        <w:rPr>
          <w:rtl/>
        </w:rPr>
      </w:pPr>
      <w:r w:rsidRPr="006D01BF">
        <w:rPr>
          <w:rtl/>
        </w:rPr>
        <w:t>إذ تضع في اعتبارها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الطلب المتنامي على الاتصالات الراديوية ذات السرعة العالية والسعة الكبيرة التي تتمتع بمعدلات بيانات تتراوح من عشرات الجيغابت في الثانية إلى </w:t>
      </w:r>
      <w:r w:rsidRPr="006D01BF">
        <w:rPr>
          <w:lang w:val="en-GB"/>
        </w:rPr>
        <w:t>100</w:t>
      </w:r>
      <w:r w:rsidRPr="006D01BF">
        <w:rPr>
          <w:rFonts w:hint="cs"/>
          <w:rtl/>
        </w:rPr>
        <w:t xml:space="preserve"> جيغابت في الثانية فيما يتعلق بتطبيقات الخدمة المتنقلة البرية؛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cs"/>
          <w:i/>
          <w:iCs/>
          <w:rtl/>
        </w:rPr>
        <w:t>ب)</w:t>
      </w:r>
      <w:r w:rsidRPr="006D01BF">
        <w:rPr>
          <w:rFonts w:hint="cs"/>
          <w:rtl/>
        </w:rPr>
        <w:tab/>
        <w:t xml:space="preserve">أن بفضل التقدم في تكنولوجيات التيراهرتز الحديثة، يمكن للأجهزة والدارات المتكاملة العاملة فوق </w:t>
      </w:r>
      <w:r w:rsidRPr="006D01BF">
        <w:rPr>
          <w:lang w:val="en-GB"/>
        </w:rPr>
        <w:t>GHz 275</w:t>
      </w:r>
      <w:r w:rsidRPr="006D01BF">
        <w:rPr>
          <w:rFonts w:hint="cs"/>
          <w:rtl/>
        </w:rPr>
        <w:t xml:space="preserve"> أن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تنشئ العديد من التطبيقات المتطورة؛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cs"/>
          <w:i/>
          <w:iCs/>
          <w:rtl/>
        </w:rPr>
        <w:t>ج)</w:t>
      </w:r>
      <w:r w:rsidRPr="006D01BF">
        <w:rPr>
          <w:rFonts w:hint="cs"/>
          <w:rtl/>
        </w:rPr>
        <w:tab/>
        <w:t>أن الأجهزة والدارات المذكورة أعلاه يمكنها توفير هذه الاتصالات الراديوية ذات السرعة العالية والسعة الكبيرة لأنظمة الخدمة المتنقلة البرية؛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cs"/>
          <w:i/>
          <w:iCs/>
          <w:rtl/>
        </w:rPr>
        <w:t>د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منظمات وضع المعايير، ومنها معهد مهندسي الكهرباء والإلكترونيات </w:t>
      </w:r>
      <w:r w:rsidRPr="006D01BF">
        <w:rPr>
          <w:lang w:val="en-GB"/>
        </w:rPr>
        <w:t>(IEEE)</w:t>
      </w:r>
      <w:r w:rsidRPr="006D01BF">
        <w:rPr>
          <w:rFonts w:hint="cs"/>
          <w:rtl/>
        </w:rPr>
        <w:t xml:space="preserve">، تقوم بوضع معايير لأنظمة التيراهرتز اللاسلكية التي تستعمل نطاقات متلاصقة عريضة النطاق مع عرض للنطاق يزيد على </w:t>
      </w:r>
      <w:r w:rsidRPr="006D01BF">
        <w:rPr>
          <w:lang w:val="en-GB"/>
        </w:rPr>
        <w:t>GHz 50</w:t>
      </w:r>
      <w:r w:rsidRPr="006D01BF">
        <w:rPr>
          <w:rFonts w:hint="cs"/>
          <w:rtl/>
        </w:rPr>
        <w:t xml:space="preserve"> باستعمال مدى تردد فوق </w:t>
      </w:r>
      <w:r w:rsidRPr="006D01BF">
        <w:rPr>
          <w:lang w:val="en-GB"/>
        </w:rPr>
        <w:t>GHz 275</w:t>
      </w:r>
      <w:r w:rsidRPr="006D01BF">
        <w:rPr>
          <w:rFonts w:hint="cs"/>
          <w:rtl/>
        </w:rPr>
        <w:t>؛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cs"/>
          <w:i/>
          <w:iCs/>
          <w:rtl/>
        </w:rPr>
        <w:t>ﻫ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عروض النطاقات المتلاصقة التي تزيد على </w:t>
      </w:r>
      <w:r w:rsidRPr="006D01BF">
        <w:rPr>
          <w:lang w:val="en-GB"/>
        </w:rPr>
        <w:t>GHz 50</w:t>
      </w:r>
      <w:r w:rsidRPr="006D01BF">
        <w:rPr>
          <w:rFonts w:hint="cs"/>
          <w:rtl/>
        </w:rPr>
        <w:t xml:space="preserve"> للخدمة المتنقلة البرية غير متاحة في مدى تردد تحت </w:t>
      </w:r>
      <w:r w:rsidRPr="006D01BF">
        <w:rPr>
          <w:lang w:val="en-GB"/>
        </w:rPr>
        <w:t>GHz</w:t>
      </w:r>
      <w:r>
        <w:rPr>
          <w:lang w:val="en-GB"/>
        </w:rPr>
        <w:t> </w:t>
      </w:r>
      <w:r w:rsidRPr="006D01BF">
        <w:rPr>
          <w:lang w:val="en-GB"/>
        </w:rPr>
        <w:t>275</w:t>
      </w:r>
      <w:r w:rsidRPr="006D01BF">
        <w:rPr>
          <w:rFonts w:hint="cs"/>
          <w:rtl/>
        </w:rPr>
        <w:t>؛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cs"/>
          <w:i/>
          <w:iCs/>
          <w:rtl/>
        </w:rPr>
        <w:t>و )</w:t>
      </w:r>
      <w:r w:rsidRPr="006D01BF">
        <w:rPr>
          <w:rFonts w:hint="cs"/>
          <w:rtl/>
        </w:rPr>
        <w:tab/>
        <w:t xml:space="preserve">أن الرقم </w:t>
      </w:r>
      <w:r w:rsidRPr="00382F1C">
        <w:rPr>
          <w:b/>
          <w:bCs/>
          <w:lang w:val="en-GB"/>
        </w:rPr>
        <w:t>565.5</w:t>
      </w:r>
      <w:r w:rsidRPr="006D01BF">
        <w:rPr>
          <w:rFonts w:hint="cs"/>
          <w:rtl/>
        </w:rPr>
        <w:t xml:space="preserve"> من لوائح الراديو حدد بعض أجزاء مدى التردد </w:t>
      </w:r>
      <w:r w:rsidRPr="006D01BF">
        <w:rPr>
          <w:lang w:val="en-GB"/>
        </w:rPr>
        <w:t>GHz 1 000-275</w:t>
      </w:r>
      <w:r w:rsidRPr="006D01BF">
        <w:rPr>
          <w:rFonts w:hint="cs"/>
          <w:rtl/>
        </w:rPr>
        <w:t xml:space="preserve"> كي تستعملها الإدارات من أجل تطبيقات الخدمات المنفعلة؛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cs"/>
          <w:i/>
          <w:iCs/>
          <w:rtl/>
        </w:rPr>
        <w:t>ز )</w:t>
      </w:r>
      <w:r w:rsidRPr="006D01BF">
        <w:rPr>
          <w:rFonts w:hint="cs"/>
          <w:rtl/>
        </w:rPr>
        <w:tab/>
        <w:t xml:space="preserve">أن </w:t>
      </w:r>
      <w:r w:rsidRPr="006D01BF">
        <w:rPr>
          <w:rtl/>
        </w:rPr>
        <w:t xml:space="preserve">استعمال الخدمات المنفعلة </w:t>
      </w:r>
      <w:r w:rsidRPr="006D01BF">
        <w:rPr>
          <w:rFonts w:hint="cs"/>
          <w:rtl/>
        </w:rPr>
        <w:t>لمدى التردد</w:t>
      </w:r>
      <w:r w:rsidRPr="006D01BF">
        <w:rPr>
          <w:rtl/>
        </w:rPr>
        <w:t xml:space="preserve"> </w:t>
      </w:r>
      <w:r w:rsidRPr="006D01BF">
        <w:rPr>
          <w:lang w:val="en-GB"/>
        </w:rPr>
        <w:t>GHz 1 000-275</w:t>
      </w:r>
      <w:r w:rsidRPr="006D01BF">
        <w:rPr>
          <w:rtl/>
        </w:rPr>
        <w:t xml:space="preserve"> </w:t>
      </w:r>
      <w:r w:rsidRPr="006D01BF">
        <w:rPr>
          <w:rFonts w:hint="cs"/>
          <w:rtl/>
        </w:rPr>
        <w:t>لا يحول</w:t>
      </w:r>
      <w:r w:rsidRPr="006D01BF">
        <w:rPr>
          <w:rtl/>
        </w:rPr>
        <w:t xml:space="preserve"> دون استعمال الخدمات النشيطة</w:t>
      </w:r>
      <w:r w:rsidRPr="006D01BF">
        <w:rPr>
          <w:rFonts w:hint="cs"/>
          <w:rtl/>
        </w:rPr>
        <w:t xml:space="preserve"> لهذا المدى؛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cs"/>
          <w:i/>
          <w:iCs/>
          <w:rtl/>
        </w:rPr>
        <w:t>ح)</w:t>
      </w:r>
      <w:r w:rsidRPr="006D01BF">
        <w:rPr>
          <w:rFonts w:hint="cs"/>
          <w:rtl/>
        </w:rPr>
        <w:tab/>
        <w:t xml:space="preserve">أن الخصائص التقنية والتشغيلية للخدمة المتنقلة البرية يلزم تحديدها لأغراض دراسات التقاسم والتوافق مع تطبيقات الخدمات المنفعلة المذكور في </w:t>
      </w:r>
      <w:r w:rsidRPr="006D01BF">
        <w:rPr>
          <w:rFonts w:hint="cs"/>
          <w:i/>
          <w:iCs/>
          <w:rtl/>
        </w:rPr>
        <w:t>الفقرة و) من "إذ تضع في اعتبارها"</w:t>
      </w:r>
      <w:r w:rsidRPr="006D01BF">
        <w:rPr>
          <w:rFonts w:hint="cs"/>
          <w:rtl/>
        </w:rPr>
        <w:t>،</w:t>
      </w:r>
    </w:p>
    <w:p w:rsidR="00BA431E" w:rsidRPr="006D01BF" w:rsidRDefault="00BA431E" w:rsidP="00BA431E">
      <w:pPr>
        <w:pStyle w:val="Call"/>
        <w:rPr>
          <w:rtl/>
        </w:rPr>
      </w:pPr>
      <w:r w:rsidRPr="006D01BF">
        <w:rPr>
          <w:rFonts w:hint="cs"/>
          <w:rtl/>
        </w:rPr>
        <w:t>وإذ تدرك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التقرير </w:t>
      </w:r>
      <w:r w:rsidRPr="006D01BF">
        <w:rPr>
          <w:lang w:val="en-GB"/>
        </w:rPr>
        <w:t>ITU-R </w:t>
      </w:r>
      <w:r w:rsidRPr="006D01BF">
        <w:rPr>
          <w:rFonts w:hint="eastAsia"/>
          <w:lang w:val="en-GB"/>
        </w:rPr>
        <w:t>SM.</w:t>
      </w:r>
      <w:r w:rsidRPr="006D01BF">
        <w:rPr>
          <w:lang w:val="en-GB"/>
        </w:rPr>
        <w:t>2352</w:t>
      </w:r>
      <w:r w:rsidRPr="006D01BF">
        <w:rPr>
          <w:rFonts w:hint="cs"/>
          <w:rtl/>
        </w:rPr>
        <w:t xml:space="preserve"> يبين اتجاهات التكنولوجيا للخدمات النشيطة في مدى التردد </w:t>
      </w:r>
      <w:r w:rsidRPr="006D01BF">
        <w:rPr>
          <w:lang w:val="en-GB"/>
        </w:rPr>
        <w:t>GHz 3 000-275</w:t>
      </w:r>
      <w:r w:rsidRPr="006D01BF">
        <w:rPr>
          <w:rFonts w:hint="cs"/>
          <w:rtl/>
        </w:rPr>
        <w:t>؛</w:t>
      </w:r>
    </w:p>
    <w:p w:rsidR="00BA431E" w:rsidRPr="006D01BF" w:rsidRDefault="00BA431E" w:rsidP="00BA431E">
      <w:pPr>
        <w:rPr>
          <w:rtl/>
        </w:rPr>
      </w:pPr>
      <w:r w:rsidRPr="006D01BF">
        <w:rPr>
          <w:rFonts w:hint="cs"/>
          <w:i/>
          <w:iCs/>
          <w:rtl/>
        </w:rPr>
        <w:t>ب)</w:t>
      </w:r>
      <w:r w:rsidRPr="006D01BF">
        <w:rPr>
          <w:rFonts w:hint="cs"/>
          <w:rtl/>
        </w:rPr>
        <w:tab/>
        <w:t xml:space="preserve">أن التقرير </w:t>
      </w:r>
      <w:r w:rsidRPr="006D01BF">
        <w:rPr>
          <w:lang w:val="en-GB"/>
        </w:rPr>
        <w:t>ITU-R </w:t>
      </w:r>
      <w:r w:rsidRPr="006D01BF">
        <w:rPr>
          <w:rFonts w:hint="eastAsia"/>
          <w:lang w:val="en-GB"/>
        </w:rPr>
        <w:t>RA.2189</w:t>
      </w:r>
      <w:r w:rsidRPr="006D01BF">
        <w:rPr>
          <w:rFonts w:hint="cs"/>
          <w:rtl/>
        </w:rPr>
        <w:t xml:space="preserve"> أطلق دراسات التقاسم بين خدمة الفلك الراديوي والخدمات النشيطة في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مدى التردد</w:t>
      </w:r>
      <w:r w:rsidRPr="006D01BF">
        <w:rPr>
          <w:rFonts w:hint="eastAsia"/>
          <w:rtl/>
        </w:rPr>
        <w:t> </w:t>
      </w:r>
      <w:r w:rsidRPr="006D01BF">
        <w:rPr>
          <w:lang w:val="en-GB"/>
        </w:rPr>
        <w:t>GHz 3 000</w:t>
      </w:r>
      <w:r w:rsidRPr="006D01BF">
        <w:rPr>
          <w:lang w:val="en-GB"/>
        </w:rPr>
        <w:noBreakHyphen/>
        <w:t>275</w:t>
      </w:r>
      <w:r w:rsidRPr="006D01BF">
        <w:rPr>
          <w:rFonts w:hint="cs"/>
          <w:rtl/>
        </w:rPr>
        <w:t>،</w:t>
      </w:r>
    </w:p>
    <w:p w:rsidR="00BA431E" w:rsidRPr="006D01BF" w:rsidRDefault="00BA431E" w:rsidP="00BA431E">
      <w:pPr>
        <w:pStyle w:val="Call"/>
        <w:rPr>
          <w:rtl/>
        </w:rPr>
      </w:pPr>
      <w:r w:rsidRPr="006D01BF">
        <w:rPr>
          <w:rFonts w:hint="cs"/>
          <w:rtl/>
        </w:rPr>
        <w:t>تقرر طرح المسألة التالية للدراسة</w:t>
      </w:r>
    </w:p>
    <w:p w:rsidR="00BA431E" w:rsidRPr="006D01BF" w:rsidRDefault="00BA431E" w:rsidP="00BA431E">
      <w:pPr>
        <w:rPr>
          <w:rtl/>
          <w:lang w:bidi="ar-EG"/>
        </w:rPr>
      </w:pPr>
      <w:r w:rsidRPr="006D01BF">
        <w:rPr>
          <w:rFonts w:hint="cs"/>
          <w:rtl/>
        </w:rPr>
        <w:t>ما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هي الخصائص التقنية والتشغيلية للخدمة</w:t>
      </w:r>
      <w:r w:rsidRPr="006D01BF">
        <w:rPr>
          <w:rtl/>
        </w:rPr>
        <w:t xml:space="preserve"> المتنقلة البرية</w:t>
      </w:r>
      <w:r w:rsidRPr="006D01BF">
        <w:rPr>
          <w:rFonts w:hint="cs"/>
          <w:rtl/>
        </w:rPr>
        <w:t xml:space="preserve"> في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مدى التردد</w:t>
      </w:r>
      <w:r w:rsidRPr="006D01BF">
        <w:rPr>
          <w:rFonts w:hint="eastAsia"/>
          <w:rtl/>
        </w:rPr>
        <w:t> </w:t>
      </w:r>
      <w:r w:rsidRPr="006D01BF">
        <w:rPr>
          <w:lang w:val="en-GB"/>
        </w:rPr>
        <w:t>GHz 1 000-275</w:t>
      </w:r>
      <w:r w:rsidRPr="006D01BF">
        <w:rPr>
          <w:rFonts w:hint="cs"/>
          <w:rtl/>
        </w:rPr>
        <w:t>؟</w:t>
      </w:r>
    </w:p>
    <w:p w:rsidR="00BA431E" w:rsidRPr="006D01BF" w:rsidRDefault="00BA431E" w:rsidP="00BA431E">
      <w:pPr>
        <w:pStyle w:val="Call"/>
        <w:rPr>
          <w:rtl/>
        </w:rPr>
      </w:pPr>
      <w:r w:rsidRPr="006D01BF">
        <w:rPr>
          <w:rFonts w:hint="cs"/>
          <w:rtl/>
        </w:rPr>
        <w:lastRenderedPageBreak/>
        <w:t>تقرر كذلك</w:t>
      </w:r>
    </w:p>
    <w:p w:rsidR="00BA431E" w:rsidRPr="006D01BF" w:rsidRDefault="00BA431E" w:rsidP="00BA431E">
      <w:pPr>
        <w:rPr>
          <w:rtl/>
        </w:rPr>
      </w:pPr>
      <w:r w:rsidRPr="006D01BF">
        <w:rPr>
          <w:lang w:val="en-GB"/>
        </w:rPr>
        <w:t>1</w:t>
      </w:r>
      <w:r w:rsidRPr="006D01BF">
        <w:rPr>
          <w:rFonts w:hint="cs"/>
          <w:rtl/>
        </w:rPr>
        <w:tab/>
        <w:t xml:space="preserve">أن تجرى دراسات التقاسم بين </w:t>
      </w:r>
      <w:r w:rsidRPr="006D01BF">
        <w:rPr>
          <w:rtl/>
        </w:rPr>
        <w:t>الخدمة المتنقلة البرية</w:t>
      </w:r>
      <w:r w:rsidRPr="006D01BF">
        <w:rPr>
          <w:rFonts w:hint="cs"/>
          <w:rtl/>
        </w:rPr>
        <w:t xml:space="preserve"> والخدمات المنفعلة، وكذلك بين الخدمة المتنقلة البرية والخدمات النشيطة الأخرى، مع مراعاة الخصائص المذكورة في الفقرة "</w:t>
      </w:r>
      <w:r w:rsidRPr="006D01BF">
        <w:rPr>
          <w:rFonts w:hint="cs"/>
          <w:i/>
          <w:iCs/>
          <w:rtl/>
        </w:rPr>
        <w:t>يقرر"</w:t>
      </w:r>
      <w:r w:rsidRPr="006D01BF">
        <w:rPr>
          <w:rFonts w:hint="cs"/>
          <w:rtl/>
        </w:rPr>
        <w:t>؛</w:t>
      </w:r>
    </w:p>
    <w:p w:rsidR="00BA431E" w:rsidRPr="006D01BF" w:rsidRDefault="00BA431E" w:rsidP="00BA431E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Fonts w:hint="cs"/>
          <w:rtl/>
        </w:rPr>
        <w:tab/>
        <w:t>إحاطة لجان الدراسات الأخرى علماً بنتائج الدراسات المتعلقة بمدى التردد</w:t>
      </w:r>
      <w:r w:rsidRPr="006D01BF">
        <w:rPr>
          <w:rFonts w:hint="eastAsia"/>
          <w:rtl/>
        </w:rPr>
        <w:t> </w:t>
      </w:r>
      <w:r w:rsidRPr="006D01BF">
        <w:rPr>
          <w:lang w:val="en-GB"/>
        </w:rPr>
        <w:t>GHz 1 000-275</w:t>
      </w:r>
      <w:r w:rsidRPr="006D01BF">
        <w:rPr>
          <w:rFonts w:hint="cs"/>
          <w:rtl/>
        </w:rPr>
        <w:t>؛</w:t>
      </w:r>
    </w:p>
    <w:p w:rsidR="00BA431E" w:rsidRPr="006D01BF" w:rsidRDefault="00BA431E" w:rsidP="00BA431E">
      <w:pPr>
        <w:rPr>
          <w:rtl/>
        </w:rPr>
      </w:pPr>
      <w:r w:rsidRPr="006D01BF">
        <w:rPr>
          <w:lang w:val="en-GB"/>
        </w:rPr>
        <w:t>3</w:t>
      </w:r>
      <w:r w:rsidRPr="006D01BF">
        <w:rPr>
          <w:rFonts w:hint="cs"/>
          <w:rtl/>
        </w:rPr>
        <w:tab/>
        <w:t>إدراج نتائج الدراسات المذكورة أعلاه في توصية أو تقرير أو كتيب أو أكثر؛</w:t>
      </w:r>
    </w:p>
    <w:p w:rsidR="00BA431E" w:rsidRPr="006D01BF" w:rsidRDefault="00BA431E" w:rsidP="00BA431E">
      <w:pPr>
        <w:rPr>
          <w:rtl/>
        </w:rPr>
      </w:pPr>
      <w:r w:rsidRPr="006D01BF">
        <w:rPr>
          <w:lang w:val="en-GB"/>
        </w:rPr>
        <w:t>4</w:t>
      </w:r>
      <w:r w:rsidRPr="006D01BF">
        <w:rPr>
          <w:rFonts w:hint="cs"/>
          <w:rtl/>
        </w:rPr>
        <w:tab/>
      </w:r>
      <w:r w:rsidRPr="006D01BF">
        <w:rPr>
          <w:rtl/>
        </w:rPr>
        <w:t xml:space="preserve">ضرورة </w:t>
      </w:r>
      <w:r w:rsidRPr="006D01BF">
        <w:rPr>
          <w:rFonts w:hint="eastAsia"/>
          <w:rtl/>
        </w:rPr>
        <w:t>إنجاز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الدراسات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سالفة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الذكر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بحلول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عام</w:t>
      </w:r>
      <w:r w:rsidRPr="006D01BF">
        <w:rPr>
          <w:rtl/>
        </w:rPr>
        <w:t xml:space="preserve"> </w:t>
      </w:r>
      <w:r w:rsidRPr="006D01BF">
        <w:rPr>
          <w:lang w:val="en-GB"/>
        </w:rPr>
        <w:t>2019</w:t>
      </w:r>
      <w:r w:rsidRPr="006D01BF">
        <w:rPr>
          <w:rFonts w:hint="cs"/>
          <w:rtl/>
        </w:rPr>
        <w:t>.</w:t>
      </w:r>
    </w:p>
    <w:p w:rsidR="00BA431E" w:rsidRDefault="00BA431E" w:rsidP="00BA431E">
      <w:pPr>
        <w:spacing w:before="360"/>
        <w:rPr>
          <w:rtl/>
        </w:rPr>
      </w:pPr>
      <w:r w:rsidRPr="006D01BF">
        <w:rPr>
          <w:rFonts w:hint="cs"/>
          <w:rtl/>
        </w:rPr>
        <w:t xml:space="preserve">الفئة: </w:t>
      </w:r>
      <w:r w:rsidRPr="006D01BF">
        <w:rPr>
          <w:lang w:val="en-GB"/>
        </w:rPr>
        <w:t>S2</w:t>
      </w:r>
    </w:p>
    <w:p w:rsidR="00CC001C" w:rsidRDefault="00CC001C" w:rsidP="00BA431E"/>
    <w:sectPr w:rsidR="00CC001C" w:rsidSect="00BA4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1E" w:rsidRDefault="00BA431E" w:rsidP="00BA431E">
      <w:pPr>
        <w:spacing w:before="0" w:line="240" w:lineRule="auto"/>
      </w:pPr>
      <w:r>
        <w:separator/>
      </w:r>
    </w:p>
  </w:endnote>
  <w:endnote w:type="continuationSeparator" w:id="0">
    <w:p w:rsidR="00BA431E" w:rsidRDefault="00BA431E" w:rsidP="00BA43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1E" w:rsidRDefault="00BA4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1E" w:rsidRDefault="00BA43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1E" w:rsidRDefault="00BA4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1E" w:rsidRDefault="00BA431E" w:rsidP="00BA431E">
      <w:pPr>
        <w:spacing w:before="0" w:line="240" w:lineRule="auto"/>
      </w:pPr>
      <w:r>
        <w:separator/>
      </w:r>
    </w:p>
  </w:footnote>
  <w:footnote w:type="continuationSeparator" w:id="0">
    <w:p w:rsidR="00BA431E" w:rsidRDefault="00BA431E" w:rsidP="00BA43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1E" w:rsidRDefault="00BA4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BA431E" w:rsidRPr="00BA431E" w:rsidRDefault="00BA431E" w:rsidP="00BA431E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  <w:rtl/>
        </w:rPr>
        <w:id w:val="2781529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A431E">
          <w:rPr>
            <w:sz w:val="18"/>
            <w:szCs w:val="18"/>
          </w:rPr>
          <w:t>- 2 -</w:t>
        </w:r>
      </w:sdtContent>
    </w:sdt>
  </w:p>
  <w:bookmarkEnd w:id="0"/>
  <w:p w:rsidR="00BA431E" w:rsidRDefault="00BA43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1E" w:rsidRDefault="00BA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E"/>
    <w:rsid w:val="00BA431E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A27849-DB9E-4569-8900-D7BAA3E1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31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line="192" w:lineRule="auto"/>
      <w:jc w:val="both"/>
    </w:pPr>
    <w:rPr>
      <w:rFonts w:ascii="Calibri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BA431E"/>
    <w:pPr>
      <w:keepNext/>
      <w:spacing w:before="160"/>
      <w:ind w:left="1588" w:hanging="79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BA431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BA431E"/>
    <w:rPr>
      <w:rFonts w:ascii="Calibri" w:hAnsi="Calibri" w:cs="Traditional Arabic"/>
      <w:szCs w:val="30"/>
      <w:lang w:val="en-US"/>
    </w:rPr>
  </w:style>
  <w:style w:type="paragraph" w:customStyle="1" w:styleId="Normalaftertitle">
    <w:name w:val="Normal after title"/>
    <w:basedOn w:val="Normal"/>
    <w:qFormat/>
    <w:rsid w:val="00BA431E"/>
    <w:pPr>
      <w:keepNext/>
      <w:spacing w:before="360"/>
    </w:pPr>
    <w:rPr>
      <w:lang w:bidi="ar-SY"/>
    </w:rPr>
  </w:style>
  <w:style w:type="paragraph" w:customStyle="1" w:styleId="QuestionNo">
    <w:name w:val="Question_No"/>
    <w:basedOn w:val="Normal"/>
    <w:qFormat/>
    <w:rsid w:val="00BA431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BA431E"/>
    <w:pPr>
      <w:spacing w:before="120" w:after="360"/>
    </w:pPr>
    <w:rPr>
      <w:b/>
      <w:bCs/>
      <w:sz w:val="28"/>
      <w:szCs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431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1E"/>
    <w:rPr>
      <w:rFonts w:ascii="Calibri" w:hAnsi="Calibri" w:cs="Traditional Arabic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31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1E"/>
    <w:rPr>
      <w:rFonts w:ascii="Calibri" w:hAnsi="Calibri" w:cs="Traditional Arabic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1843</Characters>
  <Application>Microsoft Office Word</Application>
  <DocSecurity>0</DocSecurity>
  <Lines>15</Lines>
  <Paragraphs>4</Paragraphs>
  <ScaleCrop>false</ScaleCrop>
  <Company>ITU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2015-10-12T14:27:00Z</dcterms:created>
  <dcterms:modified xsi:type="dcterms:W3CDTF">2015-10-12T14:30:00Z</dcterms:modified>
</cp:coreProperties>
</file>