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09B3" w14:textId="1C3A7EE7" w:rsidR="00E00931" w:rsidRPr="004D41F5" w:rsidRDefault="00E00931" w:rsidP="0094263C">
      <w:pPr>
        <w:pStyle w:val="QuestionNo0"/>
        <w:rPr>
          <w:lang w:val="es-ES"/>
        </w:rPr>
      </w:pPr>
      <w:r w:rsidRPr="004D41F5">
        <w:rPr>
          <w:lang w:val="es-ES"/>
        </w:rPr>
        <w:t xml:space="preserve">CUESTIÓN UIT-R </w:t>
      </w:r>
      <w:r w:rsidR="0094263C">
        <w:rPr>
          <w:lang w:val="es-ES"/>
        </w:rPr>
        <w:t>253</w:t>
      </w:r>
      <w:r w:rsidRPr="004D41F5">
        <w:rPr>
          <w:lang w:val="es-ES"/>
        </w:rPr>
        <w:t>/5</w:t>
      </w:r>
      <w:r w:rsidR="003C436B">
        <w:rPr>
          <w:rStyle w:val="FootnoteReference"/>
          <w:lang w:val="es-ES"/>
        </w:rPr>
        <w:footnoteReference w:id="1"/>
      </w:r>
    </w:p>
    <w:p w14:paraId="298C1ED3" w14:textId="77777777" w:rsidR="00E00931" w:rsidRPr="004D41F5" w:rsidRDefault="00E00931" w:rsidP="00E00931">
      <w:pPr>
        <w:pStyle w:val="Questiontitle"/>
        <w:rPr>
          <w:lang w:val="es-ES"/>
        </w:rPr>
      </w:pPr>
      <w:r w:rsidRPr="004D41F5">
        <w:rPr>
          <w:lang w:val="es-ES"/>
        </w:rPr>
        <w:t>Utilización del servicio fijo y futuras tendencias</w:t>
      </w:r>
    </w:p>
    <w:p w14:paraId="7F8755CC" w14:textId="128D1243" w:rsidR="00E00931" w:rsidRDefault="0094263C" w:rsidP="00D841C5">
      <w:pPr>
        <w:pStyle w:val="Questiondate"/>
        <w:rPr>
          <w:lang w:val="es-ES"/>
        </w:rPr>
      </w:pPr>
      <w:r>
        <w:rPr>
          <w:lang w:val="es-ES"/>
        </w:rPr>
        <w:t>(2012)</w:t>
      </w:r>
    </w:p>
    <w:p w14:paraId="65FAC8A2" w14:textId="77777777" w:rsidR="00E00931" w:rsidRPr="004D41F5" w:rsidRDefault="00E00931" w:rsidP="00E00931">
      <w:pPr>
        <w:pStyle w:val="Normalaftertitle0"/>
        <w:rPr>
          <w:lang w:val="es-ES"/>
        </w:rPr>
      </w:pPr>
      <w:r w:rsidRPr="004D41F5">
        <w:rPr>
          <w:lang w:val="es-ES"/>
        </w:rPr>
        <w:t>La Asamblea de Radiocomunicaciones de la UIT,</w:t>
      </w:r>
    </w:p>
    <w:p w14:paraId="60EFEC48" w14:textId="77777777" w:rsidR="00E00931" w:rsidRPr="004D41F5" w:rsidRDefault="00E00931" w:rsidP="00E00931">
      <w:pPr>
        <w:pStyle w:val="Call"/>
        <w:rPr>
          <w:lang w:val="es-ES"/>
        </w:rPr>
      </w:pPr>
      <w:r w:rsidRPr="004D41F5">
        <w:rPr>
          <w:lang w:val="es-ES"/>
        </w:rPr>
        <w:t>considerando</w:t>
      </w:r>
    </w:p>
    <w:p w14:paraId="6F48628A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a)</w:t>
      </w:r>
      <w:r w:rsidRPr="004D41F5">
        <w:rPr>
          <w:lang w:val="es-ES"/>
        </w:rPr>
        <w:tab/>
        <w:t>que a lo largo de los años el servicio fijo ha ido evolucionando y continúa haciéndolo, tanto en lo que respecta a las tecnologías como a las aplicaciones, incluido el uso de sistemas inalámbricos fijos de gran capacidad;</w:t>
      </w:r>
    </w:p>
    <w:p w14:paraId="46F946E9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b)</w:t>
      </w:r>
      <w:r w:rsidRPr="004D41F5">
        <w:rPr>
          <w:lang w:val="es-ES"/>
        </w:rPr>
        <w:tab/>
        <w:t>que esa evolución de los requisitos y la tecnología del servicio fijo est</w:t>
      </w:r>
      <w:r>
        <w:rPr>
          <w:lang w:val="es-ES"/>
        </w:rPr>
        <w:t>á conduciendo a </w:t>
      </w:r>
      <w:r w:rsidRPr="004D41F5">
        <w:rPr>
          <w:lang w:val="es-ES"/>
        </w:rPr>
        <w:t>cambios en las arquitecturas de red, la capacidad y las necesidades de anchura de banda;</w:t>
      </w:r>
    </w:p>
    <w:p w14:paraId="64223F5F" w14:textId="5C13BDF5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c)</w:t>
      </w:r>
      <w:r w:rsidRPr="004D41F5">
        <w:rPr>
          <w:lang w:val="es-ES"/>
        </w:rPr>
        <w:tab/>
        <w:t>que es importante explotar bandas de frecuencia superiores, por ejemplo</w:t>
      </w:r>
      <w:r w:rsidR="003C436B">
        <w:rPr>
          <w:lang w:val="es-ES"/>
        </w:rPr>
        <w:t>,</w:t>
      </w:r>
      <w:r w:rsidRPr="004D41F5">
        <w:rPr>
          <w:lang w:val="es-ES"/>
        </w:rPr>
        <w:t xml:space="preserve"> las de ondas milimétricas superiores, como una de las medidas para hacer frente a esas nuevas necesidades cambiantes; </w:t>
      </w:r>
    </w:p>
    <w:p w14:paraId="10E5FA7A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d)</w:t>
      </w:r>
      <w:r w:rsidRPr="004D41F5">
        <w:rPr>
          <w:lang w:val="es-ES"/>
        </w:rPr>
        <w:tab/>
        <w:t>que estos cambios pueden exigir nuevas consideraciones en materia de reglamentación y gestión del espectro, con miras a atender esas nuevas necesidades;</w:t>
      </w:r>
    </w:p>
    <w:p w14:paraId="61C6E16D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e)</w:t>
      </w:r>
      <w:r w:rsidRPr="004D41F5">
        <w:rPr>
          <w:lang w:val="es-ES"/>
        </w:rPr>
        <w:tab/>
        <w:t>que es preciso proporcionar orientación e información actualizada sobre el medio y la visión del espectro a largo plazo, con inclusión de los principales motores y tendencias del servicio fijo;</w:t>
      </w:r>
    </w:p>
    <w:p w14:paraId="25C2FAE6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f)</w:t>
      </w:r>
      <w:r w:rsidRPr="004D41F5">
        <w:rPr>
          <w:lang w:val="es-ES"/>
        </w:rPr>
        <w:tab/>
        <w:t>que esa orientación le sería muy útil a las administraciones, los fabricantes y los operadores de telecomunicaciones en toda una serie de debates sobre gestión del espectro;</w:t>
      </w:r>
    </w:p>
    <w:p w14:paraId="44201D66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g)</w:t>
      </w:r>
      <w:r w:rsidRPr="004D41F5">
        <w:rPr>
          <w:lang w:val="es-ES"/>
        </w:rPr>
        <w:tab/>
        <w:t>que el crecimiento exponencial del tráfico de banda ancha móvil está intensificando la demanda de infraestructura de la red de retroceso del servicio fijo;</w:t>
      </w:r>
    </w:p>
    <w:p w14:paraId="1F14B5B6" w14:textId="77777777" w:rsidR="00E00931" w:rsidRPr="004D41F5" w:rsidRDefault="00E00931" w:rsidP="00E00931">
      <w:pPr>
        <w:rPr>
          <w:lang w:val="es-ES"/>
        </w:rPr>
      </w:pPr>
      <w:r w:rsidRPr="0094263C">
        <w:rPr>
          <w:i/>
          <w:iCs/>
          <w:lang w:val="es-ES"/>
        </w:rPr>
        <w:t>h)</w:t>
      </w:r>
      <w:r w:rsidRPr="004D41F5">
        <w:rPr>
          <w:lang w:val="es-ES"/>
        </w:rPr>
        <w:tab/>
        <w:t xml:space="preserve">que </w:t>
      </w:r>
      <w:proofErr w:type="gramStart"/>
      <w:r w:rsidRPr="004D41F5">
        <w:rPr>
          <w:lang w:val="es-ES"/>
        </w:rPr>
        <w:t>una diversidad de tecnologías pueden</w:t>
      </w:r>
      <w:proofErr w:type="gramEnd"/>
      <w:r w:rsidRPr="004D41F5">
        <w:rPr>
          <w:lang w:val="es-ES"/>
        </w:rPr>
        <w:t xml:space="preserve"> proporcionar enlaces de retroceso y retransmisión para siste</w:t>
      </w:r>
      <w:r>
        <w:rPr>
          <w:lang w:val="es-ES"/>
        </w:rPr>
        <w:t>mas de acceso inalámbrico nómada</w:t>
      </w:r>
      <w:r w:rsidRPr="004D41F5">
        <w:rPr>
          <w:lang w:val="es-ES"/>
        </w:rPr>
        <w:t>s</w:t>
      </w:r>
      <w:r>
        <w:rPr>
          <w:lang w:val="es-ES"/>
        </w:rPr>
        <w:t>,</w:t>
      </w:r>
    </w:p>
    <w:p w14:paraId="788BD0EB" w14:textId="77777777" w:rsidR="00E00931" w:rsidRPr="004D41F5" w:rsidRDefault="00E00931" w:rsidP="00E00931">
      <w:pPr>
        <w:pStyle w:val="Call"/>
        <w:rPr>
          <w:lang w:val="es-ES"/>
        </w:rPr>
      </w:pPr>
      <w:r w:rsidRPr="004D41F5">
        <w:rPr>
          <w:lang w:val="es-ES"/>
        </w:rPr>
        <w:t xml:space="preserve">decide </w:t>
      </w:r>
      <w:r w:rsidRPr="004D41F5">
        <w:rPr>
          <w:i w:val="0"/>
          <w:iCs/>
          <w:lang w:val="es-ES"/>
        </w:rPr>
        <w:t>que se estudie la siguiente Cuestión</w:t>
      </w:r>
    </w:p>
    <w:p w14:paraId="26DAC45A" w14:textId="4CB91E93" w:rsidR="00E00931" w:rsidRPr="004D41F5" w:rsidRDefault="00E00931" w:rsidP="00E00931">
      <w:pPr>
        <w:rPr>
          <w:lang w:val="es-ES"/>
        </w:rPr>
      </w:pPr>
      <w:r w:rsidRPr="004D41F5">
        <w:rPr>
          <w:lang w:val="es-ES"/>
        </w:rPr>
        <w:t>¿Cuáles son las principales tendencias y motores de las tecnologías y aplicaciones para el servicio fijo en las diferentes bandas del SF a lo largo del período 20</w:t>
      </w:r>
      <w:r w:rsidR="003C436B">
        <w:rPr>
          <w:lang w:val="es-ES"/>
        </w:rPr>
        <w:t>24</w:t>
      </w:r>
      <w:r w:rsidRPr="004D41F5">
        <w:rPr>
          <w:lang w:val="es-ES"/>
        </w:rPr>
        <w:t>-202</w:t>
      </w:r>
      <w:r w:rsidR="003C436B">
        <w:rPr>
          <w:lang w:val="es-ES"/>
        </w:rPr>
        <w:t>7</w:t>
      </w:r>
      <w:r w:rsidRPr="004D41F5">
        <w:rPr>
          <w:lang w:val="es-ES"/>
        </w:rPr>
        <w:t xml:space="preserve"> y más allá de éste, teniendo en cuenta:</w:t>
      </w:r>
    </w:p>
    <w:p w14:paraId="31AB89A3" w14:textId="77777777"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>las hipótesis de despliegue, consideraciones relativas a la propagación, adelantos tecnológicos,</w:t>
      </w:r>
      <w:r>
        <w:rPr>
          <w:lang w:val="es-ES"/>
        </w:rPr>
        <w:t xml:space="preserve"> </w:t>
      </w:r>
      <w:r w:rsidRPr="004D41F5">
        <w:rPr>
          <w:lang w:val="es-ES"/>
        </w:rPr>
        <w:t>necesidades de espectro y capacidad;</w:t>
      </w:r>
    </w:p>
    <w:p w14:paraId="1CCBFCFF" w14:textId="77777777"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>el uso de bandas de frecuencias en ondas milimétricas superiores (por ejemplo, por encima de 60 GHz);</w:t>
      </w:r>
    </w:p>
    <w:p w14:paraId="58B580C0" w14:textId="77777777"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 xml:space="preserve">los requisitos técnicos y operacionales de los sistemas inalámbricos fijos que funcionan en las de bandas de frecuencias en ondas milimétricas superiores, con inclusión de los enlaces de gran capacidad, por </w:t>
      </w:r>
      <w:proofErr w:type="gramStart"/>
      <w:r w:rsidRPr="004D41F5">
        <w:rPr>
          <w:lang w:val="es-ES"/>
        </w:rPr>
        <w:t>ejemplo</w:t>
      </w:r>
      <w:proofErr w:type="gramEnd"/>
      <w:r w:rsidRPr="004D41F5">
        <w:rPr>
          <w:lang w:val="es-ES"/>
        </w:rPr>
        <w:t xml:space="preserve"> de clase Gigabit?</w:t>
      </w:r>
    </w:p>
    <w:p w14:paraId="461935D8" w14:textId="77777777" w:rsidR="00E00931" w:rsidRPr="004D41F5" w:rsidRDefault="00E00931" w:rsidP="00E00931">
      <w:pPr>
        <w:pStyle w:val="Call"/>
        <w:rPr>
          <w:lang w:val="es-ES"/>
        </w:rPr>
      </w:pPr>
      <w:proofErr w:type="gramStart"/>
      <w:r w:rsidRPr="004D41F5">
        <w:rPr>
          <w:lang w:val="es-ES"/>
        </w:rPr>
        <w:lastRenderedPageBreak/>
        <w:t>decide</w:t>
      </w:r>
      <w:proofErr w:type="gramEnd"/>
      <w:r w:rsidRPr="004D41F5">
        <w:rPr>
          <w:lang w:val="es-ES"/>
        </w:rPr>
        <w:t xml:space="preserve"> además</w:t>
      </w:r>
    </w:p>
    <w:p w14:paraId="50336F1E" w14:textId="77777777" w:rsidR="00E00931" w:rsidRPr="004D41F5" w:rsidRDefault="00E00931" w:rsidP="00E00931">
      <w:pPr>
        <w:rPr>
          <w:lang w:val="es-ES"/>
        </w:rPr>
      </w:pPr>
      <w:r w:rsidRPr="0094263C">
        <w:rPr>
          <w:lang w:val="es-ES"/>
        </w:rPr>
        <w:t>1</w:t>
      </w:r>
      <w:r w:rsidRPr="004D41F5">
        <w:rPr>
          <w:lang w:val="es-ES"/>
        </w:rPr>
        <w:tab/>
        <w:t>que los resultados de estos estudios se incluyan en Informes/Recomendaciones nuev</w:t>
      </w:r>
      <w:r>
        <w:rPr>
          <w:lang w:val="es-ES"/>
        </w:rPr>
        <w:t>o</w:t>
      </w:r>
      <w:r w:rsidRPr="004D41F5">
        <w:rPr>
          <w:lang w:val="es-ES"/>
        </w:rPr>
        <w:t>s y/o revisados, según proceda;</w:t>
      </w:r>
    </w:p>
    <w:p w14:paraId="603AAEF5" w14:textId="13BD0C6F" w:rsidR="00E00931" w:rsidRPr="004D41F5" w:rsidRDefault="00E00931" w:rsidP="00E00931">
      <w:pPr>
        <w:rPr>
          <w:lang w:val="es-ES"/>
        </w:rPr>
      </w:pPr>
      <w:r w:rsidRPr="0094263C">
        <w:rPr>
          <w:lang w:val="es-ES"/>
        </w:rPr>
        <w:t>2</w:t>
      </w:r>
      <w:r w:rsidRPr="004D41F5">
        <w:rPr>
          <w:lang w:val="es-ES"/>
        </w:rPr>
        <w:tab/>
        <w:t>que dic</w:t>
      </w:r>
      <w:r w:rsidR="00950257">
        <w:rPr>
          <w:lang w:val="es-ES"/>
        </w:rPr>
        <w:t>hos estudios se terminen en 202</w:t>
      </w:r>
      <w:r w:rsidR="003C436B">
        <w:rPr>
          <w:lang w:val="es-ES"/>
        </w:rPr>
        <w:t>7</w:t>
      </w:r>
      <w:r w:rsidRPr="004D41F5">
        <w:rPr>
          <w:lang w:val="es-ES"/>
        </w:rPr>
        <w:t>.</w:t>
      </w:r>
    </w:p>
    <w:p w14:paraId="0D86B692" w14:textId="28B89058" w:rsidR="00E00931" w:rsidRPr="004D41F5" w:rsidRDefault="00E00931" w:rsidP="00D841C5">
      <w:pPr>
        <w:spacing w:before="360"/>
        <w:rPr>
          <w:lang w:val="es-ES"/>
        </w:rPr>
      </w:pPr>
      <w:r w:rsidRPr="004D41F5">
        <w:rPr>
          <w:lang w:val="es-ES"/>
        </w:rPr>
        <w:t>Categoría:</w:t>
      </w:r>
      <w:r w:rsidR="00D841C5">
        <w:rPr>
          <w:lang w:val="es-ES"/>
        </w:rPr>
        <w:tab/>
      </w:r>
      <w:r w:rsidRPr="004D41F5">
        <w:rPr>
          <w:lang w:val="es-ES"/>
        </w:rPr>
        <w:t>S2</w:t>
      </w:r>
    </w:p>
    <w:sectPr w:rsidR="00E00931" w:rsidRPr="004D41F5" w:rsidSect="00FC6F4E">
      <w:headerReference w:type="default" r:id="rId8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827A" w14:textId="77777777" w:rsidR="00F760E2" w:rsidRDefault="00F760E2">
      <w:r>
        <w:separator/>
      </w:r>
    </w:p>
  </w:endnote>
  <w:endnote w:type="continuationSeparator" w:id="0">
    <w:p w14:paraId="4DD3109B" w14:textId="77777777"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B704" w14:textId="77777777" w:rsidR="00F760E2" w:rsidRDefault="00F760E2">
      <w:r>
        <w:t>____________________</w:t>
      </w:r>
    </w:p>
  </w:footnote>
  <w:footnote w:type="continuationSeparator" w:id="0">
    <w:p w14:paraId="6A6EFBF4" w14:textId="77777777" w:rsidR="00F760E2" w:rsidRDefault="00F760E2">
      <w:r>
        <w:continuationSeparator/>
      </w:r>
    </w:p>
  </w:footnote>
  <w:footnote w:id="1">
    <w:p w14:paraId="0B231719" w14:textId="5300ADAE" w:rsidR="003C436B" w:rsidRPr="003C436B" w:rsidRDefault="003C436B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Pr="003C436B">
        <w:rPr>
          <w:lang w:val="es-ES"/>
        </w:rPr>
        <w:tab/>
      </w:r>
      <w:r w:rsidRPr="00C276FD">
        <w:t>En el año 20</w:t>
      </w:r>
      <w:r>
        <w:t>23</w:t>
      </w:r>
      <w:r w:rsidRPr="00C276FD">
        <w:t>,</w:t>
      </w:r>
      <w:r>
        <w:t xml:space="preserve"> la Comisión de Estudio 5</w:t>
      </w:r>
      <w:r w:rsidRPr="00C276FD">
        <w:t xml:space="preserve"> de Radiocomunicaciones pospuso la fecha de finalización de los estudios para esta Cuestión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8BCE" w14:textId="355DE7A4" w:rsidR="00F760E2" w:rsidRPr="00F96264" w:rsidRDefault="00F760E2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025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03641">
    <w:abstractNumId w:val="18"/>
  </w:num>
  <w:num w:numId="2" w16cid:durableId="988482849">
    <w:abstractNumId w:val="9"/>
  </w:num>
  <w:num w:numId="3" w16cid:durableId="437405868">
    <w:abstractNumId w:val="7"/>
  </w:num>
  <w:num w:numId="4" w16cid:durableId="963732199">
    <w:abstractNumId w:val="6"/>
  </w:num>
  <w:num w:numId="5" w16cid:durableId="1492135459">
    <w:abstractNumId w:val="5"/>
  </w:num>
  <w:num w:numId="6" w16cid:durableId="1747871527">
    <w:abstractNumId w:val="4"/>
  </w:num>
  <w:num w:numId="7" w16cid:durableId="1855604426">
    <w:abstractNumId w:val="8"/>
  </w:num>
  <w:num w:numId="8" w16cid:durableId="1627003005">
    <w:abstractNumId w:val="3"/>
  </w:num>
  <w:num w:numId="9" w16cid:durableId="672027136">
    <w:abstractNumId w:val="2"/>
  </w:num>
  <w:num w:numId="10" w16cid:durableId="515385740">
    <w:abstractNumId w:val="1"/>
  </w:num>
  <w:num w:numId="11" w16cid:durableId="49811210">
    <w:abstractNumId w:val="0"/>
  </w:num>
  <w:num w:numId="12" w16cid:durableId="1381661454">
    <w:abstractNumId w:val="21"/>
  </w:num>
  <w:num w:numId="13" w16cid:durableId="299263589">
    <w:abstractNumId w:val="17"/>
  </w:num>
  <w:num w:numId="14" w16cid:durableId="1738893005">
    <w:abstractNumId w:val="11"/>
  </w:num>
  <w:num w:numId="15" w16cid:durableId="462039469">
    <w:abstractNumId w:val="16"/>
  </w:num>
  <w:num w:numId="16" w16cid:durableId="662583211">
    <w:abstractNumId w:val="12"/>
  </w:num>
  <w:num w:numId="17" w16cid:durableId="1743984182">
    <w:abstractNumId w:val="15"/>
  </w:num>
  <w:num w:numId="18" w16cid:durableId="1955206595">
    <w:abstractNumId w:val="22"/>
  </w:num>
  <w:num w:numId="19" w16cid:durableId="937328327">
    <w:abstractNumId w:val="25"/>
  </w:num>
  <w:num w:numId="20" w16cid:durableId="1486895763">
    <w:abstractNumId w:val="19"/>
  </w:num>
  <w:num w:numId="21" w16cid:durableId="423766018">
    <w:abstractNumId w:val="24"/>
  </w:num>
  <w:num w:numId="22" w16cid:durableId="627977364">
    <w:abstractNumId w:val="20"/>
  </w:num>
  <w:num w:numId="23" w16cid:durableId="999314781">
    <w:abstractNumId w:val="14"/>
  </w:num>
  <w:num w:numId="24" w16cid:durableId="1781679094">
    <w:abstractNumId w:val="23"/>
  </w:num>
  <w:num w:numId="25" w16cid:durableId="1319379921">
    <w:abstractNumId w:val="10"/>
  </w:num>
  <w:num w:numId="26" w16cid:durableId="8214596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FDF"/>
    <w:rsid w:val="00042AD7"/>
    <w:rsid w:val="000A1060"/>
    <w:rsid w:val="00131358"/>
    <w:rsid w:val="00160366"/>
    <w:rsid w:val="001D1E4E"/>
    <w:rsid w:val="0022331D"/>
    <w:rsid w:val="00240010"/>
    <w:rsid w:val="0025343E"/>
    <w:rsid w:val="0027071F"/>
    <w:rsid w:val="002857FF"/>
    <w:rsid w:val="00295470"/>
    <w:rsid w:val="002B167B"/>
    <w:rsid w:val="00315870"/>
    <w:rsid w:val="00361D27"/>
    <w:rsid w:val="003C436B"/>
    <w:rsid w:val="003D6D04"/>
    <w:rsid w:val="004E653E"/>
    <w:rsid w:val="00507FBD"/>
    <w:rsid w:val="00564814"/>
    <w:rsid w:val="005934BB"/>
    <w:rsid w:val="00647699"/>
    <w:rsid w:val="00680813"/>
    <w:rsid w:val="006A7F8A"/>
    <w:rsid w:val="006C6006"/>
    <w:rsid w:val="00737D33"/>
    <w:rsid w:val="00742812"/>
    <w:rsid w:val="007839FC"/>
    <w:rsid w:val="007D51DB"/>
    <w:rsid w:val="00810C1B"/>
    <w:rsid w:val="008C0625"/>
    <w:rsid w:val="008D0040"/>
    <w:rsid w:val="008D276B"/>
    <w:rsid w:val="008E4322"/>
    <w:rsid w:val="008F1D18"/>
    <w:rsid w:val="0090622B"/>
    <w:rsid w:val="0094263C"/>
    <w:rsid w:val="00950257"/>
    <w:rsid w:val="00A10ED7"/>
    <w:rsid w:val="00AC6C98"/>
    <w:rsid w:val="00AE07DC"/>
    <w:rsid w:val="00B43985"/>
    <w:rsid w:val="00B4631C"/>
    <w:rsid w:val="00B7094F"/>
    <w:rsid w:val="00BD0273"/>
    <w:rsid w:val="00BD03C9"/>
    <w:rsid w:val="00C038E3"/>
    <w:rsid w:val="00C34FDF"/>
    <w:rsid w:val="00C474AE"/>
    <w:rsid w:val="00C66181"/>
    <w:rsid w:val="00C879BC"/>
    <w:rsid w:val="00D04A11"/>
    <w:rsid w:val="00D105BE"/>
    <w:rsid w:val="00D2665D"/>
    <w:rsid w:val="00D74DEA"/>
    <w:rsid w:val="00D841C5"/>
    <w:rsid w:val="00E00931"/>
    <w:rsid w:val="00E823EC"/>
    <w:rsid w:val="00EC6A9D"/>
    <w:rsid w:val="00F033C3"/>
    <w:rsid w:val="00F040D4"/>
    <w:rsid w:val="00F760E2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726A573"/>
  <w15:docId w15:val="{3EA0EA66-2095-4F96-893A-1F95A137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B574-72A2-40CA-B0BD-0E93EF7F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2480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Author</cp:lastModifiedBy>
  <cp:revision>8</cp:revision>
  <cp:lastPrinted>2012-04-02T09:10:00Z</cp:lastPrinted>
  <dcterms:created xsi:type="dcterms:W3CDTF">2012-04-03T14:05:00Z</dcterms:created>
  <dcterms:modified xsi:type="dcterms:W3CDTF">2023-11-03T09:40:00Z</dcterms:modified>
</cp:coreProperties>
</file>