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89B9" w14:textId="77777777" w:rsidR="000A5071" w:rsidRDefault="000A5071"/>
    <w:p w14:paraId="39B55DF8" w14:textId="77777777" w:rsidR="004E0614" w:rsidRPr="00EE2D3E" w:rsidRDefault="004E0614" w:rsidP="004E0614">
      <w:pPr>
        <w:pStyle w:val="QuestionNoBR"/>
        <w:rPr>
          <w:lang w:val="en-US" w:eastAsia="zh-CN"/>
        </w:rPr>
      </w:pPr>
      <w:r>
        <w:rPr>
          <w:rFonts w:hint="eastAsia"/>
          <w:lang w:val="en-US" w:eastAsia="zh-CN"/>
        </w:rPr>
        <w:t>ITU-R</w:t>
      </w:r>
      <w:r w:rsidRPr="00EE2D3E">
        <w:rPr>
          <w:rFonts w:hint="eastAsia"/>
          <w:lang w:val="en-US" w:eastAsia="zh-CN"/>
        </w:rPr>
        <w:t>第</w:t>
      </w:r>
      <w:r w:rsidRPr="00EE2D3E">
        <w:rPr>
          <w:rFonts w:hint="eastAsia"/>
          <w:lang w:val="en-US" w:eastAsia="zh-CN"/>
        </w:rPr>
        <w:t>248</w:t>
      </w:r>
      <w:r w:rsidRPr="00EE2D3E">
        <w:rPr>
          <w:lang w:val="en-US" w:eastAsia="zh-CN"/>
        </w:rPr>
        <w:t>/5</w:t>
      </w:r>
      <w:r w:rsidRPr="00EE2D3E">
        <w:rPr>
          <w:rFonts w:hint="eastAsia"/>
          <w:lang w:val="en-US" w:eastAsia="zh-CN"/>
        </w:rPr>
        <w:t>号课题</w:t>
      </w:r>
      <w:r w:rsidR="006239C2">
        <w:rPr>
          <w:rStyle w:val="FootnoteReference"/>
          <w:lang w:val="en-US" w:eastAsia="zh-CN"/>
        </w:rPr>
        <w:footnoteReference w:customMarkFollows="1" w:id="1"/>
        <w:t>*</w:t>
      </w:r>
    </w:p>
    <w:p w14:paraId="7DE2C2D0" w14:textId="77777777" w:rsidR="004E0614" w:rsidRPr="008C7648" w:rsidRDefault="004E0614" w:rsidP="004E0614">
      <w:pPr>
        <w:pStyle w:val="Questiontitle"/>
        <w:rPr>
          <w:lang w:eastAsia="zh-CN"/>
        </w:rPr>
      </w:pPr>
      <w:r w:rsidRPr="008C7648"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减灾</w:t>
      </w:r>
      <w:r w:rsidRPr="008C7648">
        <w:rPr>
          <w:rFonts w:hint="eastAsia"/>
          <w:lang w:eastAsia="zh-CN"/>
        </w:rPr>
        <w:t>和赈灾的固定业务系统的技术和操作特性</w:t>
      </w:r>
    </w:p>
    <w:p w14:paraId="7F58AFF4" w14:textId="77777777" w:rsidR="004E0614" w:rsidRDefault="004E0614" w:rsidP="004E0614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年）</w:t>
      </w:r>
    </w:p>
    <w:p w14:paraId="0863105E" w14:textId="77777777" w:rsidR="004E0614" w:rsidRPr="00B0355C" w:rsidRDefault="004E0614" w:rsidP="004E0614">
      <w:pPr>
        <w:pStyle w:val="Normalaftertitle"/>
        <w:spacing w:before="48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5B7788D7" w14:textId="77777777" w:rsidR="004E0614" w:rsidRPr="004A5A42" w:rsidRDefault="004E0614" w:rsidP="004E0614">
      <w:pPr>
        <w:pStyle w:val="Call"/>
        <w:spacing w:before="120"/>
        <w:rPr>
          <w:rFonts w:ascii="STKaiti" w:eastAsia="STKaiti" w:hAnsi="STKaiti"/>
          <w:i w:val="0"/>
          <w:lang w:val="en-US" w:eastAsia="zh-CN"/>
        </w:rPr>
      </w:pPr>
      <w:r w:rsidRPr="004A5A42">
        <w:rPr>
          <w:rFonts w:ascii="STKaiti" w:eastAsia="STKaiti" w:hAnsi="STKaiti" w:hint="eastAsia"/>
          <w:i w:val="0"/>
          <w:lang w:val="en-US" w:eastAsia="zh-CN"/>
        </w:rPr>
        <w:t>考虑到</w:t>
      </w:r>
    </w:p>
    <w:p w14:paraId="13C97DC5" w14:textId="77777777" w:rsidR="004E0614" w:rsidRPr="008C7648" w:rsidRDefault="004E0614" w:rsidP="004E0614">
      <w:pPr>
        <w:rPr>
          <w:bCs/>
          <w:lang w:val="en-US" w:eastAsia="ja-JP"/>
        </w:rPr>
      </w:pPr>
      <w:r w:rsidRPr="000F7419">
        <w:rPr>
          <w:bCs/>
          <w:i/>
          <w:iCs/>
          <w:lang w:val="en-US" w:eastAsia="ja-JP"/>
        </w:rPr>
        <w:t>a)</w:t>
      </w:r>
      <w:r>
        <w:rPr>
          <w:bCs/>
          <w:lang w:val="en-US" w:eastAsia="ja-JP"/>
        </w:rPr>
        <w:tab/>
      </w:r>
      <w:r w:rsidRPr="008C7648">
        <w:rPr>
          <w:rFonts w:hint="eastAsia"/>
          <w:bCs/>
          <w:lang w:val="en-US" w:eastAsia="ja-JP"/>
        </w:rPr>
        <w:t>在发生自然灾害和</w:t>
      </w:r>
      <w:r w:rsidRPr="008C7648">
        <w:rPr>
          <w:rFonts w:hint="eastAsia"/>
          <w:bCs/>
          <w:lang w:val="en-US" w:eastAsia="ja-JP"/>
        </w:rPr>
        <w:t>/</w:t>
      </w:r>
      <w:r w:rsidRPr="008C7648">
        <w:rPr>
          <w:rFonts w:hint="eastAsia"/>
          <w:bCs/>
          <w:lang w:val="en-US" w:eastAsia="ja-JP"/>
        </w:rPr>
        <w:t>或</w:t>
      </w:r>
      <w:r>
        <w:rPr>
          <w:rFonts w:hint="eastAsia"/>
          <w:bCs/>
          <w:lang w:val="en-US" w:eastAsia="zh-CN"/>
        </w:rPr>
        <w:t>开展</w:t>
      </w:r>
      <w:r w:rsidRPr="008C7648">
        <w:rPr>
          <w:rFonts w:hint="eastAsia"/>
          <w:bCs/>
          <w:lang w:val="en-US" w:eastAsia="ja-JP"/>
        </w:rPr>
        <w:t>其它赈灾工作的</w:t>
      </w:r>
      <w:r>
        <w:rPr>
          <w:rFonts w:hint="eastAsia"/>
          <w:bCs/>
          <w:lang w:val="en-US" w:eastAsia="zh-CN"/>
        </w:rPr>
        <w:t>紧急</w:t>
      </w:r>
      <w:r w:rsidRPr="008C7648">
        <w:rPr>
          <w:rFonts w:hint="eastAsia"/>
          <w:bCs/>
          <w:lang w:val="en-US" w:eastAsia="ja-JP"/>
        </w:rPr>
        <w:t>情况下以及为减轻这些</w:t>
      </w:r>
      <w:r>
        <w:rPr>
          <w:rFonts w:hint="eastAsia"/>
          <w:bCs/>
          <w:lang w:val="en-US" w:eastAsia="zh-CN"/>
        </w:rPr>
        <w:t>紧急</w:t>
      </w:r>
      <w:r w:rsidRPr="008C7648">
        <w:rPr>
          <w:rFonts w:hint="eastAsia"/>
          <w:bCs/>
          <w:lang w:val="en-US" w:eastAsia="ja-JP"/>
        </w:rPr>
        <w:t>情况的影响，</w:t>
      </w:r>
      <w:proofErr w:type="gramStart"/>
      <w:r w:rsidRPr="008C7648">
        <w:rPr>
          <w:rFonts w:hint="eastAsia"/>
          <w:bCs/>
          <w:lang w:val="en-US" w:eastAsia="ja-JP"/>
        </w:rPr>
        <w:t>需要采取迅速且可靠的电信措施；</w:t>
      </w:r>
      <w:proofErr w:type="gramEnd"/>
    </w:p>
    <w:p w14:paraId="33EAA3FE" w14:textId="77777777" w:rsidR="004E0614" w:rsidRPr="008C7648" w:rsidRDefault="004E0614" w:rsidP="004E0614">
      <w:pPr>
        <w:rPr>
          <w:lang w:val="en-US" w:eastAsia="zh-CN"/>
        </w:rPr>
      </w:pPr>
      <w:r w:rsidRPr="000F7419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 w:rsidRPr="008C7648">
        <w:rPr>
          <w:rFonts w:hint="eastAsia"/>
          <w:lang w:val="en-US" w:eastAsia="zh-CN"/>
        </w:rPr>
        <w:t>固定业务系统可以在减灾和赈灾工作中发挥相</w:t>
      </w:r>
      <w:r>
        <w:rPr>
          <w:rFonts w:hint="eastAsia"/>
          <w:lang w:val="en-US" w:eastAsia="zh-CN"/>
        </w:rPr>
        <w:t>关</w:t>
      </w:r>
      <w:r w:rsidRPr="008C7648">
        <w:rPr>
          <w:rFonts w:hint="eastAsia"/>
          <w:lang w:val="en-US" w:eastAsia="zh-CN"/>
        </w:rPr>
        <w:t>作用，</w:t>
      </w:r>
    </w:p>
    <w:p w14:paraId="4BA20E4E" w14:textId="77777777" w:rsidR="004E0614" w:rsidRPr="004A5A42" w:rsidRDefault="004E0614" w:rsidP="004E0614">
      <w:pPr>
        <w:pStyle w:val="Call"/>
        <w:spacing w:before="120"/>
        <w:rPr>
          <w:rFonts w:ascii="STKaiti" w:eastAsia="STKaiti" w:hAnsi="STKaiti"/>
          <w:i w:val="0"/>
          <w:lang w:val="en-US" w:eastAsia="zh-CN"/>
        </w:rPr>
      </w:pPr>
      <w:r w:rsidRPr="004A5A42">
        <w:rPr>
          <w:rFonts w:ascii="STKaiti" w:eastAsia="STKaiti" w:hAnsi="STKaiti" w:hint="eastAsia"/>
          <w:i w:val="0"/>
          <w:lang w:val="en-US" w:eastAsia="zh-CN"/>
        </w:rPr>
        <w:t>认识到</w:t>
      </w:r>
    </w:p>
    <w:p w14:paraId="112C2317" w14:textId="55144A3D" w:rsidR="004E0614" w:rsidRPr="008C7648" w:rsidRDefault="004E0614" w:rsidP="004E0614">
      <w:pPr>
        <w:rPr>
          <w:lang w:val="en-US" w:eastAsia="ja-JP"/>
        </w:rPr>
      </w:pPr>
      <w:r w:rsidRPr="000F7419">
        <w:rPr>
          <w:rFonts w:hint="eastAsia"/>
          <w:bCs/>
          <w:i/>
          <w:iCs/>
          <w:lang w:val="en-US" w:eastAsia="ja-JP"/>
        </w:rPr>
        <w:t>a</w:t>
      </w:r>
      <w:r w:rsidRPr="000F7419">
        <w:rPr>
          <w:bCs/>
          <w:i/>
          <w:iCs/>
          <w:lang w:val="en-US" w:eastAsia="ja-JP"/>
        </w:rPr>
        <w:t>)</w:t>
      </w:r>
      <w:r>
        <w:rPr>
          <w:lang w:val="en-US" w:eastAsia="ja-JP"/>
        </w:rPr>
        <w:tab/>
      </w:r>
      <w:r w:rsidRPr="008C7648">
        <w:rPr>
          <w:rFonts w:hint="eastAsia"/>
          <w:lang w:val="en-US" w:eastAsia="ja-JP"/>
        </w:rPr>
        <w:t>有关公众保护和赈灾的第</w:t>
      </w:r>
      <w:r w:rsidRPr="00280DC6">
        <w:rPr>
          <w:rFonts w:hint="eastAsia"/>
          <w:b/>
          <w:bCs/>
          <w:lang w:val="en-US" w:eastAsia="ja-JP"/>
        </w:rPr>
        <w:t>646</w:t>
      </w:r>
      <w:r w:rsidRPr="008C7648">
        <w:rPr>
          <w:rFonts w:hint="eastAsia"/>
          <w:lang w:val="en-US" w:eastAsia="ja-JP"/>
        </w:rPr>
        <w:t>号决议（</w:t>
      </w:r>
      <w:r w:rsidR="00891A95" w:rsidRPr="00280DC6">
        <w:rPr>
          <w:rFonts w:hint="eastAsia"/>
          <w:b/>
          <w:bCs/>
          <w:lang w:val="en-US" w:eastAsia="ja-JP"/>
        </w:rPr>
        <w:t>WRC-</w:t>
      </w:r>
      <w:r w:rsidR="00891A95" w:rsidRPr="00280DC6">
        <w:rPr>
          <w:b/>
          <w:bCs/>
          <w:lang w:val="en-US" w:eastAsia="ja-JP"/>
        </w:rPr>
        <w:t>1</w:t>
      </w:r>
      <w:r w:rsidR="00EB02D9" w:rsidRPr="00280DC6">
        <w:rPr>
          <w:b/>
          <w:bCs/>
          <w:lang w:val="en-US" w:eastAsia="ja-JP"/>
        </w:rPr>
        <w:t>9</w:t>
      </w:r>
      <w:r w:rsidRPr="008C7648">
        <w:rPr>
          <w:rFonts w:hint="eastAsia"/>
          <w:lang w:val="en-US" w:eastAsia="ja-JP"/>
        </w:rPr>
        <w:t>，</w:t>
      </w:r>
      <w:proofErr w:type="gramStart"/>
      <w:r w:rsidRPr="00280DC6">
        <w:rPr>
          <w:rFonts w:hint="eastAsia"/>
          <w:b/>
          <w:bCs/>
          <w:lang w:val="en-US" w:eastAsia="ja-JP"/>
        </w:rPr>
        <w:t>修订版</w:t>
      </w:r>
      <w:r w:rsidR="00280DC6">
        <w:rPr>
          <w:rFonts w:eastAsia="MS Mincho" w:hint="eastAsia"/>
          <w:lang w:val="en-US" w:eastAsia="ja-JP"/>
        </w:rPr>
        <w:t>)</w:t>
      </w:r>
      <w:r w:rsidRPr="008C7648">
        <w:rPr>
          <w:rFonts w:hint="eastAsia"/>
          <w:lang w:val="en-US" w:eastAsia="ja-JP"/>
        </w:rPr>
        <w:t>；</w:t>
      </w:r>
      <w:proofErr w:type="gramEnd"/>
    </w:p>
    <w:p w14:paraId="654AE645" w14:textId="0670F522" w:rsidR="004E0614" w:rsidRPr="008C7648" w:rsidRDefault="00EB02D9" w:rsidP="00891A95">
      <w:pPr>
        <w:rPr>
          <w:lang w:val="en-US" w:eastAsia="ja-JP"/>
        </w:rPr>
      </w:pPr>
      <w:r>
        <w:rPr>
          <w:i/>
          <w:iCs/>
          <w:lang w:val="en-US" w:eastAsia="ja-JP"/>
        </w:rPr>
        <w:t>b</w:t>
      </w:r>
      <w:r w:rsidR="004E0614" w:rsidRPr="000F7419">
        <w:rPr>
          <w:rFonts w:hint="eastAsia"/>
          <w:i/>
          <w:iCs/>
          <w:lang w:val="en-US" w:eastAsia="ja-JP"/>
        </w:rPr>
        <w:t>)</w:t>
      </w:r>
      <w:r w:rsidR="004E0614">
        <w:rPr>
          <w:lang w:val="en-US" w:eastAsia="ja-JP"/>
        </w:rPr>
        <w:tab/>
      </w:r>
      <w:r w:rsidR="004E0614" w:rsidRPr="008C7648">
        <w:rPr>
          <w:rFonts w:hint="eastAsia"/>
          <w:lang w:val="en-US" w:eastAsia="ja-JP"/>
        </w:rPr>
        <w:t>有关应急和赈灾无线电通信的频谱管理导则的第</w:t>
      </w:r>
      <w:r w:rsidR="004E0614" w:rsidRPr="00280DC6">
        <w:rPr>
          <w:rFonts w:hint="eastAsia"/>
          <w:b/>
          <w:bCs/>
          <w:lang w:val="en-US" w:eastAsia="ja-JP"/>
        </w:rPr>
        <w:t>647</w:t>
      </w:r>
      <w:r w:rsidR="004E0614" w:rsidRPr="008C7648">
        <w:rPr>
          <w:rFonts w:hint="eastAsia"/>
          <w:lang w:val="en-US" w:eastAsia="ja-JP"/>
        </w:rPr>
        <w:t>号决议（</w:t>
      </w:r>
      <w:r w:rsidR="00891A95" w:rsidRPr="00280DC6">
        <w:rPr>
          <w:rFonts w:hint="eastAsia"/>
          <w:b/>
          <w:bCs/>
          <w:lang w:val="en-US" w:eastAsia="ja-JP"/>
        </w:rPr>
        <w:t>WRC-</w:t>
      </w:r>
      <w:r w:rsidR="00891A95" w:rsidRPr="00280DC6">
        <w:rPr>
          <w:b/>
          <w:bCs/>
          <w:lang w:val="en-US" w:eastAsia="ja-JP"/>
        </w:rPr>
        <w:t>1</w:t>
      </w:r>
      <w:r w:rsidRPr="00280DC6">
        <w:rPr>
          <w:b/>
          <w:bCs/>
          <w:lang w:val="en-US" w:eastAsia="ja-JP"/>
        </w:rPr>
        <w:t>9</w:t>
      </w:r>
      <w:r w:rsidR="00891A95">
        <w:rPr>
          <w:rFonts w:hint="eastAsia"/>
          <w:lang w:val="en-US" w:eastAsia="zh-CN"/>
        </w:rPr>
        <w:t>，</w:t>
      </w:r>
      <w:proofErr w:type="gramStart"/>
      <w:r w:rsidR="00891A95" w:rsidRPr="00280DC6">
        <w:rPr>
          <w:rFonts w:hint="eastAsia"/>
          <w:b/>
          <w:bCs/>
          <w:lang w:val="en-US" w:eastAsia="zh-CN"/>
        </w:rPr>
        <w:t>修订</w:t>
      </w:r>
      <w:r w:rsidR="00891A95" w:rsidRPr="00280DC6">
        <w:rPr>
          <w:b/>
          <w:bCs/>
          <w:lang w:val="en-US" w:eastAsia="zh-CN"/>
        </w:rPr>
        <w:t>版</w:t>
      </w:r>
      <w:r w:rsidR="00280DC6">
        <w:rPr>
          <w:rFonts w:hint="eastAsia"/>
          <w:lang w:val="en-US" w:eastAsia="zh-CN"/>
        </w:rPr>
        <w:t>)</w:t>
      </w:r>
      <w:r w:rsidR="004E0614" w:rsidRPr="008C7648">
        <w:rPr>
          <w:rFonts w:hint="eastAsia"/>
          <w:lang w:val="en-US" w:eastAsia="ja-JP"/>
        </w:rPr>
        <w:t>；</w:t>
      </w:r>
      <w:proofErr w:type="gramEnd"/>
    </w:p>
    <w:p w14:paraId="55384F56" w14:textId="576E0000" w:rsidR="004E0614" w:rsidRPr="008C7648" w:rsidRDefault="00EB02D9" w:rsidP="004E0614">
      <w:pPr>
        <w:rPr>
          <w:lang w:val="en-US" w:eastAsia="ja-JP"/>
        </w:rPr>
      </w:pPr>
      <w:r>
        <w:rPr>
          <w:i/>
          <w:iCs/>
          <w:lang w:val="en-US" w:eastAsia="ja-JP"/>
        </w:rPr>
        <w:t>c</w:t>
      </w:r>
      <w:r w:rsidR="004E0614" w:rsidRPr="000F7419">
        <w:rPr>
          <w:rFonts w:hint="eastAsia"/>
          <w:i/>
          <w:iCs/>
          <w:lang w:val="en-US" w:eastAsia="ja-JP"/>
        </w:rPr>
        <w:t>)</w:t>
      </w:r>
      <w:r w:rsidR="004E0614">
        <w:rPr>
          <w:lang w:val="en-US" w:eastAsia="ja-JP"/>
        </w:rPr>
        <w:tab/>
      </w:r>
      <w:r w:rsidR="004E0614" w:rsidRPr="008C7648">
        <w:rPr>
          <w:rFonts w:hint="eastAsia"/>
          <w:lang w:val="en-US" w:eastAsia="ja-JP"/>
        </w:rPr>
        <w:t>有关国际电联所开展的有关灾害预防</w:t>
      </w:r>
      <w:r w:rsidR="004E0614">
        <w:rPr>
          <w:rFonts w:hint="eastAsia"/>
          <w:lang w:val="en-US" w:eastAsia="zh-CN"/>
        </w:rPr>
        <w:t>和</w:t>
      </w:r>
      <w:r w:rsidR="004E0614" w:rsidRPr="008C7648">
        <w:rPr>
          <w:rFonts w:hint="eastAsia"/>
          <w:lang w:val="en-US" w:eastAsia="ja-JP"/>
        </w:rPr>
        <w:t>预测、减灾和赈灾工作的</w:t>
      </w:r>
      <w:r w:rsidR="004E0614" w:rsidRPr="008C7648">
        <w:rPr>
          <w:rFonts w:hint="eastAsia"/>
          <w:lang w:val="en-US" w:eastAsia="ja-JP"/>
        </w:rPr>
        <w:t>ITU-</w:t>
      </w:r>
      <w:proofErr w:type="gramStart"/>
      <w:r w:rsidR="004E0614" w:rsidRPr="008C7648">
        <w:rPr>
          <w:rFonts w:hint="eastAsia"/>
          <w:lang w:val="en-US" w:eastAsia="ja-JP"/>
        </w:rPr>
        <w:t>R</w:t>
      </w:r>
      <w:r w:rsidR="004E0614" w:rsidRPr="008C7648">
        <w:rPr>
          <w:rFonts w:hint="eastAsia"/>
          <w:lang w:val="en-US" w:eastAsia="ja-JP"/>
        </w:rPr>
        <w:t>第</w:t>
      </w:r>
      <w:r w:rsidR="004E0614" w:rsidRPr="008C7648">
        <w:rPr>
          <w:rFonts w:hint="eastAsia"/>
          <w:lang w:val="en-US" w:eastAsia="ja-JP"/>
        </w:rPr>
        <w:t>55</w:t>
      </w:r>
      <w:r w:rsidR="004E0614" w:rsidRPr="008C7648">
        <w:rPr>
          <w:rFonts w:hint="eastAsia"/>
          <w:lang w:val="en-US" w:eastAsia="ja-JP"/>
        </w:rPr>
        <w:t>号决议；</w:t>
      </w:r>
      <w:proofErr w:type="gramEnd"/>
    </w:p>
    <w:p w14:paraId="6C486D4E" w14:textId="77777777" w:rsidR="004E0614" w:rsidRPr="00727E4E" w:rsidRDefault="004E0614" w:rsidP="004E0614">
      <w:pPr>
        <w:pStyle w:val="Call"/>
        <w:spacing w:before="120"/>
        <w:rPr>
          <w:lang w:val="en-US" w:eastAsia="ja-JP"/>
        </w:rPr>
      </w:pPr>
      <w:r w:rsidRPr="004A5A42">
        <w:rPr>
          <w:rFonts w:ascii="STKaiti" w:eastAsia="STKaiti" w:hAnsi="STKaiti" w:hint="eastAsia"/>
          <w:i w:val="0"/>
          <w:lang w:eastAsia="zh-CN"/>
        </w:rPr>
        <w:t>做出决定，</w:t>
      </w:r>
      <w:r w:rsidRPr="004A5A42">
        <w:rPr>
          <w:rFonts w:ascii="SimSun" w:hAnsi="SimSun" w:hint="eastAsia"/>
          <w:i w:val="0"/>
          <w:lang w:eastAsia="zh-CN"/>
        </w:rPr>
        <w:t>应研究以下课题</w:t>
      </w:r>
    </w:p>
    <w:p w14:paraId="31964C16" w14:textId="77777777" w:rsidR="004E0614" w:rsidRPr="00743D5B" w:rsidRDefault="004E0614" w:rsidP="004E0614">
      <w:pPr>
        <w:rPr>
          <w:lang w:val="en-US" w:eastAsia="ja-JP"/>
        </w:rPr>
      </w:pPr>
      <w:r w:rsidRPr="000F7419">
        <w:rPr>
          <w:bCs/>
          <w:lang w:eastAsia="zh-CN"/>
        </w:rPr>
        <w:t>1</w:t>
      </w:r>
      <w:r>
        <w:rPr>
          <w:lang w:eastAsia="zh-CN"/>
        </w:rPr>
        <w:tab/>
      </w:r>
      <w:r w:rsidRPr="00743D5B">
        <w:rPr>
          <w:rFonts w:hint="eastAsia"/>
          <w:lang w:val="en-US" w:eastAsia="ja-JP"/>
        </w:rPr>
        <w:t>希望用于减灾和赈灾工作的固定业务系统</w:t>
      </w:r>
      <w:r>
        <w:rPr>
          <w:rFonts w:hint="eastAsia"/>
          <w:lang w:val="en-US" w:eastAsia="zh-CN"/>
        </w:rPr>
        <w:t>应</w:t>
      </w:r>
      <w:r w:rsidRPr="00743D5B">
        <w:rPr>
          <w:rFonts w:hint="eastAsia"/>
          <w:lang w:val="en-US" w:eastAsia="ja-JP"/>
        </w:rPr>
        <w:t>具备的技术和操作特性是什么？</w:t>
      </w:r>
    </w:p>
    <w:p w14:paraId="6DF1C07B" w14:textId="77777777" w:rsidR="004E0614" w:rsidRPr="00743D5B" w:rsidRDefault="004E0614" w:rsidP="004E0614">
      <w:pPr>
        <w:rPr>
          <w:lang w:val="en-US" w:eastAsia="ja-JP"/>
        </w:rPr>
      </w:pPr>
      <w:r w:rsidRPr="000F7419">
        <w:rPr>
          <w:rFonts w:hint="eastAsia"/>
          <w:bCs/>
          <w:lang w:val="en-US" w:eastAsia="ja-JP"/>
        </w:rPr>
        <w:t>2</w:t>
      </w:r>
      <w:r>
        <w:rPr>
          <w:lang w:val="en-US" w:eastAsia="ja-JP"/>
        </w:rPr>
        <w:tab/>
      </w:r>
      <w:r w:rsidRPr="00743D5B">
        <w:rPr>
          <w:rFonts w:hint="eastAsia"/>
          <w:lang w:val="en-US" w:eastAsia="ja-JP"/>
        </w:rPr>
        <w:t>希望规定</w:t>
      </w:r>
      <w:r>
        <w:rPr>
          <w:rFonts w:hint="eastAsia"/>
          <w:lang w:val="en-US" w:eastAsia="zh-CN"/>
        </w:rPr>
        <w:t>哪</w:t>
      </w:r>
      <w:r w:rsidRPr="00743D5B">
        <w:rPr>
          <w:rFonts w:hint="eastAsia"/>
          <w:lang w:val="en-US" w:eastAsia="ja-JP"/>
        </w:rPr>
        <w:t>些要求来实现不同机构</w:t>
      </w:r>
      <w:r>
        <w:rPr>
          <w:rFonts w:hint="eastAsia"/>
          <w:lang w:val="en-US" w:eastAsia="zh-CN"/>
        </w:rPr>
        <w:t>使</w:t>
      </w:r>
      <w:r w:rsidRPr="00743D5B">
        <w:rPr>
          <w:rFonts w:hint="eastAsia"/>
          <w:lang w:val="en-US" w:eastAsia="ja-JP"/>
        </w:rPr>
        <w:t>用的此类系统间的互操作性？</w:t>
      </w:r>
    </w:p>
    <w:p w14:paraId="6E721C60" w14:textId="77777777" w:rsidR="004E0614" w:rsidRPr="004A5A42" w:rsidRDefault="004E0614" w:rsidP="004E0614">
      <w:pPr>
        <w:pStyle w:val="Call"/>
        <w:spacing w:before="120"/>
        <w:rPr>
          <w:rFonts w:ascii="STKaiti" w:eastAsia="STKaiti" w:hAnsi="STKaiti"/>
          <w:i w:val="0"/>
          <w:lang w:val="en-US" w:eastAsia="zh-CN"/>
        </w:rPr>
      </w:pPr>
      <w:r w:rsidRPr="004A5A42">
        <w:rPr>
          <w:rFonts w:ascii="STKaiti" w:eastAsia="STKaiti" w:hAnsi="STKaiti" w:hint="eastAsia"/>
          <w:i w:val="0"/>
          <w:lang w:val="en-US" w:eastAsia="zh-CN"/>
        </w:rPr>
        <w:t>进一步做出决定</w:t>
      </w:r>
    </w:p>
    <w:p w14:paraId="2AB78C15" w14:textId="77777777" w:rsidR="004E0614" w:rsidRPr="00B0355C" w:rsidRDefault="004E0614" w:rsidP="004E0614">
      <w:pPr>
        <w:rPr>
          <w:lang w:eastAsia="zh-CN"/>
        </w:rPr>
      </w:pPr>
      <w:r w:rsidRPr="000F7419">
        <w:rPr>
          <w:bCs/>
          <w:lang w:eastAsia="zh-CN"/>
        </w:rPr>
        <w:t>1</w:t>
      </w:r>
      <w:r w:rsidRPr="00B0355C">
        <w:rPr>
          <w:b/>
          <w:lang w:eastAsia="zh-CN"/>
        </w:rPr>
        <w:tab/>
      </w:r>
      <w:proofErr w:type="gramStart"/>
      <w:r>
        <w:rPr>
          <w:rFonts w:hint="eastAsia"/>
          <w:lang w:eastAsia="zh-CN"/>
        </w:rPr>
        <w:t>上述研究的结果应包括在一份或多份建议书或报告中；</w:t>
      </w:r>
      <w:proofErr w:type="gramEnd"/>
    </w:p>
    <w:p w14:paraId="5E85C92F" w14:textId="3282DDBE" w:rsidR="004E0614" w:rsidRDefault="004E0614" w:rsidP="006239C2">
      <w:pPr>
        <w:tabs>
          <w:tab w:val="left" w:pos="-720"/>
        </w:tabs>
        <w:rPr>
          <w:lang w:eastAsia="ja-JP"/>
        </w:rPr>
      </w:pPr>
      <w:r w:rsidRPr="000F7419">
        <w:rPr>
          <w:rFonts w:hint="eastAsia"/>
          <w:bCs/>
          <w:lang w:eastAsia="ja-JP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应在</w:t>
      </w:r>
      <w:r w:rsidR="00562A84">
        <w:rPr>
          <w:lang w:eastAsia="zh-CN"/>
        </w:rPr>
        <w:t>202</w:t>
      </w:r>
      <w:r w:rsidR="00EB02D9">
        <w:rPr>
          <w:lang w:eastAsia="zh-CN"/>
        </w:rPr>
        <w:t>7</w:t>
      </w:r>
      <w:r>
        <w:rPr>
          <w:rFonts w:hint="eastAsia"/>
          <w:lang w:eastAsia="zh-CN"/>
        </w:rPr>
        <w:t>年以前准备上述研究结果。</w:t>
      </w:r>
    </w:p>
    <w:p w14:paraId="4D83FBD2" w14:textId="77777777" w:rsidR="004E0614" w:rsidRDefault="00891A95" w:rsidP="00A63E88">
      <w:pPr>
        <w:spacing w:before="360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：见</w:t>
      </w:r>
      <w:r w:rsidR="00750395">
        <w:rPr>
          <w:lang w:eastAsia="ja-JP"/>
        </w:rPr>
        <w:t>ITU-R</w:t>
      </w:r>
      <w:r w:rsidR="00A63E88">
        <w:rPr>
          <w:lang w:eastAsia="ja-JP"/>
        </w:rPr>
        <w:t xml:space="preserve"> </w:t>
      </w:r>
      <w:hyperlink r:id="rId7" w:history="1">
        <w:r w:rsidR="00A63E88">
          <w:rPr>
            <w:rStyle w:val="Hyperlink"/>
            <w:lang w:eastAsia="ja-JP"/>
          </w:rPr>
          <w:t>F.1105</w:t>
        </w:r>
      </w:hyperlink>
      <w:r>
        <w:rPr>
          <w:lang w:eastAsia="zh-CN"/>
        </w:rPr>
        <w:t>建议书。</w:t>
      </w:r>
    </w:p>
    <w:p w14:paraId="5B6088C5" w14:textId="77777777" w:rsidR="004E0614" w:rsidRPr="00361F0F" w:rsidRDefault="004E0614" w:rsidP="00FE1449">
      <w:pPr>
        <w:tabs>
          <w:tab w:val="left" w:pos="284"/>
        </w:tabs>
        <w:spacing w:before="360"/>
        <w:rPr>
          <w:lang w:eastAsia="ja-JP"/>
        </w:rPr>
      </w:pPr>
      <w:r>
        <w:rPr>
          <w:rFonts w:hint="eastAsia"/>
          <w:lang w:eastAsia="zh-CN"/>
        </w:rPr>
        <w:t>类别</w:t>
      </w:r>
      <w:r w:rsidR="00891A95">
        <w:rPr>
          <w:rFonts w:hint="eastAsia"/>
          <w:lang w:eastAsia="zh-CN"/>
        </w:rPr>
        <w:t>：</w:t>
      </w:r>
      <w:r>
        <w:rPr>
          <w:rFonts w:hint="eastAsia"/>
          <w:lang w:eastAsia="ja-JP"/>
        </w:rPr>
        <w:t>S</w:t>
      </w:r>
      <w:r w:rsidR="006239C2">
        <w:rPr>
          <w:lang w:eastAsia="ja-JP"/>
        </w:rPr>
        <w:t>2</w:t>
      </w:r>
    </w:p>
    <w:p w14:paraId="216BD379" w14:textId="77777777" w:rsidR="004E0614" w:rsidRDefault="004E0614">
      <w:pPr>
        <w:rPr>
          <w:lang w:eastAsia="zh-CN"/>
        </w:rPr>
      </w:pPr>
    </w:p>
    <w:sectPr w:rsidR="004E0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0438" w14:textId="77777777" w:rsidR="005A3CC0" w:rsidRDefault="005A3CC0">
      <w:r>
        <w:separator/>
      </w:r>
    </w:p>
  </w:endnote>
  <w:endnote w:type="continuationSeparator" w:id="0">
    <w:p w14:paraId="6B2C61B4" w14:textId="77777777" w:rsidR="005A3CC0" w:rsidRDefault="005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DD2B" w14:textId="77777777" w:rsidR="005171F0" w:rsidRDefault="0051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BE0" w14:textId="77777777" w:rsidR="00A83111" w:rsidRPr="005171F0" w:rsidRDefault="00A83111" w:rsidP="00517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90FA" w14:textId="77777777" w:rsidR="005171F0" w:rsidRDefault="0051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7DA2" w14:textId="77777777" w:rsidR="005A3CC0" w:rsidRDefault="005A3CC0">
      <w:r>
        <w:separator/>
      </w:r>
    </w:p>
  </w:footnote>
  <w:footnote w:type="continuationSeparator" w:id="0">
    <w:p w14:paraId="7EC7D146" w14:textId="77777777" w:rsidR="005A3CC0" w:rsidRDefault="005A3CC0">
      <w:r>
        <w:continuationSeparator/>
      </w:r>
    </w:p>
  </w:footnote>
  <w:footnote w:id="1">
    <w:p w14:paraId="20CCD718" w14:textId="1DB4632E" w:rsidR="006239C2" w:rsidRPr="006239C2" w:rsidRDefault="006239C2" w:rsidP="006239C2">
      <w:pPr>
        <w:pStyle w:val="FootnoteText"/>
        <w:tabs>
          <w:tab w:val="left" w:pos="284"/>
        </w:tabs>
        <w:rPr>
          <w:sz w:val="24"/>
          <w:szCs w:val="24"/>
          <w:lang w:val="en-US" w:eastAsia="zh-CN"/>
        </w:rPr>
      </w:pPr>
      <w:r w:rsidRPr="006239C2">
        <w:rPr>
          <w:rStyle w:val="FootnoteReference"/>
          <w:sz w:val="24"/>
          <w:szCs w:val="24"/>
          <w:lang w:eastAsia="zh-CN"/>
        </w:rPr>
        <w:t>*</w:t>
      </w:r>
      <w:r w:rsidRPr="006239C2">
        <w:rPr>
          <w:sz w:val="24"/>
          <w:szCs w:val="24"/>
          <w:lang w:val="en-US" w:eastAsia="zh-CN"/>
        </w:rPr>
        <w:tab/>
      </w:r>
      <w:r w:rsidRPr="006239C2">
        <w:rPr>
          <w:sz w:val="24"/>
          <w:szCs w:val="24"/>
          <w:lang w:eastAsia="zh-CN"/>
        </w:rPr>
        <w:t>20</w:t>
      </w:r>
      <w:r w:rsidR="00EB02D9">
        <w:rPr>
          <w:sz w:val="24"/>
          <w:szCs w:val="24"/>
          <w:lang w:eastAsia="zh-CN"/>
        </w:rPr>
        <w:t>23</w:t>
      </w:r>
      <w:r w:rsidRPr="006239C2">
        <w:rPr>
          <w:rFonts w:hint="eastAsia"/>
          <w:sz w:val="24"/>
          <w:szCs w:val="24"/>
          <w:lang w:eastAsia="zh-CN"/>
        </w:rPr>
        <w:t>年，无线电通信第</w:t>
      </w:r>
      <w:r w:rsidRPr="006239C2">
        <w:rPr>
          <w:sz w:val="24"/>
          <w:szCs w:val="24"/>
          <w:lang w:eastAsia="zh-CN"/>
        </w:rPr>
        <w:t>5</w:t>
      </w:r>
      <w:r w:rsidRPr="006239C2">
        <w:rPr>
          <w:rFonts w:hint="eastAsia"/>
          <w:sz w:val="24"/>
          <w:szCs w:val="24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DEEE" w14:textId="77777777" w:rsidR="005171F0" w:rsidRDefault="0051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C3FA" w14:textId="77777777" w:rsidR="005171F0" w:rsidRDefault="0051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4F7E" w14:textId="77777777" w:rsidR="005171F0" w:rsidRDefault="00517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63"/>
    <w:rsid w:val="00082763"/>
    <w:rsid w:val="000A5071"/>
    <w:rsid w:val="000F7419"/>
    <w:rsid w:val="00207123"/>
    <w:rsid w:val="00280DC6"/>
    <w:rsid w:val="004E0614"/>
    <w:rsid w:val="005171F0"/>
    <w:rsid w:val="00562A84"/>
    <w:rsid w:val="005719DF"/>
    <w:rsid w:val="0057653D"/>
    <w:rsid w:val="005A3CC0"/>
    <w:rsid w:val="006239C2"/>
    <w:rsid w:val="006A2F0C"/>
    <w:rsid w:val="006F0E0C"/>
    <w:rsid w:val="00750395"/>
    <w:rsid w:val="00775A12"/>
    <w:rsid w:val="007E33CE"/>
    <w:rsid w:val="00891A95"/>
    <w:rsid w:val="009F6474"/>
    <w:rsid w:val="00A37145"/>
    <w:rsid w:val="00A63E88"/>
    <w:rsid w:val="00A70CB6"/>
    <w:rsid w:val="00A83111"/>
    <w:rsid w:val="00D5160C"/>
    <w:rsid w:val="00D67FAE"/>
    <w:rsid w:val="00E023F8"/>
    <w:rsid w:val="00EB02D9"/>
    <w:rsid w:val="00F91073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DB2A9"/>
  <w15:chartTrackingRefBased/>
  <w15:docId w15:val="{4B8B7694-90E1-47BE-962E-A004C1A9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6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Normalaftertitle">
    <w:name w:val="Normal_after_title"/>
    <w:basedOn w:val="Normal"/>
    <w:next w:val="Normal"/>
    <w:link w:val="NormalaftertitleChar"/>
    <w:rsid w:val="004E0614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4E0614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4E061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4E061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4E06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NormalaftertitleChar">
    <w:name w:val="Normal_after_title Char"/>
    <w:link w:val="Normalaftertitle"/>
    <w:rsid w:val="004E0614"/>
    <w:rPr>
      <w:rFonts w:eastAsia="SimSun"/>
      <w:sz w:val="24"/>
      <w:lang w:val="en-GB" w:eastAsia="en-US" w:bidi="ar-SA"/>
    </w:rPr>
  </w:style>
  <w:style w:type="character" w:customStyle="1" w:styleId="CallChar">
    <w:name w:val="Call Char"/>
    <w:link w:val="Call"/>
    <w:rsid w:val="004E0614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link w:val="Questiontitle"/>
    <w:rsid w:val="004E0614"/>
    <w:rPr>
      <w:rFonts w:eastAsia="SimSun"/>
      <w:b/>
      <w:sz w:val="28"/>
      <w:lang w:val="en-GB" w:eastAsia="en-US" w:bidi="ar-SA"/>
    </w:rPr>
  </w:style>
  <w:style w:type="paragraph" w:styleId="FootnoteText">
    <w:name w:val="footnote text"/>
    <w:basedOn w:val="Normal"/>
    <w:link w:val="FootnoteTextChar"/>
    <w:rsid w:val="006239C2"/>
    <w:rPr>
      <w:sz w:val="20"/>
    </w:rPr>
  </w:style>
  <w:style w:type="character" w:customStyle="1" w:styleId="FootnoteTextChar">
    <w:name w:val="Footnote Text Char"/>
    <w:link w:val="FootnoteText"/>
    <w:rsid w:val="006239C2"/>
    <w:rPr>
      <w:lang w:val="en-GB" w:eastAsia="en-US"/>
    </w:rPr>
  </w:style>
  <w:style w:type="character" w:styleId="FootnoteReference">
    <w:name w:val="footnote reference"/>
    <w:rsid w:val="006239C2"/>
    <w:rPr>
      <w:vertAlign w:val="superscript"/>
    </w:rPr>
  </w:style>
  <w:style w:type="character" w:styleId="Hyperlink">
    <w:name w:val="Hyperlink"/>
    <w:basedOn w:val="DefaultParagraphFont"/>
    <w:rsid w:val="00A63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F.1105/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5784-6FEF-4D44-92C2-0E4688F2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bossona</dc:creator>
  <cp:keywords/>
  <dc:description/>
  <cp:lastModifiedBy>Author</cp:lastModifiedBy>
  <cp:revision>8</cp:revision>
  <cp:lastPrinted>1999-11-03T08:25:00Z</cp:lastPrinted>
  <dcterms:created xsi:type="dcterms:W3CDTF">2015-08-10T11:01:00Z</dcterms:created>
  <dcterms:modified xsi:type="dcterms:W3CDTF">2023-11-20T09:51:00Z</dcterms:modified>
</cp:coreProperties>
</file>