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B9" w:rsidRPr="00AD2B1B" w:rsidRDefault="004734B9" w:rsidP="004734B9">
      <w:pPr>
        <w:pStyle w:val="QuestionNo"/>
        <w:rPr>
          <w:lang w:val="ru-RU"/>
        </w:rPr>
      </w:pPr>
      <w:r>
        <w:rPr>
          <w:szCs w:val="26"/>
          <w:lang w:val="ru-RU"/>
        </w:rPr>
        <w:t>ВОПРОС</w:t>
      </w:r>
      <w:r w:rsidRPr="00AD2B1B">
        <w:rPr>
          <w:szCs w:val="26"/>
          <w:lang w:val="ru-RU"/>
        </w:rPr>
        <w:t xml:space="preserve"> МСЭ-R </w:t>
      </w:r>
      <w:r w:rsidRPr="00AD2B1B">
        <w:rPr>
          <w:lang w:val="ru-RU"/>
        </w:rPr>
        <w:t>241-</w:t>
      </w:r>
      <w:r>
        <w:rPr>
          <w:lang w:val="ru-RU"/>
        </w:rPr>
        <w:t>3</w:t>
      </w:r>
      <w:r w:rsidRPr="00AD2B1B">
        <w:rPr>
          <w:lang w:val="ru-RU"/>
        </w:rPr>
        <w:t>/5</w:t>
      </w:r>
    </w:p>
    <w:p w:rsidR="004734B9" w:rsidRPr="00AD2B1B" w:rsidRDefault="004734B9" w:rsidP="004734B9">
      <w:pPr>
        <w:pStyle w:val="Questiontitle"/>
        <w:rPr>
          <w:lang w:val="ru-RU"/>
        </w:rPr>
      </w:pPr>
      <w:r w:rsidRPr="00AD2B1B">
        <w:rPr>
          <w:lang w:val="ru-RU"/>
        </w:rPr>
        <w:t>Когнитивные системы радиосвязи в подвижной службе</w:t>
      </w:r>
    </w:p>
    <w:p w:rsidR="004734B9" w:rsidRPr="00AD2B1B" w:rsidRDefault="004734B9" w:rsidP="004734B9">
      <w:pPr>
        <w:pStyle w:val="Questiondate"/>
        <w:rPr>
          <w:lang w:val="ru-RU"/>
        </w:rPr>
      </w:pPr>
      <w:r w:rsidRPr="00AD2B1B">
        <w:rPr>
          <w:lang w:val="ru-RU"/>
        </w:rPr>
        <w:t>(2007-2007-2012</w:t>
      </w:r>
      <w:r>
        <w:rPr>
          <w:lang w:val="ru-RU"/>
        </w:rPr>
        <w:t>-2015</w:t>
      </w:r>
      <w:r w:rsidRPr="00AD2B1B">
        <w:rPr>
          <w:lang w:val="ru-RU"/>
        </w:rPr>
        <w:t>)</w:t>
      </w:r>
    </w:p>
    <w:p w:rsidR="004734B9" w:rsidRPr="00AD2B1B" w:rsidRDefault="004734B9" w:rsidP="004734B9">
      <w:pPr>
        <w:pStyle w:val="Normalaftertitle"/>
        <w:rPr>
          <w:lang w:eastAsia="ja-JP"/>
        </w:rPr>
      </w:pPr>
      <w:r w:rsidRPr="00AD2B1B">
        <w:rPr>
          <w:lang w:eastAsia="ja-JP"/>
        </w:rPr>
        <w:t>Ассамблея радиосвязи МСЭ,</w:t>
      </w:r>
    </w:p>
    <w:p w:rsidR="004734B9" w:rsidRPr="00AD2B1B" w:rsidRDefault="004734B9" w:rsidP="004734B9">
      <w:pPr>
        <w:pStyle w:val="Call"/>
        <w:rPr>
          <w:lang w:val="ru-RU" w:eastAsia="ja-JP"/>
        </w:rPr>
      </w:pPr>
      <w:r w:rsidRPr="00AD2B1B">
        <w:rPr>
          <w:lang w:val="ru-RU" w:eastAsia="ja-JP"/>
        </w:rPr>
        <w:t>учитывая</w:t>
      </w:r>
      <w:r w:rsidRPr="00AD2B1B">
        <w:rPr>
          <w:i w:val="0"/>
          <w:iCs/>
          <w:lang w:val="ru-RU" w:eastAsia="ja-JP"/>
        </w:rPr>
        <w:t>,</w:t>
      </w:r>
    </w:p>
    <w:p w:rsidR="004734B9" w:rsidRPr="00AD2B1B" w:rsidRDefault="004734B9" w:rsidP="004734B9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во всем мире стремительными темпами расширяется использование подвижных систем радиосвязи;</w:t>
      </w:r>
    </w:p>
    <w:p w:rsidR="004734B9" w:rsidRPr="00AD2B1B" w:rsidRDefault="004734B9" w:rsidP="004734B9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  <w:t>что более эффективное использование спектра имеет решающее значение для постоянного развития таких систем;</w:t>
      </w:r>
    </w:p>
    <w:p w:rsidR="004734B9" w:rsidRPr="00AD2B1B" w:rsidRDefault="004734B9" w:rsidP="004734B9">
      <w:pPr>
        <w:rPr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  <w:t>что когнитивные системы радиосвязи (</w:t>
      </w:r>
      <w:r w:rsidRPr="00AD2B1B">
        <w:rPr>
          <w:szCs w:val="24"/>
          <w:lang w:val="ru-RU" w:eastAsia="ja-JP"/>
        </w:rPr>
        <w:t xml:space="preserve">CRS) </w:t>
      </w:r>
      <w:r w:rsidRPr="00AD2B1B">
        <w:rPr>
          <w:lang w:val="ru-RU"/>
        </w:rPr>
        <w:t>могут содействовать более эффективному использованию спектра в подвижных системах радиосвязи;</w:t>
      </w:r>
    </w:p>
    <w:p w:rsidR="004734B9" w:rsidRPr="00AD2B1B" w:rsidRDefault="004734B9" w:rsidP="004734B9">
      <w:pPr>
        <w:rPr>
          <w:lang w:val="ru-RU"/>
        </w:rPr>
      </w:pPr>
      <w:r w:rsidRPr="00AD2B1B">
        <w:rPr>
          <w:i/>
          <w:iCs/>
          <w:lang w:val="ru-RU"/>
        </w:rPr>
        <w:t>d)</w:t>
      </w:r>
      <w:r w:rsidRPr="00AD2B1B">
        <w:rPr>
          <w:lang w:val="ru-RU"/>
        </w:rPr>
        <w:tab/>
        <w:t>что когнитивные системы радиосвязи могут обеспечить функциональную и эксплуатационную адаптируемость и гибкость подвижных систем радиосвязи;</w:t>
      </w:r>
    </w:p>
    <w:p w:rsidR="004734B9" w:rsidRPr="00AD2B1B" w:rsidRDefault="004734B9" w:rsidP="004734B9">
      <w:pPr>
        <w:rPr>
          <w:lang w:val="ru-RU"/>
        </w:rPr>
      </w:pPr>
      <w:r w:rsidRPr="00AD2B1B">
        <w:rPr>
          <w:i/>
          <w:iCs/>
          <w:lang w:val="ru-RU"/>
        </w:rPr>
        <w:t>e)</w:t>
      </w:r>
      <w:r w:rsidRPr="00AD2B1B">
        <w:rPr>
          <w:lang w:val="ru-RU"/>
        </w:rPr>
        <w:tab/>
        <w:t>что проводится значительная научно-исследовательская и опытно-конструкторская работа в области когнитивных систем радиосвязи и соответствующих технологий радиосвязи;</w:t>
      </w:r>
    </w:p>
    <w:p w:rsidR="004734B9" w:rsidRPr="00AD2B1B" w:rsidRDefault="004734B9" w:rsidP="004734B9">
      <w:pPr>
        <w:rPr>
          <w:lang w:val="ru-RU"/>
        </w:rPr>
      </w:pPr>
      <w:r w:rsidRPr="00AD2B1B">
        <w:rPr>
          <w:i/>
          <w:iCs/>
          <w:lang w:val="ru-RU"/>
        </w:rPr>
        <w:t>f)</w:t>
      </w:r>
      <w:r w:rsidRPr="00AD2B1B">
        <w:rPr>
          <w:lang w:val="ru-RU"/>
        </w:rPr>
        <w:tab/>
        <w:t xml:space="preserve">что это способствует определению технических и эксплуатационных характеристик </w:t>
      </w:r>
      <w:r w:rsidRPr="00AD2B1B">
        <w:rPr>
          <w:szCs w:val="24"/>
          <w:lang w:val="ru-RU" w:eastAsia="ja-JP"/>
        </w:rPr>
        <w:t>CRS</w:t>
      </w:r>
      <w:r w:rsidRPr="00AD2B1B">
        <w:rPr>
          <w:lang w:val="ru-RU"/>
        </w:rPr>
        <w:t>;</w:t>
      </w:r>
    </w:p>
    <w:p w:rsidR="004734B9" w:rsidRPr="00AD2B1B" w:rsidRDefault="004734B9" w:rsidP="004734B9">
      <w:pPr>
        <w:rPr>
          <w:lang w:val="ru-RU"/>
        </w:rPr>
      </w:pPr>
      <w:r w:rsidRPr="00AD2B1B">
        <w:rPr>
          <w:i/>
          <w:iCs/>
          <w:lang w:val="ru-RU"/>
        </w:rPr>
        <w:t>g)</w:t>
      </w:r>
      <w:r w:rsidRPr="00AD2B1B">
        <w:rPr>
          <w:lang w:val="ru-RU"/>
        </w:rPr>
        <w:tab/>
        <w:t xml:space="preserve">что в Отчете МСЭ-R </w:t>
      </w:r>
      <w:r w:rsidRPr="00AD2B1B">
        <w:rPr>
          <w:lang w:val="ru-RU" w:eastAsia="ja-JP"/>
        </w:rPr>
        <w:t>S</w:t>
      </w:r>
      <w:r w:rsidRPr="00AD2B1B">
        <w:rPr>
          <w:lang w:val="ru-RU"/>
        </w:rPr>
        <w:t xml:space="preserve">M.2152 содержится определение МСЭ-R для </w:t>
      </w:r>
      <w:r w:rsidRPr="00AD2B1B">
        <w:rPr>
          <w:szCs w:val="24"/>
          <w:lang w:val="ru-RU" w:eastAsia="ja-JP"/>
        </w:rPr>
        <w:t>CRS</w:t>
      </w:r>
      <w:r w:rsidRPr="00AD2B1B">
        <w:rPr>
          <w:lang w:val="ru-RU"/>
        </w:rPr>
        <w:t>;</w:t>
      </w:r>
    </w:p>
    <w:p w:rsidR="004734B9" w:rsidRPr="00AD2B1B" w:rsidRDefault="004734B9" w:rsidP="004734B9">
      <w:pPr>
        <w:rPr>
          <w:lang w:val="ru-RU"/>
        </w:rPr>
      </w:pPr>
      <w:r w:rsidRPr="00AD2B1B">
        <w:rPr>
          <w:i/>
          <w:iCs/>
          <w:lang w:val="ru-RU"/>
        </w:rPr>
        <w:t>h)</w:t>
      </w:r>
      <w:r w:rsidRPr="00AD2B1B">
        <w:rPr>
          <w:lang w:val="ru-RU"/>
        </w:rPr>
        <w:tab/>
        <w:t>что Отчеты и/или Рекомендации МСЭ-R по когнитивным системам радиосвязи дополняли бы другие Рекомендации МСЭ-R по подвижным системам радиосвязи;</w:t>
      </w:r>
    </w:p>
    <w:p w:rsidR="004734B9" w:rsidRPr="00AD2B1B" w:rsidRDefault="004734B9" w:rsidP="004734B9">
      <w:pPr>
        <w:rPr>
          <w:lang w:val="ru-RU"/>
        </w:rPr>
      </w:pPr>
      <w:r w:rsidRPr="00AD2B1B">
        <w:rPr>
          <w:i/>
          <w:iCs/>
          <w:lang w:val="ru-RU"/>
        </w:rPr>
        <w:t>i)</w:t>
      </w:r>
      <w:r w:rsidRPr="00AD2B1B">
        <w:rPr>
          <w:lang w:val="ru-RU"/>
        </w:rPr>
        <w:tab/>
        <w:t>что в Отчетах МСЭ-R M.2225, МСЭ-R M.2242 и МСЭ-R M.2330 содержатся исследования, касающиеся CRS,</w:t>
      </w:r>
    </w:p>
    <w:p w:rsidR="004734B9" w:rsidRPr="00AD2B1B" w:rsidRDefault="004734B9" w:rsidP="004734B9">
      <w:pPr>
        <w:pStyle w:val="Call"/>
        <w:rPr>
          <w:lang w:val="ru-RU" w:eastAsia="ja-JP"/>
        </w:rPr>
      </w:pPr>
      <w:r w:rsidRPr="00AD2B1B">
        <w:rPr>
          <w:lang w:val="ru-RU" w:eastAsia="ja-JP"/>
        </w:rPr>
        <w:t>отмечая</w:t>
      </w:r>
      <w:r w:rsidRPr="00AD2B1B">
        <w:rPr>
          <w:i w:val="0"/>
          <w:iCs/>
          <w:lang w:val="ru-RU" w:eastAsia="ja-JP"/>
        </w:rPr>
        <w:t>,</w:t>
      </w:r>
    </w:p>
    <w:p w:rsidR="004734B9" w:rsidRPr="00AD2B1B" w:rsidRDefault="004734B9" w:rsidP="004734B9">
      <w:pPr>
        <w:rPr>
          <w:lang w:val="ru-RU"/>
        </w:rPr>
      </w:pPr>
      <w:r w:rsidRPr="00AD2B1B">
        <w:rPr>
          <w:lang w:val="ru-RU"/>
        </w:rPr>
        <w:t>что имеются сетевые аспекты, связанные с контролем за когнитивными системами радиосвязи,</w:t>
      </w:r>
    </w:p>
    <w:p w:rsidR="004734B9" w:rsidRPr="00AD2B1B" w:rsidRDefault="004734B9" w:rsidP="004734B9">
      <w:pPr>
        <w:pStyle w:val="Call"/>
        <w:rPr>
          <w:lang w:val="ru-RU" w:eastAsia="ja-JP"/>
        </w:rPr>
      </w:pPr>
      <w:r w:rsidRPr="00AD2B1B">
        <w:rPr>
          <w:lang w:val="ru-RU" w:eastAsia="ja-JP"/>
        </w:rPr>
        <w:t>признавая</w:t>
      </w:r>
      <w:r w:rsidRPr="00AD2B1B">
        <w:rPr>
          <w:i w:val="0"/>
          <w:iCs/>
          <w:lang w:val="ru-RU" w:eastAsia="ja-JP"/>
        </w:rPr>
        <w:t>,</w:t>
      </w:r>
    </w:p>
    <w:p w:rsidR="004734B9" w:rsidRPr="00AD2B1B" w:rsidRDefault="004734B9" w:rsidP="004734B9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CRS является совокупностью технологий, а не службой радиосвязи;</w:t>
      </w:r>
    </w:p>
    <w:p w:rsidR="004734B9" w:rsidRPr="00AD2B1B" w:rsidRDefault="004734B9" w:rsidP="004734B9">
      <w:pPr>
        <w:rPr>
          <w:lang w:val="ru-RU" w:eastAsia="ja-JP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</w:r>
      <w:r w:rsidRPr="00AD2B1B">
        <w:rPr>
          <w:lang w:val="ru-RU" w:eastAsia="ja-JP"/>
        </w:rPr>
        <w:t xml:space="preserve">что любая </w:t>
      </w:r>
      <w:r w:rsidRPr="00AD2B1B">
        <w:rPr>
          <w:lang w:val="ru-RU"/>
        </w:rPr>
        <w:t>система радиосвязи, реализующая технологию</w:t>
      </w:r>
      <w:r w:rsidRPr="00AD2B1B">
        <w:rPr>
          <w:lang w:val="ru-RU" w:eastAsia="ja-JP"/>
        </w:rPr>
        <w:t xml:space="preserve"> CRS в какой-либо службе радиосвязи,</w:t>
      </w:r>
      <w:r>
        <w:rPr>
          <w:lang w:val="ru-RU" w:eastAsia="ja-JP"/>
        </w:rPr>
        <w:t xml:space="preserve"> </w:t>
      </w:r>
      <w:r w:rsidRPr="00AD2B1B">
        <w:rPr>
          <w:lang w:val="ru-RU" w:eastAsia="ja-JP"/>
        </w:rPr>
        <w:t>должна функционировать в соответствии с положениями Регламента радиосвязи, применимыми к данной конкретной службе в соответствующей полосе частот,</w:t>
      </w:r>
    </w:p>
    <w:p w:rsidR="004734B9" w:rsidRPr="00AD2B1B" w:rsidRDefault="004734B9" w:rsidP="004734B9">
      <w:pPr>
        <w:pStyle w:val="Call"/>
        <w:rPr>
          <w:i w:val="0"/>
          <w:iCs/>
          <w:lang w:val="ru-RU" w:eastAsia="ja-JP"/>
        </w:rPr>
      </w:pPr>
      <w:r w:rsidRPr="00AD2B1B">
        <w:rPr>
          <w:lang w:val="ru-RU" w:eastAsia="ja-JP"/>
        </w:rPr>
        <w:t>решает</w:t>
      </w:r>
      <w:r w:rsidRPr="00AD2B1B">
        <w:rPr>
          <w:i w:val="0"/>
          <w:lang w:val="ru-RU"/>
        </w:rPr>
        <w:t>,</w:t>
      </w:r>
      <w:r w:rsidRPr="00AD2B1B">
        <w:rPr>
          <w:i w:val="0"/>
          <w:iCs/>
          <w:lang w:val="ru-RU"/>
        </w:rPr>
        <w:t xml:space="preserve"> что необходимо изучить следующие Вопросы:</w:t>
      </w:r>
    </w:p>
    <w:p w:rsidR="004734B9" w:rsidRPr="00AD2B1B" w:rsidRDefault="004734B9" w:rsidP="004734B9">
      <w:pPr>
        <w:rPr>
          <w:lang w:val="ru-RU"/>
        </w:rPr>
      </w:pPr>
      <w:r w:rsidRPr="00AD2B1B">
        <w:rPr>
          <w:lang w:val="ru-RU"/>
        </w:rPr>
        <w:t>1</w:t>
      </w:r>
      <w:r w:rsidRPr="00AD2B1B">
        <w:rPr>
          <w:lang w:val="ru-RU"/>
        </w:rPr>
        <w:tab/>
        <w:t>Каковы тесно связанные с этим технологии радиосвязи и их функциональные возможности, которые могут быть частью когнитивных систем радиосвязи?</w:t>
      </w:r>
    </w:p>
    <w:p w:rsidR="004734B9" w:rsidRPr="00AD2B1B" w:rsidRDefault="004734B9" w:rsidP="004734B9">
      <w:pPr>
        <w:rPr>
          <w:lang w:val="ru-RU"/>
        </w:rPr>
      </w:pPr>
      <w:r w:rsidRPr="00AD2B1B">
        <w:rPr>
          <w:lang w:val="ru-RU"/>
        </w:rPr>
        <w:t>2</w:t>
      </w:r>
      <w:r w:rsidRPr="00AD2B1B">
        <w:rPr>
          <w:lang w:val="ru-RU"/>
        </w:rPr>
        <w:tab/>
        <w:t>Каковы ключевые технические характеристики, требования, улучшения качественных показателей и/или другие преимущества, связанные с внедрением когнитивных систем радиосвязи?</w:t>
      </w:r>
    </w:p>
    <w:p w:rsidR="004734B9" w:rsidRPr="00AD2B1B" w:rsidRDefault="004734B9" w:rsidP="004734B9">
      <w:pPr>
        <w:rPr>
          <w:lang w:val="ru-RU"/>
        </w:rPr>
      </w:pPr>
      <w:r w:rsidRPr="00AD2B1B">
        <w:rPr>
          <w:lang w:val="ru-RU"/>
        </w:rPr>
        <w:t>3</w:t>
      </w:r>
      <w:r w:rsidRPr="00AD2B1B">
        <w:rPr>
          <w:lang w:val="ru-RU"/>
        </w:rPr>
        <w:tab/>
        <w:t>Каковы возможные области применения когнитивных систем радиосвязи и их воздействие на управление использованием спектра?</w:t>
      </w:r>
    </w:p>
    <w:p w:rsidR="004734B9" w:rsidRPr="00AD2B1B" w:rsidRDefault="004734B9" w:rsidP="004734B9">
      <w:pPr>
        <w:rPr>
          <w:lang w:val="ru-RU" w:eastAsia="ja-JP"/>
        </w:rPr>
      </w:pPr>
      <w:r w:rsidRPr="00AD2B1B">
        <w:rPr>
          <w:lang w:val="ru-RU" w:eastAsia="ja-JP"/>
        </w:rPr>
        <w:lastRenderedPageBreak/>
        <w:t>4</w:t>
      </w:r>
      <w:r w:rsidRPr="00AD2B1B">
        <w:rPr>
          <w:b/>
          <w:bCs/>
          <w:lang w:val="ru-RU" w:eastAsia="ja-JP"/>
        </w:rPr>
        <w:tab/>
      </w:r>
      <w:r w:rsidRPr="00AD2B1B">
        <w:rPr>
          <w:lang w:val="ru-RU" w:eastAsia="ja-JP"/>
        </w:rPr>
        <w:t xml:space="preserve">Как </w:t>
      </w:r>
      <w:r w:rsidRPr="00AD2B1B">
        <w:rPr>
          <w:lang w:val="ru-RU"/>
        </w:rPr>
        <w:t>когнитивные системы радиосвязи могут содействовать эффективному использованию радиоресурсов</w:t>
      </w:r>
      <w:r w:rsidRPr="00AD2B1B">
        <w:rPr>
          <w:lang w:val="ru-RU" w:eastAsia="ja-JP"/>
        </w:rPr>
        <w:t>?</w:t>
      </w:r>
    </w:p>
    <w:p w:rsidR="004734B9" w:rsidRPr="00AD2B1B" w:rsidRDefault="004734B9" w:rsidP="004734B9">
      <w:pPr>
        <w:rPr>
          <w:lang w:val="ru-RU"/>
        </w:rPr>
      </w:pPr>
      <w:r w:rsidRPr="00AD2B1B">
        <w:rPr>
          <w:lang w:val="ru-RU"/>
        </w:rPr>
        <w:t>5</w:t>
      </w:r>
      <w:r w:rsidRPr="00AD2B1B">
        <w:rPr>
          <w:lang w:val="ru-RU"/>
        </w:rPr>
        <w:tab/>
        <w:t>Каковы эксплуатационные последствия (включая конфиденциальность и подтверждение подлинности) когнитивных систем радиосвязи?</w:t>
      </w:r>
    </w:p>
    <w:p w:rsidR="004734B9" w:rsidRPr="00AD2B1B" w:rsidRDefault="004734B9" w:rsidP="004734B9">
      <w:pPr>
        <w:rPr>
          <w:lang w:val="ru-RU"/>
        </w:rPr>
      </w:pPr>
      <w:r w:rsidRPr="00AD2B1B">
        <w:rPr>
          <w:lang w:val="ru-RU"/>
        </w:rPr>
        <w:t>6</w:t>
      </w:r>
      <w:r w:rsidRPr="00AD2B1B">
        <w:rPr>
          <w:lang w:val="ru-RU"/>
        </w:rPr>
        <w:tab/>
        <w:t xml:space="preserve">Каковы когнитивные функциональные возможности и технологии </w:t>
      </w:r>
      <w:r w:rsidRPr="00AD2B1B">
        <w:rPr>
          <w:lang w:val="ru-RU" w:eastAsia="ja-JP"/>
        </w:rPr>
        <w:t>CRS</w:t>
      </w:r>
      <w:r w:rsidRPr="00AD2B1B">
        <w:rPr>
          <w:lang w:val="ru-RU"/>
        </w:rPr>
        <w:t>, которые могут содействовать совместному использованию частот подвижной службой и другими службами, такими как радиовещательная, подвижная спутниковая или фиксированная службы, а также пассивными службами, космическими службами (космос-Земля) и службами безопасности, учитывая специфику этих служб?</w:t>
      </w:r>
    </w:p>
    <w:p w:rsidR="004734B9" w:rsidRPr="00AD2B1B" w:rsidRDefault="004734B9" w:rsidP="004734B9">
      <w:pPr>
        <w:rPr>
          <w:lang w:val="ru-RU"/>
        </w:rPr>
      </w:pPr>
      <w:r w:rsidRPr="00AD2B1B">
        <w:rPr>
          <w:lang w:val="ru-RU"/>
        </w:rPr>
        <w:t>7</w:t>
      </w:r>
      <w:r w:rsidRPr="00AD2B1B">
        <w:rPr>
          <w:lang w:val="ru-RU"/>
        </w:rPr>
        <w:tab/>
        <w:t xml:space="preserve">Какие когнитивные возможности и технологии </w:t>
      </w:r>
      <w:r w:rsidRPr="00AD2B1B">
        <w:rPr>
          <w:lang w:val="ru-RU" w:eastAsia="ja-JP"/>
        </w:rPr>
        <w:t>CRS могут облегчить совместное существование систем в подвижной службе</w:t>
      </w:r>
      <w:r w:rsidRPr="00AD2B1B">
        <w:rPr>
          <w:lang w:val="ru-RU"/>
        </w:rPr>
        <w:t>?</w:t>
      </w:r>
    </w:p>
    <w:p w:rsidR="004734B9" w:rsidRPr="00AD2B1B" w:rsidRDefault="004734B9" w:rsidP="004734B9">
      <w:pPr>
        <w:rPr>
          <w:lang w:val="ru-RU"/>
        </w:rPr>
      </w:pPr>
      <w:r w:rsidRPr="00AD2B1B">
        <w:rPr>
          <w:lang w:val="ru-RU"/>
        </w:rPr>
        <w:t>8</w:t>
      </w:r>
      <w:r w:rsidRPr="00AD2B1B">
        <w:rPr>
          <w:lang w:val="ru-RU"/>
        </w:rPr>
        <w:tab/>
        <w:t xml:space="preserve">Какие факторы должны учитываться при внедрении технологий </w:t>
      </w:r>
      <w:r w:rsidRPr="00AD2B1B">
        <w:rPr>
          <w:lang w:val="ru-RU" w:eastAsia="ja-JP"/>
        </w:rPr>
        <w:t>CRS в сухопутной подвижной службе</w:t>
      </w:r>
      <w:r w:rsidRPr="00AD2B1B">
        <w:rPr>
          <w:lang w:val="ru-RU"/>
        </w:rPr>
        <w:t>?</w:t>
      </w:r>
    </w:p>
    <w:p w:rsidR="004734B9" w:rsidRPr="00AD2B1B" w:rsidRDefault="004734B9" w:rsidP="004734B9">
      <w:pPr>
        <w:pStyle w:val="Call"/>
        <w:rPr>
          <w:lang w:val="ru-RU" w:eastAsia="ja-JP"/>
        </w:rPr>
      </w:pPr>
      <w:r w:rsidRPr="00AD2B1B">
        <w:rPr>
          <w:lang w:val="ru-RU" w:eastAsia="ja-JP"/>
        </w:rPr>
        <w:t>решает далее</w:t>
      </w:r>
      <w:r w:rsidRPr="00AD2B1B">
        <w:rPr>
          <w:i w:val="0"/>
          <w:iCs/>
          <w:lang w:val="ru-RU" w:eastAsia="ja-JP"/>
        </w:rPr>
        <w:t>,</w:t>
      </w:r>
    </w:p>
    <w:p w:rsidR="004734B9" w:rsidRPr="00AD2B1B" w:rsidRDefault="004734B9" w:rsidP="004734B9">
      <w:pPr>
        <w:rPr>
          <w:lang w:val="ru-RU"/>
        </w:rPr>
      </w:pPr>
      <w:r w:rsidRPr="00AD2B1B">
        <w:rPr>
          <w:lang w:val="ru-RU"/>
        </w:rPr>
        <w:t>1</w:t>
      </w:r>
      <w:r w:rsidRPr="00AD2B1B">
        <w:rPr>
          <w:lang w:val="ru-RU"/>
        </w:rPr>
        <w:tab/>
        <w:t>что результаты вышеуказанных исследований должны быть включены в одну (один) или несколько Рекомендаций, Отчетов или Справочников;</w:t>
      </w:r>
    </w:p>
    <w:p w:rsidR="004734B9" w:rsidRPr="00AD2B1B" w:rsidRDefault="004734B9" w:rsidP="004734B9">
      <w:pPr>
        <w:rPr>
          <w:lang w:val="ru-RU"/>
        </w:rPr>
      </w:pPr>
      <w:r w:rsidRPr="00AD2B1B">
        <w:rPr>
          <w:lang w:val="ru-RU"/>
        </w:rPr>
        <w:t>2</w:t>
      </w:r>
      <w:r w:rsidRPr="00AD2B1B">
        <w:rPr>
          <w:lang w:val="ru-RU"/>
        </w:rPr>
        <w:tab/>
        <w:t>что вышеуказанные исследования должны быть завершены к 2019 году.</w:t>
      </w:r>
    </w:p>
    <w:p w:rsidR="004734B9" w:rsidRPr="00AD2B1B" w:rsidRDefault="004734B9" w:rsidP="004734B9">
      <w:pPr>
        <w:rPr>
          <w:lang w:val="ru-RU"/>
        </w:rPr>
      </w:pPr>
    </w:p>
    <w:p w:rsidR="004734B9" w:rsidRPr="00AD2B1B" w:rsidRDefault="004734B9" w:rsidP="004734B9">
      <w:pPr>
        <w:rPr>
          <w:lang w:val="ru-RU"/>
        </w:rPr>
      </w:pPr>
      <w:r w:rsidRPr="00AD2B1B">
        <w:rPr>
          <w:lang w:val="ru-RU"/>
        </w:rPr>
        <w:t>Категория: S2</w:t>
      </w:r>
    </w:p>
    <w:p w:rsidR="00CC001C" w:rsidRPr="004734B9" w:rsidRDefault="00CC001C" w:rsidP="004734B9">
      <w:pPr>
        <w:rPr>
          <w:lang w:val="ru-RU"/>
        </w:rPr>
      </w:pPr>
    </w:p>
    <w:sectPr w:rsidR="00CC001C" w:rsidRPr="004734B9" w:rsidSect="004734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4B9" w:rsidRDefault="004734B9" w:rsidP="004734B9">
      <w:pPr>
        <w:spacing w:before="0"/>
      </w:pPr>
      <w:r>
        <w:separator/>
      </w:r>
    </w:p>
  </w:endnote>
  <w:endnote w:type="continuationSeparator" w:id="0">
    <w:p w:rsidR="004734B9" w:rsidRDefault="004734B9" w:rsidP="004734B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4B9" w:rsidRDefault="004734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4B9" w:rsidRDefault="004734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4B9" w:rsidRDefault="004734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4B9" w:rsidRDefault="004734B9" w:rsidP="004734B9">
      <w:pPr>
        <w:spacing w:before="0"/>
      </w:pPr>
      <w:r>
        <w:separator/>
      </w:r>
    </w:p>
  </w:footnote>
  <w:footnote w:type="continuationSeparator" w:id="0">
    <w:p w:rsidR="004734B9" w:rsidRDefault="004734B9" w:rsidP="004734B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4B9" w:rsidRDefault="004734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4B9" w:rsidRPr="004734B9" w:rsidRDefault="004734B9">
    <w:pPr>
      <w:pStyle w:val="Header"/>
      <w:jc w:val="center"/>
      <w:rPr>
        <w:sz w:val="18"/>
        <w:szCs w:val="18"/>
      </w:rPr>
    </w:pPr>
    <w:bookmarkStart w:id="0" w:name="_GoBack"/>
    <w:r w:rsidRPr="004734B9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1775816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4734B9">
          <w:rPr>
            <w:sz w:val="18"/>
            <w:szCs w:val="18"/>
          </w:rPr>
          <w:fldChar w:fldCharType="begin"/>
        </w:r>
        <w:r w:rsidRPr="004734B9">
          <w:rPr>
            <w:sz w:val="18"/>
            <w:szCs w:val="18"/>
          </w:rPr>
          <w:instrText xml:space="preserve"> PAGE   \* MERGEFORMAT </w:instrText>
        </w:r>
        <w:r w:rsidRPr="004734B9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4734B9">
          <w:rPr>
            <w:noProof/>
            <w:sz w:val="18"/>
            <w:szCs w:val="18"/>
          </w:rPr>
          <w:fldChar w:fldCharType="end"/>
        </w:r>
        <w:r w:rsidRPr="004734B9">
          <w:rPr>
            <w:noProof/>
            <w:sz w:val="18"/>
            <w:szCs w:val="18"/>
          </w:rPr>
          <w:t xml:space="preserve"> -</w:t>
        </w:r>
      </w:sdtContent>
    </w:sdt>
  </w:p>
  <w:bookmarkEnd w:id="0"/>
  <w:p w:rsidR="004734B9" w:rsidRDefault="004734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4B9" w:rsidRDefault="004734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B9"/>
    <w:rsid w:val="004734B9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66D4B5E-F497-4436-8901-6F38AB77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4B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Batang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uiPriority w:val="99"/>
    <w:rsid w:val="004734B9"/>
    <w:pPr>
      <w:keepNext/>
      <w:keepLines/>
      <w:spacing w:before="240"/>
      <w:ind w:left="794"/>
    </w:pPr>
    <w:rPr>
      <w:i/>
    </w:rPr>
  </w:style>
  <w:style w:type="paragraph" w:customStyle="1" w:styleId="Questiondate">
    <w:name w:val="Question_date"/>
    <w:basedOn w:val="Normal"/>
    <w:next w:val="Normal"/>
    <w:rsid w:val="004734B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4734B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4734B9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4734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734B9"/>
    <w:rPr>
      <w:rFonts w:eastAsia="Batang" w:cs="Times New Roman"/>
      <w:szCs w:val="20"/>
      <w:lang w:val="ru-RU" w:eastAsia="en-US"/>
    </w:rPr>
  </w:style>
  <w:style w:type="character" w:customStyle="1" w:styleId="CallChar">
    <w:name w:val="Call Char"/>
    <w:basedOn w:val="DefaultParagraphFont"/>
    <w:link w:val="Call"/>
    <w:uiPriority w:val="99"/>
    <w:rsid w:val="004734B9"/>
    <w:rPr>
      <w:rFonts w:eastAsia="Batang" w:cs="Calibri"/>
      <w:i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734B9"/>
    <w:rPr>
      <w:rFonts w:eastAsia="Batang" w:cs="Calibri"/>
      <w:b/>
      <w:sz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34B9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734B9"/>
    <w:rPr>
      <w:rFonts w:eastAsia="Batang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734B9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734B9"/>
    <w:rPr>
      <w:rFonts w:eastAsia="Batang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2664</Characters>
  <Application>Microsoft Office Word</Application>
  <DocSecurity>0</DocSecurity>
  <Lines>22</Lines>
  <Paragraphs>6</Paragraphs>
  <ScaleCrop>false</ScaleCrop>
  <Company>ITU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2015-10-12T13:39:00Z</dcterms:created>
  <dcterms:modified xsi:type="dcterms:W3CDTF">2015-10-12T13:40:00Z</dcterms:modified>
</cp:coreProperties>
</file>