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BF" w:rsidRPr="00ED7584" w:rsidRDefault="00881DBF" w:rsidP="00881DBF">
      <w:pPr>
        <w:pStyle w:val="QuestionNo"/>
        <w:rPr>
          <w:lang w:val="ru-RU"/>
        </w:rPr>
      </w:pPr>
      <w:r w:rsidRPr="00ED7584">
        <w:rPr>
          <w:lang w:val="ru-RU"/>
        </w:rPr>
        <w:t>ВОПРОС МСЭ-</w:t>
      </w:r>
      <w:r w:rsidRPr="00485B87">
        <w:t>R</w:t>
      </w:r>
      <w:r w:rsidRPr="00ED7584">
        <w:rPr>
          <w:lang w:val="ru-RU"/>
        </w:rPr>
        <w:t xml:space="preserve"> 209-5/5</w:t>
      </w:r>
    </w:p>
    <w:p w:rsidR="00881DBF" w:rsidRPr="00AD2B1B" w:rsidRDefault="00881DBF" w:rsidP="00881DBF">
      <w:pPr>
        <w:pStyle w:val="Questiontitle"/>
        <w:rPr>
          <w:lang w:val="ru-RU" w:eastAsia="zh-CN"/>
        </w:rPr>
      </w:pPr>
      <w:r w:rsidRPr="00AD2B1B">
        <w:rPr>
          <w:lang w:val="ru-RU" w:eastAsia="zh-CN"/>
        </w:rPr>
        <w:t>Использование подвижных, любительских и любительских спутниковы</w:t>
      </w:r>
      <w:r>
        <w:rPr>
          <w:lang w:val="ru-RU" w:eastAsia="zh-CN"/>
        </w:rPr>
        <w:t>х служб в </w:t>
      </w:r>
      <w:r w:rsidRPr="00AD2B1B">
        <w:rPr>
          <w:lang w:val="ru-RU" w:eastAsia="zh-CN"/>
        </w:rPr>
        <w:t>поддержку радиосвязи при бедствиях</w:t>
      </w:r>
    </w:p>
    <w:p w:rsidR="00881DBF" w:rsidRPr="00AD2B1B" w:rsidRDefault="00881DBF" w:rsidP="00881DBF">
      <w:pPr>
        <w:pStyle w:val="Questiondate"/>
        <w:rPr>
          <w:lang w:val="ru-RU"/>
        </w:rPr>
      </w:pPr>
      <w:r w:rsidRPr="00AD2B1B">
        <w:rPr>
          <w:lang w:val="ru-RU"/>
        </w:rPr>
        <w:t>(1995-1998-2006-2007-2012</w:t>
      </w:r>
      <w:r>
        <w:rPr>
          <w:lang w:val="ru-RU"/>
        </w:rPr>
        <w:t>-2015</w:t>
      </w:r>
      <w:r w:rsidRPr="00AD2B1B">
        <w:rPr>
          <w:lang w:val="ru-RU"/>
        </w:rPr>
        <w:t>)</w:t>
      </w:r>
    </w:p>
    <w:p w:rsidR="00881DBF" w:rsidRPr="00AD2B1B" w:rsidRDefault="00881DBF" w:rsidP="00881DBF">
      <w:pPr>
        <w:pStyle w:val="Normalaftertitle"/>
        <w:spacing w:before="360"/>
      </w:pPr>
      <w:r w:rsidRPr="00AD2B1B">
        <w:t>Ассамблея радиосвязи МСЭ,</w:t>
      </w:r>
    </w:p>
    <w:p w:rsidR="00881DBF" w:rsidRPr="00AD2B1B" w:rsidRDefault="00881DBF" w:rsidP="00881DBF">
      <w:pPr>
        <w:pStyle w:val="Call"/>
        <w:rPr>
          <w:b/>
          <w:lang w:val="ru-RU"/>
        </w:rPr>
      </w:pPr>
      <w:r w:rsidRPr="00AD2B1B">
        <w:rPr>
          <w:lang w:val="ru-RU"/>
        </w:rPr>
        <w:t>учитывая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Резолюцию 36 (Пересм. Гвадалахара, 2010 г.) и Резолюцию 136 (Пересм. Пусан, 2014 г.);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Резолюцию 43 (Пересм. Дубай, 2014 г.), в которой содержится поручение Директору БРЭ в тесном сотрудничестве с Директором БР продолжать поощрять развивающиеся страны и оказывать им помощь во внедрении IMT, предоставлять помощь администрациям в использовании и толковании Рекомендаций МСЭ, относящихся к IMT;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Резолюцию 644 (Пересм. ВКР-12) об использовании ресурсов радиосвязи для раннего предупреждения, смягчения последствий бедствий и для спасательных операций, а также Резолюцию 647 (ВКР-12) о руководящих указаниях по управлению использованием спектра для радиосвязи в чрезвычайных ситуациях и для оказания помощи при бедствиях;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года,</w:t>
      </w:r>
    </w:p>
    <w:p w:rsidR="00881DBF" w:rsidRPr="00AD2B1B" w:rsidRDefault="00881DBF" w:rsidP="00881DBF">
      <w:pPr>
        <w:pStyle w:val="Call"/>
        <w:rPr>
          <w:lang w:val="ru-RU"/>
        </w:rPr>
      </w:pPr>
      <w:r w:rsidRPr="00AD2B1B">
        <w:rPr>
          <w:lang w:val="ru-RU"/>
        </w:rPr>
        <w:t>признавая</w:t>
      </w:r>
      <w:r w:rsidRPr="00AD2B1B">
        <w:rPr>
          <w:i w:val="0"/>
          <w:iCs/>
          <w:lang w:val="ru-RU"/>
        </w:rPr>
        <w:t>,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во время бедствий, в том случае если бóльшая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:rsidR="00881DBF" w:rsidRPr="00AD2B1B" w:rsidRDefault="00881DBF" w:rsidP="00881DBF">
      <w:pPr>
        <w:rPr>
          <w:i/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:rsidR="00881DBF" w:rsidRPr="00AD2B1B" w:rsidRDefault="00881DBF" w:rsidP="00881DBF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Вопрос: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lang w:val="ru-RU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и для совершенствования операций по предупреждению, смягчению последствий и оказанию помощи при бедствиях?</w:t>
      </w:r>
    </w:p>
    <w:p w:rsidR="00881DBF" w:rsidRPr="00AD2B1B" w:rsidRDefault="00881DBF" w:rsidP="00881DBF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iCs/>
          <w:lang w:val="ru-RU"/>
        </w:rPr>
        <w:t>,</w:t>
      </w:r>
    </w:p>
    <w:p w:rsidR="00881DBF" w:rsidRPr="00AD2B1B" w:rsidRDefault="00881DBF" w:rsidP="00881DBF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:rsidR="00881DBF" w:rsidRPr="00AD2B1B" w:rsidRDefault="00881DBF" w:rsidP="00881DBF">
      <w:pPr>
        <w:keepNext/>
        <w:keepLines/>
        <w:rPr>
          <w:lang w:val="ru-RU"/>
        </w:rPr>
      </w:pPr>
      <w:r w:rsidRPr="00AD2B1B">
        <w:rPr>
          <w:lang w:val="ru-RU"/>
        </w:rPr>
        <w:lastRenderedPageBreak/>
        <w:t>2</w:t>
      </w:r>
      <w:r w:rsidRPr="00AD2B1B">
        <w:rPr>
          <w:lang w:val="ru-RU"/>
        </w:rPr>
        <w:tab/>
        <w:t>что вышеупомянутые исследования должны быть завершены к 2019 году;</w:t>
      </w:r>
    </w:p>
    <w:p w:rsidR="00881DBF" w:rsidRPr="00AD2B1B" w:rsidRDefault="00881DBF" w:rsidP="00881DBF">
      <w:pPr>
        <w:keepNext/>
        <w:keepLines/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что по вышеупомянутым исследованиям должна осуществляться координация с двумя другими Секторами.</w:t>
      </w:r>
    </w:p>
    <w:p w:rsidR="00881DBF" w:rsidRPr="00AD2B1B" w:rsidRDefault="00881DBF" w:rsidP="00881DBF">
      <w:pPr>
        <w:rPr>
          <w:lang w:val="ru-RU"/>
        </w:rPr>
      </w:pPr>
    </w:p>
    <w:p w:rsidR="00881DBF" w:rsidRPr="00AD2B1B" w:rsidRDefault="00881DBF" w:rsidP="00881DBF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CC001C" w:rsidRPr="00881DBF" w:rsidRDefault="00CC001C" w:rsidP="00881DBF">
      <w:pPr>
        <w:rPr>
          <w:lang w:val="ru-RU"/>
        </w:rPr>
      </w:pPr>
    </w:p>
    <w:sectPr w:rsidR="00CC001C" w:rsidRPr="00881DBF" w:rsidSect="00881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BF" w:rsidRDefault="00881DBF" w:rsidP="00881DBF">
      <w:pPr>
        <w:spacing w:before="0"/>
      </w:pPr>
      <w:r>
        <w:separator/>
      </w:r>
    </w:p>
  </w:endnote>
  <w:endnote w:type="continuationSeparator" w:id="0">
    <w:p w:rsidR="00881DBF" w:rsidRDefault="00881DBF" w:rsidP="00881D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BF" w:rsidRDefault="00881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BF" w:rsidRDefault="00881D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BF" w:rsidRDefault="00881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BF" w:rsidRDefault="00881DBF" w:rsidP="00881DBF">
      <w:pPr>
        <w:spacing w:before="0"/>
      </w:pPr>
      <w:r>
        <w:separator/>
      </w:r>
    </w:p>
  </w:footnote>
  <w:footnote w:type="continuationSeparator" w:id="0">
    <w:p w:rsidR="00881DBF" w:rsidRDefault="00881DBF" w:rsidP="00881D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BF" w:rsidRDefault="00881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BF" w:rsidRPr="00881DBF" w:rsidRDefault="00881DBF">
    <w:pPr>
      <w:pStyle w:val="Header"/>
      <w:jc w:val="center"/>
      <w:rPr>
        <w:sz w:val="18"/>
        <w:szCs w:val="18"/>
      </w:rPr>
    </w:pPr>
    <w:bookmarkStart w:id="0" w:name="_GoBack"/>
    <w:r w:rsidRPr="00881DB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934288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81DBF">
          <w:rPr>
            <w:sz w:val="18"/>
            <w:szCs w:val="18"/>
          </w:rPr>
          <w:fldChar w:fldCharType="begin"/>
        </w:r>
        <w:r w:rsidRPr="00881DBF">
          <w:rPr>
            <w:sz w:val="18"/>
            <w:szCs w:val="18"/>
          </w:rPr>
          <w:instrText xml:space="preserve"> PAGE   \* MERGEFORMAT </w:instrText>
        </w:r>
        <w:r w:rsidRPr="00881DB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81DBF">
          <w:rPr>
            <w:noProof/>
            <w:sz w:val="18"/>
            <w:szCs w:val="18"/>
          </w:rPr>
          <w:fldChar w:fldCharType="end"/>
        </w:r>
        <w:r w:rsidRPr="00881DBF">
          <w:rPr>
            <w:noProof/>
            <w:sz w:val="18"/>
            <w:szCs w:val="18"/>
          </w:rPr>
          <w:t xml:space="preserve"> -</w:t>
        </w:r>
      </w:sdtContent>
    </w:sdt>
  </w:p>
  <w:bookmarkEnd w:id="0"/>
  <w:p w:rsidR="00881DBF" w:rsidRDefault="00881D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BF" w:rsidRDefault="0088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BF"/>
    <w:rsid w:val="00881DBF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1E623DE-3A79-40D0-9262-AD129D3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881DBF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881DB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881DB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881DBF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881DB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81DBF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881DBF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881DBF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1DB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81DBF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1DB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81DBF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>ITU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2015-10-12T13:37:00Z</dcterms:created>
  <dcterms:modified xsi:type="dcterms:W3CDTF">2015-10-12T13:38:00Z</dcterms:modified>
</cp:coreProperties>
</file>