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5C9" w:rsidRPr="008A1193" w:rsidRDefault="002C65C9" w:rsidP="002C65C9">
      <w:pPr>
        <w:keepNext/>
        <w:keepLines/>
        <w:spacing w:before="480"/>
        <w:ind w:left="108"/>
        <w:jc w:val="center"/>
        <w:rPr>
          <w:rFonts w:asciiTheme="majorBidi" w:hAnsiTheme="majorBidi" w:cstheme="majorBidi"/>
          <w:caps/>
          <w:sz w:val="28"/>
          <w:lang w:val="fr-CH"/>
        </w:rPr>
      </w:pPr>
      <w:r>
        <w:rPr>
          <w:rFonts w:asciiTheme="majorBidi" w:hAnsiTheme="majorBidi" w:cstheme="majorBidi"/>
          <w:caps/>
          <w:sz w:val="28"/>
          <w:lang w:val="fr-CH"/>
        </w:rPr>
        <w:t>question UIT-r 209-5</w:t>
      </w:r>
      <w:r w:rsidRPr="008A1193">
        <w:rPr>
          <w:rFonts w:asciiTheme="majorBidi" w:hAnsiTheme="majorBidi" w:cstheme="majorBidi"/>
          <w:caps/>
          <w:sz w:val="28"/>
          <w:lang w:val="fr-CH"/>
        </w:rPr>
        <w:t>/5</w:t>
      </w:r>
    </w:p>
    <w:p w:rsidR="002C65C9" w:rsidRPr="008A1193" w:rsidRDefault="002C65C9" w:rsidP="002C65C9">
      <w:pPr>
        <w:pStyle w:val="Questiontitle"/>
        <w:spacing w:before="240"/>
        <w:rPr>
          <w:rFonts w:asciiTheme="majorBidi" w:hAnsiTheme="majorBidi" w:cstheme="majorBidi"/>
          <w:lang w:val="fr-CH"/>
        </w:rPr>
      </w:pPr>
      <w:r w:rsidRPr="008A1193">
        <w:rPr>
          <w:rFonts w:asciiTheme="majorBidi" w:hAnsiTheme="majorBidi" w:cstheme="majorBidi"/>
          <w:lang w:val="fr-CH"/>
        </w:rPr>
        <w:t>Utilisation des services mobile, d'amateur et d'amateur par satellite</w:t>
      </w:r>
      <w:r w:rsidRPr="008A1193">
        <w:rPr>
          <w:rFonts w:asciiTheme="majorBidi" w:hAnsiTheme="majorBidi" w:cstheme="majorBidi"/>
          <w:lang w:val="fr-CH"/>
        </w:rPr>
        <w:br/>
        <w:t>pour les radiocommunications en cas de catastrophe</w:t>
      </w:r>
    </w:p>
    <w:p w:rsidR="002C65C9" w:rsidRPr="00C15E97" w:rsidRDefault="002C65C9" w:rsidP="002C65C9">
      <w:pPr>
        <w:pStyle w:val="Questiondate"/>
        <w:rPr>
          <w:rFonts w:asciiTheme="majorBidi" w:hAnsiTheme="majorBidi" w:cstheme="majorBidi"/>
          <w:i w:val="0"/>
          <w:szCs w:val="24"/>
          <w:lang w:val="fr-CH"/>
        </w:rPr>
      </w:pPr>
      <w:r w:rsidRPr="00C15E97">
        <w:rPr>
          <w:rFonts w:asciiTheme="majorBidi" w:hAnsiTheme="majorBidi" w:cstheme="majorBidi"/>
          <w:i w:val="0"/>
          <w:szCs w:val="24"/>
          <w:lang w:val="fr-CH"/>
        </w:rPr>
        <w:t>(1995-1998-2006-2007-2012-2015)</w:t>
      </w:r>
    </w:p>
    <w:p w:rsidR="002C65C9" w:rsidRPr="008A1193" w:rsidRDefault="002C65C9" w:rsidP="002C65C9">
      <w:pPr>
        <w:rPr>
          <w:rFonts w:asciiTheme="majorBidi" w:hAnsiTheme="majorBidi" w:cstheme="majorBidi"/>
          <w:lang w:val="fr-CH"/>
        </w:rPr>
      </w:pPr>
      <w:r w:rsidRPr="008A1193">
        <w:rPr>
          <w:rFonts w:asciiTheme="majorBidi" w:hAnsiTheme="majorBidi" w:cstheme="majorBidi"/>
          <w:lang w:val="fr-CH"/>
        </w:rPr>
        <w:t>L'Assemblée des radiocommunications de l'UIT,</w:t>
      </w:r>
    </w:p>
    <w:p w:rsidR="002C65C9" w:rsidRPr="008A1193" w:rsidRDefault="002C65C9" w:rsidP="002C65C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sidRPr="002C65C9">
        <w:rPr>
          <w:rFonts w:ascii="Times New Roman" w:hAnsi="Times New Roman" w:cs="Times New Roman"/>
          <w:i/>
          <w:szCs w:val="20"/>
          <w:lang w:val="fr-CH"/>
        </w:rPr>
        <w:t>considérant</w:t>
      </w:r>
    </w:p>
    <w:p w:rsidR="002C65C9" w:rsidRPr="008A1193" w:rsidRDefault="002C65C9" w:rsidP="002C65C9">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les dispositions de la Résolution 36 (Rév.</w:t>
      </w:r>
      <w:r>
        <w:rPr>
          <w:rFonts w:asciiTheme="majorBidi" w:hAnsiTheme="majorBidi" w:cstheme="majorBidi"/>
          <w:lang w:val="fr-CH"/>
        </w:rPr>
        <w:t xml:space="preserve"> </w:t>
      </w:r>
      <w:r w:rsidRPr="008A1193">
        <w:rPr>
          <w:rFonts w:asciiTheme="majorBidi" w:hAnsiTheme="majorBidi" w:cstheme="majorBidi"/>
          <w:caps/>
          <w:lang w:val="fr-CH"/>
        </w:rPr>
        <w:t>G</w:t>
      </w:r>
      <w:r w:rsidRPr="008A1193">
        <w:rPr>
          <w:rFonts w:asciiTheme="majorBidi" w:hAnsiTheme="majorBidi" w:cstheme="majorBidi"/>
          <w:lang w:val="fr-CH"/>
        </w:rPr>
        <w:t>uadalajara,</w:t>
      </w:r>
      <w:r>
        <w:rPr>
          <w:rFonts w:asciiTheme="majorBidi" w:hAnsiTheme="majorBidi" w:cstheme="majorBidi"/>
          <w:lang w:val="fr-CH"/>
        </w:rPr>
        <w:t xml:space="preserve"> 2010</w:t>
      </w:r>
      <w:r w:rsidRPr="008A1193">
        <w:rPr>
          <w:rFonts w:asciiTheme="majorBidi" w:hAnsiTheme="majorBidi" w:cstheme="majorBidi"/>
          <w:lang w:val="fr-CH"/>
        </w:rPr>
        <w:t>) et de la Résolution 136 (Rév.</w:t>
      </w:r>
      <w:r>
        <w:rPr>
          <w:rFonts w:asciiTheme="majorBidi" w:hAnsiTheme="majorBidi" w:cstheme="majorBidi"/>
          <w:lang w:val="fr-CH"/>
        </w:rPr>
        <w:t> </w:t>
      </w:r>
      <w:r w:rsidRPr="008A1193">
        <w:rPr>
          <w:rFonts w:asciiTheme="majorBidi" w:hAnsiTheme="majorBidi" w:cstheme="majorBidi"/>
          <w:lang w:val="fr-CH"/>
        </w:rPr>
        <w:t>Busan, 2014) de la Conférence de plénipotentiaires;</w:t>
      </w:r>
    </w:p>
    <w:p w:rsidR="002C65C9" w:rsidRPr="008A1193" w:rsidRDefault="002C65C9" w:rsidP="002C65C9">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les dispositions de la Résolution 43 (Rév.</w:t>
      </w:r>
      <w:r>
        <w:rPr>
          <w:rFonts w:asciiTheme="majorBidi" w:hAnsiTheme="majorBidi" w:cstheme="majorBidi"/>
          <w:lang w:val="fr-CH"/>
        </w:rPr>
        <w:t xml:space="preserve"> </w:t>
      </w:r>
      <w:r w:rsidRPr="008A1193">
        <w:rPr>
          <w:rFonts w:asciiTheme="majorBidi" w:hAnsiTheme="majorBidi" w:cstheme="majorBidi"/>
          <w:lang w:val="fr-CH"/>
        </w:rPr>
        <w:t>Dubaï, 2014) par laquelle le Directeur du BDT est chargé, en collaboration étroite avec le Directeur du BR, de continuer d'encourager et d'aider les pays en développement à mettre en œuvre des systèmes IMT et de fournir une assistance aux administrations pour l'utilisation et l'interprétation des Recommandations de l'UIT relatives aux IMT-2000 et aux systèmes postérieurs aux IMT;</w:t>
      </w:r>
    </w:p>
    <w:p w:rsidR="002C65C9" w:rsidRPr="008A1193" w:rsidRDefault="002C65C9" w:rsidP="002C65C9">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les dispositions de la Résolution </w:t>
      </w:r>
      <w:r w:rsidRPr="00157E93">
        <w:rPr>
          <w:rFonts w:asciiTheme="majorBidi" w:hAnsiTheme="majorBidi" w:cstheme="majorBidi"/>
          <w:b/>
          <w:bCs/>
          <w:lang w:val="fr-CH"/>
        </w:rPr>
        <w:t>644 (Rév.CMR-12)</w:t>
      </w:r>
      <w:r w:rsidRPr="008A1193">
        <w:rPr>
          <w:rFonts w:asciiTheme="majorBidi" w:hAnsiTheme="majorBidi" w:cstheme="majorBidi"/>
          <w:lang w:val="fr-CH"/>
        </w:rPr>
        <w:t xml:space="preserve"> relative aux moyens de radiocommunication pour l'alerte avancée, l'atténuation des effets des catastrophes et les opérations de secours et les dispositions de la Résolution </w:t>
      </w:r>
      <w:r w:rsidRPr="00157E93">
        <w:rPr>
          <w:rFonts w:asciiTheme="majorBidi" w:hAnsiTheme="majorBidi" w:cstheme="majorBidi"/>
          <w:b/>
          <w:bCs/>
          <w:lang w:val="fr-CH"/>
        </w:rPr>
        <w:t>647 (Rév.CMR-12)</w:t>
      </w:r>
      <w:r w:rsidRPr="008A1193">
        <w:rPr>
          <w:rFonts w:asciiTheme="majorBidi" w:hAnsiTheme="majorBidi" w:cstheme="majorBidi"/>
          <w:lang w:val="fr-CH"/>
        </w:rPr>
        <w:t xml:space="preserve"> sur les lignes directrices relatives à la gestion du spectre pour les radiocommunications d'urgence et les radiocommunications en cas de catastrophe;</w:t>
      </w:r>
    </w:p>
    <w:p w:rsidR="002C65C9" w:rsidRPr="008A1193" w:rsidRDefault="002C65C9" w:rsidP="002C65C9">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lang w:val="fr-CH"/>
        </w:rPr>
        <w:tab/>
        <w:t>que la Convention de Tampere sur la mise à disposition de ressources de télécommunication pour l'atténuation des effets des catastrophes et les opérations de secours, adoptée par la Conférence intergouvernementale sur les télécommunications d'urgence (ICET-98), est entrée en vigueur le 8 janvier 2005,</w:t>
      </w:r>
    </w:p>
    <w:p w:rsidR="002C65C9" w:rsidRPr="008A1193" w:rsidRDefault="002C65C9" w:rsidP="002C65C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sidRPr="002C65C9">
        <w:rPr>
          <w:rFonts w:ascii="Times New Roman" w:hAnsi="Times New Roman" w:cs="Times New Roman"/>
          <w:i/>
          <w:szCs w:val="20"/>
          <w:lang w:val="fr-CH"/>
        </w:rPr>
        <w:t>reconnaissant</w:t>
      </w:r>
    </w:p>
    <w:p w:rsidR="002C65C9" w:rsidRPr="008A1193" w:rsidRDefault="002C65C9" w:rsidP="002C65C9">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que, en cas de catastrophe, les organismes s'occupant des secours sont en général les premiers à intervenir sur place grâce à leurs systèmes de communication habituels mais que dans la plupart des cas d'autres organismes et organisations peuvent aussi intervenir;</w:t>
      </w:r>
    </w:p>
    <w:p w:rsidR="002C65C9" w:rsidRPr="008A1193" w:rsidRDefault="002C65C9" w:rsidP="002C65C9">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que, pendant une catastrophe, si la plupart des réseaux de Terre sont détruits ou endommagés, d'autres réseaux des services d'amateur et d'amateur par satellite peuvent être disponibles pour assurer des communications de base sur place;</w:t>
      </w:r>
    </w:p>
    <w:p w:rsidR="002C65C9" w:rsidRPr="008A1193" w:rsidRDefault="002C65C9" w:rsidP="002C65C9">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qu'une caractéristique importante des services d'amateur est qu'ils ont des stations réparties dans le monde entier avec des opérateurs qualifiés capables de reconfigurer les réseaux pour répondre aux besoins spécifiques d'une situation d'urgence,</w:t>
      </w:r>
    </w:p>
    <w:p w:rsidR="002C65C9" w:rsidRPr="008A1193" w:rsidRDefault="002C65C9" w:rsidP="002C65C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sidRPr="002C65C9">
        <w:rPr>
          <w:rFonts w:ascii="Times New Roman" w:hAnsi="Times New Roman" w:cs="Times New Roman"/>
          <w:i/>
          <w:szCs w:val="20"/>
          <w:lang w:val="fr-CH"/>
        </w:rPr>
        <w:t>décide</w:t>
      </w:r>
      <w:r w:rsidRPr="008A1193">
        <w:rPr>
          <w:rFonts w:asciiTheme="majorBidi" w:hAnsiTheme="majorBidi" w:cstheme="majorBidi"/>
          <w:lang w:val="fr-CH"/>
        </w:rPr>
        <w:t xml:space="preserve"> de mettre à l'étude la Question suivante</w:t>
      </w:r>
    </w:p>
    <w:p w:rsidR="002C65C9" w:rsidRPr="008A1193" w:rsidRDefault="002C65C9" w:rsidP="002C65C9">
      <w:pPr>
        <w:tabs>
          <w:tab w:val="clear" w:pos="794"/>
          <w:tab w:val="clear" w:pos="1191"/>
          <w:tab w:val="left" w:pos="1134"/>
        </w:tabs>
        <w:rPr>
          <w:rFonts w:asciiTheme="majorBidi" w:hAnsiTheme="majorBidi" w:cstheme="majorBidi"/>
          <w:b/>
          <w:lang w:val="fr-CH"/>
        </w:rPr>
      </w:pPr>
      <w:r w:rsidRPr="008A1193">
        <w:rPr>
          <w:rFonts w:asciiTheme="majorBidi" w:hAnsiTheme="majorBidi" w:cstheme="majorBidi"/>
          <w:lang w:val="fr-CH"/>
        </w:rPr>
        <w:t>Quels sont les aspects techniques, opérationnels et de procédure des services mobile, d'amateur et d'amateur par satellite qui concernent les alertes en cas de catastrophe, l'atténuation des effets des catastrophes et les opérations de secours et qui sont susceptibles de les améliorer?</w:t>
      </w:r>
    </w:p>
    <w:p w:rsidR="002C65C9" w:rsidRDefault="002C65C9" w:rsidP="002C65C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CH"/>
        </w:rPr>
      </w:pPr>
      <w:r>
        <w:rPr>
          <w:rFonts w:asciiTheme="majorBidi" w:hAnsiTheme="majorBidi" w:cstheme="majorBidi"/>
          <w:lang w:val="fr-CH"/>
        </w:rPr>
        <w:br w:type="page"/>
      </w:r>
    </w:p>
    <w:p w:rsidR="002C65C9" w:rsidRPr="008A1193" w:rsidRDefault="002C65C9" w:rsidP="002C65C9">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sidRPr="002C65C9">
        <w:rPr>
          <w:rFonts w:ascii="Times New Roman" w:hAnsi="Times New Roman" w:cs="Times New Roman"/>
          <w:i/>
          <w:szCs w:val="20"/>
          <w:lang w:val="fr-CH"/>
        </w:rPr>
        <w:lastRenderedPageBreak/>
        <w:t>décide</w:t>
      </w:r>
      <w:r w:rsidRPr="008A1193">
        <w:rPr>
          <w:rFonts w:asciiTheme="majorBidi" w:hAnsiTheme="majorBidi" w:cstheme="majorBidi"/>
          <w:lang w:val="fr-CH"/>
        </w:rPr>
        <w:t xml:space="preserve"> en outre</w:t>
      </w:r>
    </w:p>
    <w:p w:rsidR="002C65C9" w:rsidRPr="008A1193" w:rsidRDefault="002C65C9" w:rsidP="002C65C9">
      <w:pPr>
        <w:tabs>
          <w:tab w:val="clear" w:pos="794"/>
          <w:tab w:val="clear" w:pos="1191"/>
          <w:tab w:val="left" w:pos="1134"/>
        </w:tabs>
        <w:ind w:right="-142"/>
        <w:rPr>
          <w:rFonts w:asciiTheme="majorBidi" w:hAnsiTheme="majorBidi" w:cstheme="majorBidi"/>
          <w:lang w:val="fr-CH"/>
        </w:rPr>
      </w:pPr>
      <w:r w:rsidRPr="008A1193">
        <w:rPr>
          <w:rFonts w:asciiTheme="majorBidi" w:hAnsiTheme="majorBidi" w:cstheme="majorBidi"/>
          <w:lang w:val="fr-CH"/>
        </w:rPr>
        <w:t>1</w:t>
      </w:r>
      <w:r w:rsidRPr="008A1193">
        <w:rPr>
          <w:rFonts w:asciiTheme="majorBidi" w:hAnsiTheme="majorBidi" w:cstheme="majorBidi"/>
          <w:lang w:val="fr-CH"/>
        </w:rPr>
        <w:tab/>
        <w:t>que les résultats de ces études devraient être inclus dans une ou plusieurs Recommandations ou un ou plusieurs Rapports ou Manuels;</w:t>
      </w:r>
    </w:p>
    <w:p w:rsidR="002C65C9" w:rsidRPr="008A1193" w:rsidRDefault="002C65C9" w:rsidP="002C65C9">
      <w:pPr>
        <w:tabs>
          <w:tab w:val="clear" w:pos="794"/>
          <w:tab w:val="clear" w:pos="1191"/>
          <w:tab w:val="left" w:pos="1134"/>
        </w:tabs>
        <w:rPr>
          <w:rFonts w:asciiTheme="majorBidi" w:hAnsiTheme="majorBidi" w:cstheme="majorBidi"/>
          <w:lang w:val="fr-CH"/>
        </w:rPr>
      </w:pPr>
      <w:r>
        <w:rPr>
          <w:rFonts w:asciiTheme="majorBidi" w:hAnsiTheme="majorBidi" w:cstheme="majorBidi"/>
          <w:lang w:val="fr-CH"/>
        </w:rPr>
        <w:t>2</w:t>
      </w:r>
      <w:r>
        <w:rPr>
          <w:rFonts w:asciiTheme="majorBidi" w:hAnsiTheme="majorBidi" w:cstheme="majorBidi"/>
          <w:lang w:val="fr-CH"/>
        </w:rPr>
        <w:tab/>
      </w:r>
      <w:r w:rsidRPr="008A1193">
        <w:rPr>
          <w:rFonts w:asciiTheme="majorBidi" w:hAnsiTheme="majorBidi" w:cstheme="majorBidi"/>
          <w:lang w:val="fr-CH"/>
        </w:rPr>
        <w:t>que ces études devraient être achevées d'ici à 2019;</w:t>
      </w:r>
    </w:p>
    <w:p w:rsidR="002C65C9" w:rsidRPr="008A1193" w:rsidRDefault="002C65C9" w:rsidP="002C65C9">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3</w:t>
      </w:r>
      <w:r w:rsidRPr="008A1193">
        <w:rPr>
          <w:rFonts w:asciiTheme="majorBidi" w:hAnsiTheme="majorBidi" w:cstheme="majorBidi"/>
          <w:lang w:val="fr-CH"/>
        </w:rPr>
        <w:tab/>
        <w:t>que les études demandées devraient être réalisées en coordination avec les deux autres Secteurs.</w:t>
      </w:r>
    </w:p>
    <w:p w:rsidR="002C65C9" w:rsidRPr="00A1687F" w:rsidRDefault="002C65C9" w:rsidP="002C65C9">
      <w:pPr>
        <w:spacing w:before="600"/>
        <w:rPr>
          <w:rFonts w:asciiTheme="majorBidi" w:hAnsiTheme="majorBidi" w:cstheme="majorBidi"/>
          <w:lang w:val="fr-CH"/>
        </w:rPr>
      </w:pPr>
      <w:r>
        <w:rPr>
          <w:rFonts w:asciiTheme="majorBidi" w:hAnsiTheme="majorBidi" w:cstheme="majorBidi"/>
          <w:lang w:val="fr-CH"/>
        </w:rPr>
        <w:t xml:space="preserve">Catégorie: </w:t>
      </w:r>
      <w:r w:rsidRPr="00A1687F">
        <w:rPr>
          <w:rFonts w:asciiTheme="majorBidi" w:hAnsiTheme="majorBidi" w:cstheme="majorBidi"/>
          <w:lang w:val="fr-CH"/>
        </w:rPr>
        <w:t>S2</w:t>
      </w:r>
    </w:p>
    <w:p w:rsidR="002C65C9" w:rsidRPr="00A1687F" w:rsidRDefault="002C65C9" w:rsidP="002C65C9">
      <w:pPr>
        <w:rPr>
          <w:rFonts w:asciiTheme="majorBidi" w:hAnsiTheme="majorBidi" w:cstheme="majorBidi"/>
          <w:lang w:val="fr-CH"/>
        </w:rPr>
      </w:pPr>
    </w:p>
    <w:p w:rsidR="00CC001C" w:rsidRDefault="00CC001C"/>
    <w:sectPr w:rsidR="00CC001C" w:rsidSect="002C65C9">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5C9" w:rsidRDefault="002C65C9" w:rsidP="002C65C9">
      <w:pPr>
        <w:spacing w:before="0" w:line="240" w:lineRule="auto"/>
      </w:pPr>
      <w:r>
        <w:separator/>
      </w:r>
    </w:p>
  </w:endnote>
  <w:endnote w:type="continuationSeparator" w:id="0">
    <w:p w:rsidR="002C65C9" w:rsidRDefault="002C65C9" w:rsidP="002C65C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C9" w:rsidRDefault="002C6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C9" w:rsidRDefault="002C65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C9" w:rsidRDefault="002C6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5C9" w:rsidRDefault="002C65C9" w:rsidP="002C65C9">
      <w:pPr>
        <w:spacing w:before="0" w:line="240" w:lineRule="auto"/>
      </w:pPr>
      <w:r>
        <w:separator/>
      </w:r>
    </w:p>
  </w:footnote>
  <w:footnote w:type="continuationSeparator" w:id="0">
    <w:p w:rsidR="002C65C9" w:rsidRDefault="002C65C9" w:rsidP="002C65C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C9" w:rsidRDefault="002C6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C9" w:rsidRPr="002C65C9" w:rsidRDefault="002C65C9">
    <w:pPr>
      <w:pStyle w:val="Header"/>
      <w:jc w:val="center"/>
      <w:rPr>
        <w:sz w:val="18"/>
        <w:szCs w:val="18"/>
      </w:rPr>
    </w:pPr>
    <w:bookmarkStart w:id="0" w:name="_GoBack"/>
    <w:r w:rsidRPr="002C65C9">
      <w:rPr>
        <w:sz w:val="18"/>
        <w:szCs w:val="18"/>
      </w:rPr>
      <w:t xml:space="preserve">- </w:t>
    </w:r>
    <w:sdt>
      <w:sdtPr>
        <w:rPr>
          <w:sz w:val="18"/>
          <w:szCs w:val="18"/>
        </w:rPr>
        <w:id w:val="475417077"/>
        <w:docPartObj>
          <w:docPartGallery w:val="Page Numbers (Top of Page)"/>
          <w:docPartUnique/>
        </w:docPartObj>
      </w:sdtPr>
      <w:sdtEndPr>
        <w:rPr>
          <w:noProof/>
        </w:rPr>
      </w:sdtEndPr>
      <w:sdtContent>
        <w:r w:rsidRPr="002C65C9">
          <w:rPr>
            <w:sz w:val="18"/>
            <w:szCs w:val="18"/>
          </w:rPr>
          <w:fldChar w:fldCharType="begin"/>
        </w:r>
        <w:r w:rsidRPr="002C65C9">
          <w:rPr>
            <w:sz w:val="18"/>
            <w:szCs w:val="18"/>
          </w:rPr>
          <w:instrText xml:space="preserve"> PAGE   \* MERGEFORMAT </w:instrText>
        </w:r>
        <w:r w:rsidRPr="002C65C9">
          <w:rPr>
            <w:sz w:val="18"/>
            <w:szCs w:val="18"/>
          </w:rPr>
          <w:fldChar w:fldCharType="separate"/>
        </w:r>
        <w:r>
          <w:rPr>
            <w:noProof/>
            <w:sz w:val="18"/>
            <w:szCs w:val="18"/>
          </w:rPr>
          <w:t>2</w:t>
        </w:r>
        <w:r w:rsidRPr="002C65C9">
          <w:rPr>
            <w:noProof/>
            <w:sz w:val="18"/>
            <w:szCs w:val="18"/>
          </w:rPr>
          <w:fldChar w:fldCharType="end"/>
        </w:r>
        <w:r w:rsidRPr="002C65C9">
          <w:rPr>
            <w:noProof/>
            <w:sz w:val="18"/>
            <w:szCs w:val="18"/>
          </w:rPr>
          <w:t xml:space="preserve"> -</w:t>
        </w:r>
      </w:sdtContent>
    </w:sdt>
  </w:p>
  <w:bookmarkEnd w:id="0"/>
  <w:p w:rsidR="002C65C9" w:rsidRDefault="002C65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C9" w:rsidRDefault="002C6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C9"/>
    <w:rsid w:val="002C65C9"/>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6FBA89B-1797-4C4E-A293-ACF38DFB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5C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date">
    <w:name w:val="Question_date"/>
    <w:basedOn w:val="Normal"/>
    <w:next w:val="Normal"/>
    <w:rsid w:val="002C65C9"/>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2C65C9"/>
    <w:pPr>
      <w:keepNext/>
      <w:keepLines/>
      <w:spacing w:before="360" w:line="240" w:lineRule="auto"/>
      <w:jc w:val="center"/>
    </w:pPr>
    <w:rPr>
      <w:b/>
      <w:sz w:val="28"/>
    </w:rPr>
  </w:style>
  <w:style w:type="character" w:customStyle="1" w:styleId="QuestiontitleChar">
    <w:name w:val="Question_title Char"/>
    <w:basedOn w:val="DefaultParagraphFont"/>
    <w:link w:val="Questiontitle"/>
    <w:rsid w:val="002C65C9"/>
    <w:rPr>
      <w:rFonts w:ascii="Calibri" w:eastAsia="Times New Roman" w:hAnsi="Calibri" w:cs="Calibri"/>
      <w:b/>
      <w:sz w:val="28"/>
      <w:lang w:val="en-US" w:eastAsia="en-US"/>
    </w:rPr>
  </w:style>
  <w:style w:type="paragraph" w:styleId="Header">
    <w:name w:val="header"/>
    <w:basedOn w:val="Normal"/>
    <w:link w:val="HeaderChar"/>
    <w:uiPriority w:val="99"/>
    <w:unhideWhenUsed/>
    <w:rsid w:val="002C65C9"/>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2C65C9"/>
    <w:rPr>
      <w:rFonts w:ascii="Calibri" w:eastAsia="Times New Roman" w:hAnsi="Calibri" w:cs="Calibri"/>
      <w:sz w:val="24"/>
      <w:lang w:val="en-US" w:eastAsia="en-US"/>
    </w:rPr>
  </w:style>
  <w:style w:type="paragraph" w:styleId="Footer">
    <w:name w:val="footer"/>
    <w:basedOn w:val="Normal"/>
    <w:link w:val="FooterChar"/>
    <w:uiPriority w:val="99"/>
    <w:unhideWhenUsed/>
    <w:rsid w:val="002C65C9"/>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2C65C9"/>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2501</Characters>
  <Application>Microsoft Office Word</Application>
  <DocSecurity>0</DocSecurity>
  <Lines>20</Lines>
  <Paragraphs>5</Paragraphs>
  <ScaleCrop>false</ScaleCrop>
  <Company>ITU</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2015-10-12T13:20:00Z</dcterms:created>
  <dcterms:modified xsi:type="dcterms:W3CDTF">2015-10-12T13:21:00Z</dcterms:modified>
</cp:coreProperties>
</file>