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69" w:rsidRPr="00041F99" w:rsidRDefault="00D95969" w:rsidP="00D95969">
      <w:pPr>
        <w:pStyle w:val="QuestionNoBR"/>
        <w:tabs>
          <w:tab w:val="clear" w:pos="794"/>
          <w:tab w:val="clear" w:pos="1191"/>
          <w:tab w:val="clear" w:pos="1588"/>
          <w:tab w:val="clear" w:pos="1985"/>
          <w:tab w:val="left" w:pos="1134"/>
        </w:tabs>
        <w:rPr>
          <w:rFonts w:asciiTheme="majorBidi" w:hAnsiTheme="majorBidi" w:cstheme="majorBidi"/>
          <w:lang w:val="fr-FR"/>
        </w:rPr>
      </w:pPr>
      <w:r w:rsidRPr="00041F99">
        <w:rPr>
          <w:rFonts w:asciiTheme="majorBidi" w:hAnsiTheme="majorBidi" w:cstheme="majorBidi"/>
          <w:szCs w:val="28"/>
          <w:lang w:val="fr-FR" w:eastAsia="ja-JP"/>
        </w:rPr>
        <w:t>QUESTION UIT-R</w:t>
      </w:r>
      <w:r w:rsidRPr="00041F99">
        <w:rPr>
          <w:rFonts w:asciiTheme="majorBidi" w:hAnsiTheme="majorBidi" w:cstheme="majorBidi"/>
          <w:lang w:val="fr-FR"/>
        </w:rPr>
        <w:t xml:space="preserve"> 205-</w:t>
      </w:r>
      <w:r w:rsidR="00DA57DA">
        <w:rPr>
          <w:rFonts w:asciiTheme="majorBidi" w:hAnsiTheme="majorBidi" w:cstheme="majorBidi"/>
          <w:lang w:val="fr-FR"/>
        </w:rPr>
        <w:t>6</w:t>
      </w:r>
      <w:r w:rsidRPr="00041F99">
        <w:rPr>
          <w:rFonts w:asciiTheme="majorBidi" w:hAnsiTheme="majorBidi" w:cstheme="majorBidi"/>
          <w:lang w:val="fr-FR"/>
        </w:rPr>
        <w:t>/5</w:t>
      </w:r>
    </w:p>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szCs w:val="28"/>
          <w:lang w:val="fr-FR"/>
        </w:rPr>
      </w:pPr>
      <w:r w:rsidRPr="00041F99">
        <w:rPr>
          <w:rFonts w:asciiTheme="majorBidi" w:hAnsiTheme="majorBidi" w:cstheme="majorBidi"/>
          <w:szCs w:val="28"/>
          <w:lang w:val="fr-FR"/>
        </w:rPr>
        <w:t>Systèmes de transport intelligents</w:t>
      </w:r>
    </w:p>
    <w:p w:rsidR="00D95969" w:rsidRPr="00041F99" w:rsidRDefault="00D95969" w:rsidP="00D95969">
      <w:pPr>
        <w:pStyle w:val="Questiondate"/>
        <w:tabs>
          <w:tab w:val="left" w:pos="1134"/>
        </w:tabs>
        <w:spacing w:before="240"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(1995-1996-2002-2003-2007-2012</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a)</w:t>
      </w:r>
      <w:r w:rsidRPr="00041F99">
        <w:rPr>
          <w:rFonts w:asciiTheme="majorBidi" w:hAnsiTheme="majorBidi" w:cstheme="majorBidi"/>
          <w:szCs w:val="24"/>
          <w:lang w:val="fr-FR"/>
        </w:rPr>
        <w:tab/>
        <w:t>qu'il est nécessaire d'intégrer dans les systèmes de transport terrestres de nouvelles technologies, notamment dans le domaine des radiocommunications;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b)</w:t>
      </w:r>
      <w:r w:rsidRPr="00041F99">
        <w:rPr>
          <w:rFonts w:asciiTheme="majorBidi" w:hAnsiTheme="majorBidi" w:cstheme="majorBidi"/>
          <w:szCs w:val="24"/>
          <w:lang w:val="fr-FR"/>
        </w:rPr>
        <w:tab/>
        <w:t>qu'un grand nombre de nouveaux systèmes de transport terrestres associent l'intelligence des véhicules terrestres à des techniques de gestion évoluées pour améliorer la gestion du trafic;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c)</w:t>
      </w:r>
      <w:r w:rsidRPr="00041F99">
        <w:rPr>
          <w:rFonts w:asciiTheme="majorBidi" w:hAnsiTheme="majorBidi" w:cstheme="majorBidi"/>
          <w:szCs w:val="24"/>
          <w:lang w:val="fr-FR"/>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d)</w:t>
      </w:r>
      <w:r w:rsidRPr="00041F99">
        <w:rPr>
          <w:rFonts w:asciiTheme="majorBidi" w:hAnsiTheme="majorBidi" w:cstheme="majorBidi"/>
          <w:szCs w:val="24"/>
          <w:lang w:val="fr-FR"/>
        </w:rPr>
        <w:tab/>
        <w:t>qu'il est prévu de mettre en œuvre des systèmes ITS ou que de tels systèmes sont déjà mis en œuvre dans diverses Régions;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e)</w:t>
      </w:r>
      <w:r w:rsidRPr="00041F99">
        <w:rPr>
          <w:rFonts w:asciiTheme="majorBidi" w:hAnsiTheme="majorBidi" w:cstheme="majorBidi"/>
          <w:szCs w:val="24"/>
          <w:lang w:val="fr-FR"/>
        </w:rPr>
        <w:tab/>
        <w:t>que diverses applications ITS sont à l'étude;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f)</w:t>
      </w:r>
      <w:r w:rsidRPr="00041F99">
        <w:rPr>
          <w:rFonts w:asciiTheme="majorBidi" w:hAnsiTheme="majorBidi" w:cstheme="majorBidi"/>
          <w:szCs w:val="24"/>
          <w:lang w:val="fr-FR"/>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g)</w:t>
      </w:r>
      <w:r w:rsidRPr="00041F99">
        <w:rPr>
          <w:rFonts w:asciiTheme="majorBidi" w:hAnsiTheme="majorBidi" w:cstheme="majorBidi"/>
          <w:szCs w:val="24"/>
          <w:lang w:val="fr-FR"/>
        </w:rPr>
        <w:tab/>
        <w:t>qu'harmoniser rapidement les systèmes ITS au niveau international présenterait plusieurs avantages;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h)</w:t>
      </w:r>
      <w:r w:rsidRPr="00041F99">
        <w:rPr>
          <w:rFonts w:asciiTheme="majorBidi" w:hAnsiTheme="majorBidi" w:cstheme="majorBidi"/>
          <w:szCs w:val="24"/>
          <w:lang w:val="fr-FR"/>
        </w:rPr>
        <w:tab/>
        <w:t>que la compatibilité des systèmes ITS à l'échelle mondiale dépendra peut-être de l'attribution de bandes de fréquences communes;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i)</w:t>
      </w:r>
      <w:r w:rsidRPr="00041F99">
        <w:rPr>
          <w:rFonts w:asciiTheme="majorBidi" w:hAnsiTheme="majorBidi" w:cstheme="majorBidi"/>
          <w:szCs w:val="24"/>
          <w:lang w:val="fr-FR"/>
        </w:rPr>
        <w:tab/>
        <w:t>que la composante radioélectrique est une composante essentielle des systèmes ITS;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j)</w:t>
      </w:r>
      <w:r w:rsidRPr="00041F99">
        <w:rPr>
          <w:rFonts w:asciiTheme="majorBidi" w:hAnsiTheme="majorBidi" w:cstheme="majorBidi"/>
          <w:szCs w:val="24"/>
          <w:lang w:val="fr-FR"/>
        </w:rPr>
        <w:tab/>
        <w:t>que l'Organisation internationale de normalisation (ISO) normalise actuellement des systèmes ITS (aspects non radioélectriques) dans le cadre de la norme ISO/TC204,</w:t>
      </w:r>
    </w:p>
    <w:p w:rsidR="00D95969" w:rsidRPr="00041F99" w:rsidRDefault="00D95969" w:rsidP="003C71B8">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a)</w:t>
      </w:r>
      <w:r w:rsidRPr="00041F99">
        <w:rPr>
          <w:rFonts w:asciiTheme="majorBidi" w:hAnsiTheme="majorBidi" w:cstheme="majorBidi"/>
          <w:szCs w:val="24"/>
          <w:lang w:val="fr-FR"/>
        </w:rPr>
        <w:tab/>
        <w:t>la Recommandation UIT</w:t>
      </w:r>
      <w:r w:rsidRPr="00041F99">
        <w:rPr>
          <w:rFonts w:asciiTheme="majorBidi" w:hAnsiTheme="majorBidi" w:cstheme="majorBidi"/>
          <w:szCs w:val="24"/>
          <w:lang w:val="fr-FR"/>
        </w:rPr>
        <w:noBreakHyphen/>
        <w:t>R M.1453 intitulée «Systèmes de transport intelligents – Communications spécialisées à courte distance à 5,8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szCs w:val="24"/>
          <w:lang w:val="fr-FR"/>
        </w:rPr>
      </w:pPr>
      <w:r w:rsidRPr="00041F99">
        <w:rPr>
          <w:rFonts w:asciiTheme="majorBidi" w:hAnsiTheme="majorBidi" w:cstheme="majorBidi"/>
          <w:i/>
          <w:szCs w:val="24"/>
          <w:lang w:val="fr-FR"/>
        </w:rPr>
        <w:t>b)</w:t>
      </w:r>
      <w:r w:rsidRPr="00041F99">
        <w:rPr>
          <w:rFonts w:asciiTheme="majorBidi" w:hAnsiTheme="majorBidi" w:cstheme="majorBidi"/>
          <w:i/>
          <w:szCs w:val="24"/>
          <w:lang w:val="fr-FR"/>
        </w:rPr>
        <w:tab/>
      </w:r>
      <w:r w:rsidRPr="00D95969">
        <w:rPr>
          <w:rFonts w:asciiTheme="majorBidi" w:hAnsiTheme="majorBidi" w:cstheme="majorBidi"/>
          <w:iCs/>
          <w:szCs w:val="24"/>
          <w:lang w:val="fr-FR"/>
        </w:rPr>
        <w:t>la Recommandation UIT-R M.2084</w:t>
      </w:r>
      <w:r w:rsidRPr="00041F99">
        <w:rPr>
          <w:rFonts w:asciiTheme="majorBidi" w:hAnsiTheme="majorBidi" w:cstheme="majorBidi"/>
          <w:iCs/>
          <w:szCs w:val="24"/>
          <w:lang w:val="fr-FR"/>
        </w:rPr>
        <w:t xml:space="preserve"> intitulée</w:t>
      </w:r>
      <w:r w:rsidRPr="00D95969">
        <w:rPr>
          <w:rFonts w:asciiTheme="majorBidi" w:hAnsiTheme="majorBidi" w:cstheme="majorBidi"/>
          <w:iCs/>
          <w:szCs w:val="24"/>
          <w:lang w:val="fr-FR"/>
        </w:rPr>
        <w:t xml:space="preserve"> «Normes relatives aux interfaces radioélectriques pour les communications de véhicule à véhicule et de véhicule à infrastructure pour les applications des systèmes de transport intelligents»</w:t>
      </w:r>
      <w:r w:rsidRPr="00041F99">
        <w:rPr>
          <w:rFonts w:asciiTheme="majorBidi" w:hAnsiTheme="majorBidi" w:cstheme="majorBidi"/>
          <w:iCs/>
          <w:szCs w:val="24"/>
          <w:lang w:val="fr-FR"/>
        </w:rPr>
        <w:t>;</w:t>
      </w:r>
    </w:p>
    <w:p w:rsidR="00D95969" w:rsidRP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szCs w:val="24"/>
          <w:lang w:val="fr-FR"/>
        </w:rPr>
      </w:pPr>
      <w:r w:rsidRPr="00041F99">
        <w:rPr>
          <w:rFonts w:asciiTheme="majorBidi" w:hAnsiTheme="majorBidi" w:cstheme="majorBidi"/>
          <w:i/>
          <w:iCs/>
          <w:szCs w:val="24"/>
          <w:lang w:val="fr-FR"/>
        </w:rPr>
        <w:t>c)</w:t>
      </w:r>
      <w:r w:rsidRPr="00041F99">
        <w:rPr>
          <w:rFonts w:asciiTheme="majorBidi" w:hAnsiTheme="majorBidi" w:cstheme="majorBidi"/>
          <w:i/>
          <w:iCs/>
          <w:szCs w:val="24"/>
          <w:lang w:val="fr-FR"/>
        </w:rPr>
        <w:tab/>
      </w:r>
      <w:r w:rsidRPr="00D95969">
        <w:rPr>
          <w:rFonts w:asciiTheme="majorBidi" w:hAnsiTheme="majorBidi" w:cstheme="majorBidi"/>
          <w:szCs w:val="24"/>
          <w:lang w:val="fr-FR"/>
        </w:rPr>
        <w:t>la Recommandation UIT-R M.2121</w:t>
      </w:r>
      <w:r w:rsidRPr="00041F99">
        <w:rPr>
          <w:rFonts w:asciiTheme="majorBidi" w:hAnsiTheme="majorBidi" w:cstheme="majorBidi"/>
          <w:szCs w:val="24"/>
          <w:lang w:val="fr-FR"/>
        </w:rPr>
        <w:t xml:space="preserve"> intitulée</w:t>
      </w:r>
      <w:r w:rsidRPr="00D95969">
        <w:rPr>
          <w:rFonts w:asciiTheme="majorBidi" w:hAnsiTheme="majorBidi" w:cstheme="majorBidi"/>
          <w:szCs w:val="24"/>
          <w:lang w:val="fr-FR"/>
        </w:rPr>
        <w:t xml:space="preserve"> «</w:t>
      </w:r>
      <w:r w:rsidRPr="00041F99">
        <w:rPr>
          <w:rFonts w:asciiTheme="majorBidi" w:hAnsiTheme="majorBidi" w:cstheme="majorBidi"/>
          <w:szCs w:val="24"/>
          <w:lang w:val="fr-FR"/>
        </w:rPr>
        <w:t>Harmonisation des bandes de fréquences pour les systèmes de transport intelligents dans le service mobile»,</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lastRenderedPageBreak/>
        <w:t xml:space="preserve">décide </w:t>
      </w:r>
      <w:r w:rsidRPr="00041F99">
        <w:rPr>
          <w:rFonts w:asciiTheme="majorBidi" w:hAnsiTheme="majorBidi" w:cstheme="majorBidi"/>
          <w:i w:val="0"/>
          <w:iCs/>
          <w:szCs w:val="24"/>
          <w:lang w:val="fr-FR"/>
        </w:rPr>
        <w:t>de mettre à l'étude les Questions suivantes</w:t>
      </w:r>
    </w:p>
    <w:p w:rsidR="00D95969" w:rsidRPr="00041F99" w:rsidRDefault="00D95969" w:rsidP="00F424C0">
      <w:pPr>
        <w:keepNext/>
        <w:keepLines/>
        <w:tabs>
          <w:tab w:val="clear" w:pos="794"/>
          <w:tab w:val="clear" w:pos="1191"/>
          <w:tab w:val="clear" w:pos="1588"/>
          <w:tab w:val="clear" w:pos="1985"/>
          <w:tab w:val="left" w:pos="1134"/>
        </w:tabs>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1</w:t>
      </w:r>
      <w:r w:rsidRPr="00041F99">
        <w:rPr>
          <w:rFonts w:asciiTheme="majorBidi" w:hAnsiTheme="majorBidi" w:cstheme="majorBidi"/>
          <w:szCs w:val="24"/>
          <w:lang w:val="fr-FR"/>
        </w:rPr>
        <w:tab/>
        <w:t>Quels sont les divers éléments des systèmes ITS?</w:t>
      </w:r>
    </w:p>
    <w:p w:rsidR="00D95969" w:rsidRPr="00041F99" w:rsidRDefault="00D95969" w:rsidP="00F424C0">
      <w:pPr>
        <w:keepNext/>
        <w:keepLines/>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Quels sont les objectifs généraux des systèmes ITS en ce qui concerne:</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besoins de radiocommunication: les interfaces radioélectriques, la fiabilité, la qualité de service, etc.;</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facteurs d'amélioration: réduction des encombrements, sécurité, contrôle, etc.;</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types de services?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3</w:t>
      </w:r>
      <w:r w:rsidRPr="00041F99">
        <w:rPr>
          <w:rFonts w:asciiTheme="majorBidi" w:hAnsiTheme="majorBidi" w:cstheme="majorBidi"/>
          <w:szCs w:val="24"/>
          <w:lang w:val="fr-FR"/>
        </w:rPr>
        <w:tab/>
        <w:t>Quels services et fonctions ITS radioélectriques pourraient bénéficier d'une normalisation internationale?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4</w:t>
      </w:r>
      <w:r w:rsidRPr="00041F99">
        <w:rPr>
          <w:rFonts w:asciiTheme="majorBidi" w:hAnsiTheme="majorBidi" w:cstheme="majorBidi"/>
          <w:szCs w:val="24"/>
          <w:lang w:val="fr-FR"/>
        </w:rPr>
        <w:tab/>
        <w:t>Quelle est la quantité de spectre dont a besoin chaque élément des systèmes ITS notamment:</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bandes de fréquences appropriées;</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largeur de bande nécessaire?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5</w:t>
      </w:r>
      <w:r w:rsidRPr="00041F99">
        <w:rPr>
          <w:rFonts w:asciiTheme="majorBidi" w:hAnsiTheme="majorBidi" w:cstheme="majorBidi"/>
          <w:szCs w:val="24"/>
          <w:lang w:val="fr-FR"/>
        </w:rPr>
        <w:tab/>
        <w:t>Quelles sont les caractéristiques d'interfonctionnement des systèmes ITS avec les réseaux de télécommunication?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6</w:t>
      </w:r>
      <w:r w:rsidRPr="00041F99">
        <w:rPr>
          <w:rFonts w:asciiTheme="majorBidi" w:hAnsiTheme="majorBidi" w:cstheme="majorBidi"/>
          <w:szCs w:val="24"/>
          <w:lang w:val="fr-FR"/>
        </w:rPr>
        <w:tab/>
        <w:t>Quels sont les facteurs techniques qui interviennent dans le partage entre les systèmes ITS et d'autres systèmes?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7</w:t>
      </w:r>
      <w:r w:rsidRPr="00041F99">
        <w:rPr>
          <w:rFonts w:asciiTheme="majorBidi" w:hAnsiTheme="majorBidi" w:cstheme="majorBidi"/>
          <w:szCs w:val="24"/>
          <w:lang w:val="fr-FR"/>
        </w:rPr>
        <w:tab/>
        <w:t>Dans quelle mesure peut</w:t>
      </w:r>
      <w:r w:rsidRPr="00041F99">
        <w:rPr>
          <w:rFonts w:asciiTheme="majorBidi" w:hAnsiTheme="majorBidi" w:cstheme="majorBidi"/>
          <w:szCs w:val="24"/>
          <w:lang w:val="fr-FR"/>
        </w:rPr>
        <w:noBreakHyphen/>
        <w:t>on utiliser les systèmes de télécommunication mobiles évolutifs pour offrir des services ITS?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8</w:t>
      </w:r>
      <w:r w:rsidRPr="00041F99">
        <w:rPr>
          <w:rFonts w:asciiTheme="majorBidi" w:hAnsiTheme="majorBidi" w:cstheme="majorBidi"/>
          <w:szCs w:val="24"/>
          <w:lang w:val="fr-FR"/>
        </w:rPr>
        <w:tab/>
        <w:t>Quels sont les besoins et les spécifications techniques dont il faut tenir compte pour harmoniser, à l'échelle mondiale ou régionale, les radiocommunications relatives aux systèmes ITS de la prochaine génération?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9</w:t>
      </w:r>
      <w:r w:rsidRPr="00041F99">
        <w:rPr>
          <w:rFonts w:asciiTheme="majorBidi" w:hAnsiTheme="majorBidi" w:cstheme="majorBidi"/>
          <w:szCs w:val="24"/>
          <w:lang w:val="fr-FR"/>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D95969" w:rsidRPr="00041F99" w:rsidRDefault="00D95969" w:rsidP="003C71B8">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décide en outre</w:t>
      </w:r>
    </w:p>
    <w:p w:rsidR="00D95969" w:rsidRPr="00041F99" w:rsidRDefault="00D95969" w:rsidP="00D95969">
      <w:pPr>
        <w:tabs>
          <w:tab w:val="clear" w:pos="794"/>
          <w:tab w:val="clear" w:pos="1191"/>
          <w:tab w:val="clear" w:pos="1588"/>
          <w:tab w:val="clear" w:pos="1985"/>
          <w:tab w:val="left" w:pos="1134"/>
        </w:tabs>
        <w:spacing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dans un ou plusieurs Rapports ou Manuels;</w:t>
      </w:r>
    </w:p>
    <w:p w:rsidR="00D95969" w:rsidRPr="00041F99" w:rsidRDefault="00D95969" w:rsidP="00D95969">
      <w:pPr>
        <w:tabs>
          <w:tab w:val="clear" w:pos="794"/>
          <w:tab w:val="clear" w:pos="1191"/>
          <w:tab w:val="clear" w:pos="1588"/>
          <w:tab w:val="clear" w:pos="1985"/>
          <w:tab w:val="left" w:pos="1134"/>
        </w:tabs>
        <w:ind w:right="-142"/>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devraient être achevées d'ici à </w:t>
      </w:r>
      <w:r w:rsidRPr="00041F99">
        <w:rPr>
          <w:rFonts w:asciiTheme="majorBidi" w:hAnsiTheme="majorBidi" w:cstheme="majorBidi"/>
          <w:lang w:val="fr-FR"/>
        </w:rPr>
        <w:t>20</w:t>
      </w:r>
      <w:r>
        <w:rPr>
          <w:rFonts w:asciiTheme="majorBidi" w:hAnsiTheme="majorBidi" w:cstheme="majorBidi"/>
          <w:lang w:val="fr-FR"/>
        </w:rPr>
        <w:t>23</w:t>
      </w:r>
      <w:r w:rsidRPr="00041F99">
        <w:rPr>
          <w:rFonts w:asciiTheme="majorBidi" w:hAnsiTheme="majorBidi" w:cstheme="majorBidi"/>
          <w:szCs w:val="24"/>
          <w:lang w:val="fr-FR"/>
        </w:rPr>
        <w:t>.</w:t>
      </w:r>
    </w:p>
    <w:p w:rsidR="00D95969" w:rsidRPr="00041F99" w:rsidRDefault="00D95969" w:rsidP="003C71B8">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Pr>
          <w:rFonts w:asciiTheme="majorBidi" w:hAnsiTheme="majorBidi" w:cstheme="majorBidi"/>
          <w:lang w:val="fr-FR"/>
        </w:rPr>
        <w:t>Catégorie:</w:t>
      </w:r>
      <w:r w:rsidR="003C71B8">
        <w:rPr>
          <w:rFonts w:asciiTheme="majorBidi" w:hAnsiTheme="majorBidi" w:cstheme="majorBidi"/>
          <w:lang w:val="fr-FR"/>
        </w:rPr>
        <w:t xml:space="preserve">  </w:t>
      </w:r>
      <w:r w:rsidRPr="00041F99">
        <w:rPr>
          <w:rFonts w:asciiTheme="majorBidi" w:hAnsiTheme="majorBidi" w:cstheme="majorBidi"/>
          <w:lang w:val="fr-FR"/>
        </w:rPr>
        <w:t>S2</w:t>
      </w:r>
    </w:p>
    <w:p w:rsidR="00D95969" w:rsidRPr="00041F9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eastAsia="MS Mincho" w:hAnsiTheme="majorBidi" w:cstheme="majorBidi"/>
          <w:lang w:val="fr-FR" w:eastAsia="ja-JP"/>
        </w:rPr>
      </w:pPr>
    </w:p>
    <w:sectPr w:rsidR="00D95969" w:rsidRPr="00041F99"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1A" w:rsidRDefault="00F96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1A" w:rsidRDefault="00F96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F9661A" w:rsidRDefault="00D95969" w:rsidP="00F96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9661A">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9661A">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bookmarkStart w:id="0" w:name="_GoBack"/>
          <w:bookmarkEnd w:id="0"/>
        </w:p>
      </w:tc>
      <w:tc>
        <w:tcPr>
          <w:tcW w:w="5131" w:type="dxa"/>
          <w:noWrap/>
        </w:tcPr>
        <w:p w:rsidR="009E7D86" w:rsidRDefault="009E7D86" w:rsidP="009E7D86">
          <w:pPr>
            <w:pStyle w:val="Header"/>
            <w:spacing w:before="240" w:line="360" w:lineRule="auto"/>
            <w:jc w:val="right"/>
          </w:pP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081A"/>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9661A"/>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BC47-1C7C-4A57-A119-2CD94F22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559</Words>
  <Characters>3389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Sir Bosson, Ana</cp:lastModifiedBy>
  <cp:revision>3</cp:revision>
  <cp:lastPrinted>2013-03-08T10:15:00Z</cp:lastPrinted>
  <dcterms:created xsi:type="dcterms:W3CDTF">2019-12-04T12:29:00Z</dcterms:created>
  <dcterms:modified xsi:type="dcterms:W3CDTF">2019-12-04T12:30:00Z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