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31" w:rsidRPr="0094263C" w:rsidRDefault="00E00931" w:rsidP="00361D27">
      <w:pPr>
        <w:pStyle w:val="QuestionNo0"/>
        <w:rPr>
          <w:lang w:val="es-ES"/>
        </w:rPr>
      </w:pPr>
      <w:r w:rsidRPr="0094263C">
        <w:rPr>
          <w:lang w:val="es-ES"/>
        </w:rPr>
        <w:t>CUESTIÓN uit-r 205-</w:t>
      </w:r>
      <w:r w:rsidR="00361D27">
        <w:rPr>
          <w:lang w:val="es-ES"/>
        </w:rPr>
        <w:t>5</w:t>
      </w:r>
      <w:r w:rsidRPr="0094263C">
        <w:rPr>
          <w:lang w:val="es-ES"/>
        </w:rPr>
        <w:t>/5</w:t>
      </w:r>
      <w:r w:rsidR="000759EA">
        <w:rPr>
          <w:rStyle w:val="FootnoteReference"/>
          <w:lang w:val="es-ES"/>
        </w:rPr>
        <w:footnoteReference w:id="1"/>
      </w:r>
    </w:p>
    <w:p w:rsidR="00E00931" w:rsidRPr="004D41F5" w:rsidRDefault="00E00931" w:rsidP="00E00931">
      <w:pPr>
        <w:pStyle w:val="Questiontitle"/>
        <w:rPr>
          <w:lang w:val="es-ES"/>
        </w:rPr>
      </w:pPr>
      <w:r w:rsidRPr="004D41F5">
        <w:rPr>
          <w:lang w:val="es-ES"/>
        </w:rPr>
        <w:t>Sistemas de transporte inteligente</w:t>
      </w:r>
    </w:p>
    <w:p w:rsidR="00E00931" w:rsidRPr="004D41F5" w:rsidRDefault="00E00931" w:rsidP="00361D27">
      <w:pPr>
        <w:pStyle w:val="Questiondate"/>
        <w:spacing w:before="240"/>
        <w:rPr>
          <w:lang w:val="es-ES"/>
        </w:rPr>
      </w:pPr>
      <w:r w:rsidRPr="004D41F5">
        <w:rPr>
          <w:lang w:val="es-ES"/>
        </w:rPr>
        <w:t>(1995-1996-2002-2003-2007</w:t>
      </w:r>
      <w:r w:rsidR="00361D27">
        <w:rPr>
          <w:lang w:val="es-ES"/>
        </w:rPr>
        <w:t>-2012</w:t>
      </w:r>
      <w:r w:rsidRPr="004D41F5">
        <w:rPr>
          <w:lang w:val="es-ES"/>
        </w:rPr>
        <w:t>)</w:t>
      </w:r>
    </w:p>
    <w:p w:rsidR="00361D27" w:rsidRDefault="00361D27" w:rsidP="00361D27">
      <w:pPr>
        <w:rPr>
          <w:lang w:val="es-ES"/>
        </w:rPr>
      </w:pPr>
    </w:p>
    <w:p w:rsidR="00E00931" w:rsidRPr="004D41F5" w:rsidRDefault="00E00931" w:rsidP="00E00931">
      <w:pPr>
        <w:pStyle w:val="Normalaftertitle"/>
        <w:rPr>
          <w:lang w:val="es-ES"/>
        </w:rPr>
      </w:pPr>
      <w:r w:rsidRPr="004D41F5">
        <w:rPr>
          <w:lang w:val="es-ES"/>
        </w:rPr>
        <w:t>La Asamblea de Radiocomunicaciones de la UIT,</w:t>
      </w:r>
    </w:p>
    <w:p w:rsidR="00E00931" w:rsidRPr="004D41F5" w:rsidRDefault="00E00931" w:rsidP="00E00931">
      <w:pPr>
        <w:pStyle w:val="Call"/>
        <w:rPr>
          <w:lang w:val="es-ES"/>
        </w:rPr>
      </w:pPr>
      <w:r w:rsidRPr="004D41F5">
        <w:rPr>
          <w:lang w:val="es-ES"/>
        </w:rPr>
        <w:t>considerando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i/>
          <w:iCs/>
          <w:lang w:val="es-ES"/>
        </w:rPr>
        <w:t>a)</w:t>
      </w:r>
      <w:r w:rsidRPr="004D41F5">
        <w:rPr>
          <w:lang w:val="es-ES"/>
        </w:rPr>
        <w:tab/>
        <w:t>que es necesario incorporar nuevas tecnologías, incluidas las de radiocomunicaciones, en los sistemas de transporte terrestre;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i/>
          <w:iCs/>
          <w:lang w:val="es-ES"/>
        </w:rPr>
        <w:t>b)</w:t>
      </w:r>
      <w:r w:rsidRPr="004D41F5">
        <w:rPr>
          <w:lang w:val="es-ES"/>
        </w:rPr>
        <w:tab/>
        <w:t>que muchos sistemas de transporte terrestre nuevos hacen uso de dispositivos inteligentes en sus vehículos, junto con técnicas avanzadas para mejorar la gestión del tráfico;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i/>
          <w:iCs/>
          <w:lang w:val="es-ES"/>
        </w:rPr>
        <w:t>c)</w:t>
      </w:r>
      <w:r w:rsidRPr="004D41F5">
        <w:rPr>
          <w:lang w:val="es-ES"/>
        </w:rPr>
        <w:tab/>
        <w:t xml:space="preserve">que las tecnologías previstas para los sistemas de transporte inteligente (ITS, </w:t>
      </w:r>
      <w:r w:rsidRPr="004D41F5">
        <w:rPr>
          <w:i/>
          <w:iCs/>
          <w:lang w:val="es-ES"/>
        </w:rPr>
        <w:t>Intelligent Transport Systems</w:t>
      </w:r>
      <w:r w:rsidRPr="004D41F5">
        <w:rPr>
          <w:lang w:val="es-ES"/>
        </w:rPr>
        <w:t>) pueden aplicarse también a los sistemas de transporte público (de pasajeros) para mejorar su eficacia y la utilización combinada de todas las formas de transporte por superficie;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i/>
          <w:iCs/>
          <w:lang w:val="es-ES"/>
        </w:rPr>
        <w:t>d)</w:t>
      </w:r>
      <w:r w:rsidRPr="004D41F5">
        <w:rPr>
          <w:lang w:val="es-ES"/>
        </w:rPr>
        <w:tab/>
        <w:t>que en diversas regiones las Administraciones están planificando y construyendo sistemas ITS;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i/>
          <w:iCs/>
          <w:lang w:val="es-ES"/>
        </w:rPr>
        <w:t>e)</w:t>
      </w:r>
      <w:r w:rsidRPr="004D41F5">
        <w:rPr>
          <w:lang w:val="es-ES"/>
        </w:rPr>
        <w:tab/>
        <w:t xml:space="preserve">que existe una amplia variedad de aplicaciones y servicios, incluidos el de localización automática de vehículos (AVL, </w:t>
      </w:r>
      <w:r w:rsidRPr="004D41F5">
        <w:rPr>
          <w:i/>
          <w:iCs/>
          <w:lang w:val="es-ES"/>
        </w:rPr>
        <w:t>automatic vehicle location</w:t>
      </w:r>
      <w:r w:rsidRPr="004D41F5">
        <w:rPr>
          <w:lang w:val="es-ES"/>
        </w:rPr>
        <w:t>);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i/>
          <w:iCs/>
          <w:lang w:val="es-ES"/>
        </w:rPr>
        <w:t>f)</w:t>
      </w:r>
      <w:r w:rsidRPr="004D41F5">
        <w:rPr>
          <w:lang w:val="es-ES"/>
        </w:rPr>
        <w:tab/>
        <w:t>que el establecimiento de normas técnicas internacionales facilitará la aplicación de los sistemas ITS en todo el mundo y permitirá hacer economías de escala en el suministro al público de equipos y servicios ITS;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i/>
          <w:iCs/>
          <w:lang w:val="es-ES"/>
        </w:rPr>
        <w:t>g)</w:t>
      </w:r>
      <w:r w:rsidRPr="004D41F5">
        <w:rPr>
          <w:lang w:val="es-ES"/>
        </w:rPr>
        <w:tab/>
        <w:t>la conveniencia de lograr una armonización internacional de los ITS en su fase inicial;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i/>
          <w:iCs/>
          <w:lang w:val="es-ES"/>
        </w:rPr>
        <w:t>h)</w:t>
      </w:r>
      <w:r w:rsidRPr="004D41F5">
        <w:rPr>
          <w:lang w:val="es-ES"/>
        </w:rPr>
        <w:tab/>
        <w:t>que la compatibilidad de los ITS a escala mundial puede depender de la existencia de atribuciones comunes de espectro radioeléctrico;</w:t>
      </w:r>
    </w:p>
    <w:p w:rsidR="00E00931" w:rsidRPr="004D41F5" w:rsidRDefault="000759EA" w:rsidP="00E00931">
      <w:pPr>
        <w:rPr>
          <w:lang w:val="es-ES"/>
        </w:rPr>
      </w:pPr>
      <w:r>
        <w:rPr>
          <w:i/>
          <w:iCs/>
          <w:lang w:val="es-ES"/>
        </w:rPr>
        <w:t>i</w:t>
      </w:r>
      <w:r w:rsidR="00E00931" w:rsidRPr="00361D27">
        <w:rPr>
          <w:i/>
          <w:iCs/>
          <w:lang w:val="es-ES"/>
        </w:rPr>
        <w:t>)</w:t>
      </w:r>
      <w:r w:rsidR="00E00931" w:rsidRPr="004D41F5">
        <w:rPr>
          <w:lang w:val="es-ES"/>
        </w:rPr>
        <w:tab/>
        <w:t>que la radiocomunicación es un componente esencial de los ITS;</w:t>
      </w:r>
    </w:p>
    <w:p w:rsidR="00E00931" w:rsidRPr="004D41F5" w:rsidRDefault="000759EA" w:rsidP="00E00931">
      <w:pPr>
        <w:rPr>
          <w:lang w:val="es-ES"/>
        </w:rPr>
      </w:pPr>
      <w:r>
        <w:rPr>
          <w:i/>
          <w:iCs/>
          <w:lang w:val="es-ES"/>
        </w:rPr>
        <w:t>j</w:t>
      </w:r>
      <w:r w:rsidR="00E00931" w:rsidRPr="00361D27">
        <w:rPr>
          <w:i/>
          <w:iCs/>
          <w:lang w:val="es-ES"/>
        </w:rPr>
        <w:t>)</w:t>
      </w:r>
      <w:r w:rsidR="00E00931" w:rsidRPr="004D41F5">
        <w:rPr>
          <w:lang w:val="es-ES"/>
        </w:rPr>
        <w:tab/>
        <w:t>que la Organización Internacional de Normalización (ISO) está normalizando los ITS (aspectos ajenos a las radiocomunicaciones) en ISO/TC204;</w:t>
      </w:r>
    </w:p>
    <w:p w:rsidR="00E00931" w:rsidRPr="004D41F5" w:rsidRDefault="000759EA" w:rsidP="00E00931">
      <w:pPr>
        <w:rPr>
          <w:lang w:val="es-ES"/>
        </w:rPr>
      </w:pPr>
      <w:r>
        <w:rPr>
          <w:i/>
          <w:iCs/>
          <w:lang w:val="es-ES"/>
        </w:rPr>
        <w:t>k</w:t>
      </w:r>
      <w:r w:rsidR="00E00931" w:rsidRPr="00361D27">
        <w:rPr>
          <w:i/>
          <w:iCs/>
          <w:lang w:val="es-ES"/>
        </w:rPr>
        <w:t>)</w:t>
      </w:r>
      <w:r w:rsidR="00E00931" w:rsidRPr="004D41F5">
        <w:rPr>
          <w:lang w:val="es-ES"/>
        </w:rPr>
        <w:tab/>
        <w:t>que la Asamblea de Radiocomunicaciones de la UIT ha aprobado la Recomendación UIT</w:t>
      </w:r>
      <w:r w:rsidR="00E00931">
        <w:rPr>
          <w:lang w:val="es-ES"/>
        </w:rPr>
        <w:noBreakHyphen/>
        <w:t>R </w:t>
      </w:r>
      <w:r w:rsidR="00E00931" w:rsidRPr="004D41F5">
        <w:rPr>
          <w:lang w:val="es-ES"/>
        </w:rPr>
        <w:t>M.1453 «Sistemas de transporte inteligente – Comunicaciones especializadas de corto alcance a 5,8 GHz»,</w:t>
      </w:r>
    </w:p>
    <w:p w:rsidR="00E00931" w:rsidRPr="004D41F5" w:rsidRDefault="00E00931" w:rsidP="00E00931">
      <w:pPr>
        <w:pStyle w:val="Call"/>
        <w:rPr>
          <w:i w:val="0"/>
          <w:iCs/>
          <w:lang w:val="es-ES"/>
        </w:rPr>
      </w:pPr>
      <w:r w:rsidRPr="004D41F5">
        <w:rPr>
          <w:lang w:val="es-ES"/>
        </w:rPr>
        <w:t xml:space="preserve">decide </w:t>
      </w:r>
      <w:r w:rsidRPr="004D41F5">
        <w:rPr>
          <w:i w:val="0"/>
          <w:iCs/>
          <w:lang w:val="es-ES"/>
        </w:rPr>
        <w:t>poner a estudio las siguientes Cuestiones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lang w:val="es-ES"/>
        </w:rPr>
        <w:t>1</w:t>
      </w:r>
      <w:r w:rsidRPr="004D41F5">
        <w:rPr>
          <w:lang w:val="es-ES"/>
        </w:rPr>
        <w:tab/>
        <w:t>¿Cuáles son los diferentes elementos de los ITS?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lang w:val="es-ES"/>
        </w:rPr>
        <w:t>2</w:t>
      </w:r>
      <w:r w:rsidRPr="004D41F5">
        <w:rPr>
          <w:lang w:val="es-ES"/>
        </w:rPr>
        <w:tab/>
        <w:t>¿Cuáles son los objetivos generales de los ITS con respecto a:</w:t>
      </w:r>
    </w:p>
    <w:p w:rsidR="00E00931" w:rsidRPr="004D41F5" w:rsidRDefault="00E00931" w:rsidP="00E00931">
      <w:pPr>
        <w:pStyle w:val="enumlev1"/>
        <w:rPr>
          <w:lang w:val="es-ES"/>
        </w:rPr>
      </w:pPr>
      <w:r w:rsidRPr="004D41F5">
        <w:rPr>
          <w:lang w:val="es-ES"/>
        </w:rPr>
        <w:lastRenderedPageBreak/>
        <w:t>–</w:t>
      </w:r>
      <w:r w:rsidRPr="004D41F5">
        <w:rPr>
          <w:lang w:val="es-ES"/>
        </w:rPr>
        <w:tab/>
        <w:t>las necesidades de radiocomunicación: las interfaces radioeléctricas, la fiabilidad, el grado de servicio, etc.;</w:t>
      </w:r>
    </w:p>
    <w:p w:rsidR="00E00931" w:rsidRPr="004D41F5" w:rsidRDefault="00E00931" w:rsidP="00E00931">
      <w:pPr>
        <w:pStyle w:val="enumlev1"/>
        <w:rPr>
          <w:lang w:val="es-ES"/>
        </w:rPr>
      </w:pPr>
      <w:r w:rsidRPr="004D41F5">
        <w:rPr>
          <w:lang w:val="es-ES"/>
        </w:rPr>
        <w:t>–</w:t>
      </w:r>
      <w:r w:rsidRPr="004D41F5">
        <w:rPr>
          <w:lang w:val="es-ES"/>
        </w:rPr>
        <w:tab/>
        <w:t>los factores de mejora: la reducción de la congestión, la seguridad, el control, la calidad de vida, etc.;</w:t>
      </w:r>
    </w:p>
    <w:p w:rsidR="00E00931" w:rsidRPr="004D41F5" w:rsidRDefault="00E00931" w:rsidP="00E00931">
      <w:pPr>
        <w:pStyle w:val="enumlev1"/>
        <w:rPr>
          <w:lang w:val="es-ES"/>
        </w:rPr>
      </w:pPr>
      <w:r w:rsidRPr="004D41F5">
        <w:rPr>
          <w:lang w:val="es-ES"/>
        </w:rPr>
        <w:t>–</w:t>
      </w:r>
      <w:r w:rsidRPr="004D41F5">
        <w:rPr>
          <w:lang w:val="es-ES"/>
        </w:rPr>
        <w:tab/>
        <w:t>el tipo de servicios?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lang w:val="es-ES"/>
        </w:rPr>
        <w:t>3</w:t>
      </w:r>
      <w:r w:rsidRPr="004D41F5">
        <w:rPr>
          <w:lang w:val="es-ES"/>
        </w:rPr>
        <w:tab/>
        <w:t>¿Para qué servicios y funciones radioeléctricos de los ITS puede resultar beneficiosa la normalización internacional?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lang w:val="es-ES"/>
        </w:rPr>
        <w:t>4</w:t>
      </w:r>
      <w:r w:rsidRPr="004D41F5">
        <w:rPr>
          <w:lang w:val="es-ES"/>
        </w:rPr>
        <w:tab/>
        <w:t>¿Cuáles son las necesidades de espectro de cada elemento de los ITS, es decir:</w:t>
      </w:r>
    </w:p>
    <w:p w:rsidR="00E00931" w:rsidRPr="004D41F5" w:rsidRDefault="00E00931" w:rsidP="00E00931">
      <w:pPr>
        <w:pStyle w:val="enumlev1"/>
        <w:rPr>
          <w:lang w:val="es-ES"/>
        </w:rPr>
      </w:pPr>
      <w:r w:rsidRPr="004D41F5">
        <w:rPr>
          <w:lang w:val="es-ES"/>
        </w:rPr>
        <w:t>–</w:t>
      </w:r>
      <w:r w:rsidRPr="004D41F5">
        <w:rPr>
          <w:lang w:val="es-ES"/>
        </w:rPr>
        <w:tab/>
        <w:t>las bandas adecuadas;</w:t>
      </w:r>
    </w:p>
    <w:p w:rsidR="00E00931" w:rsidRPr="004D41F5" w:rsidRDefault="00E00931" w:rsidP="00E00931">
      <w:pPr>
        <w:pStyle w:val="enumlev1"/>
        <w:rPr>
          <w:lang w:val="es-ES"/>
        </w:rPr>
      </w:pPr>
      <w:r w:rsidRPr="004D41F5">
        <w:rPr>
          <w:lang w:val="es-ES"/>
        </w:rPr>
        <w:t>–</w:t>
      </w:r>
      <w:r w:rsidRPr="004D41F5">
        <w:rPr>
          <w:lang w:val="es-ES"/>
        </w:rPr>
        <w:tab/>
        <w:t>la anchura de banda necesaria?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lang w:val="es-ES"/>
        </w:rPr>
        <w:t>5</w:t>
      </w:r>
      <w:r w:rsidRPr="004D41F5">
        <w:rPr>
          <w:lang w:val="es-ES"/>
        </w:rPr>
        <w:tab/>
        <w:t>¿Cuáles son las necesidades de interconexión de los ITS con las redes de telecomunicación con conmutación?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lang w:val="es-ES"/>
        </w:rPr>
        <w:t>6</w:t>
      </w:r>
      <w:r w:rsidRPr="004D41F5">
        <w:rPr>
          <w:lang w:val="es-ES"/>
        </w:rPr>
        <w:tab/>
        <w:t>¿Qué factores técnicos afectan a la compartición entre los ITS y otros usuarios?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lang w:val="es-ES"/>
        </w:rPr>
        <w:t>7</w:t>
      </w:r>
      <w:r w:rsidRPr="004D41F5">
        <w:rPr>
          <w:lang w:val="es-ES"/>
        </w:rPr>
        <w:tab/>
        <w:t>¿En qué medida pueden utilizarse los sistemas de telecomunicación móvil en evolución para prestar servicios ITS?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lang w:val="es-ES"/>
        </w:rPr>
        <w:t>8</w:t>
      </w:r>
      <w:r w:rsidRPr="004D41F5">
        <w:rPr>
          <w:lang w:val="es-ES"/>
        </w:rPr>
        <w:tab/>
        <w:t>¿Cuáles son los requisitos y las especificaciones técnicas necesarios para la armonización mundial o regional de las radiocomunicaciones para la próxima generación de los ITS?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lang w:val="es-ES"/>
        </w:rPr>
        <w:t>9</w:t>
      </w:r>
      <w:r w:rsidRPr="004D41F5">
        <w:rPr>
          <w:lang w:val="es-ES"/>
        </w:rPr>
        <w:tab/>
        <w:t>¿Cuál es la definición de «telemática» en el contexto de los ITS? ¿Cuáles son los requisitos de los sistemas y aplicaciones de telemática en dicho contexto? ¿Cuáles son los requisitos de telemática para las comunicaciones móviles terrestres?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lang w:val="es-ES"/>
        </w:rPr>
        <w:t>10</w:t>
      </w:r>
      <w:r w:rsidRPr="004D41F5">
        <w:rPr>
          <w:lang w:val="es-ES"/>
        </w:rPr>
        <w:tab/>
        <w:t>¿Cuáles son las características técnicas y de funcionamiento del AVL en el servicio móvil terrestre?</w:t>
      </w:r>
    </w:p>
    <w:p w:rsidR="00E00931" w:rsidRPr="004D41F5" w:rsidRDefault="00E00931" w:rsidP="00E00931">
      <w:pPr>
        <w:pStyle w:val="Call"/>
        <w:rPr>
          <w:lang w:val="es-ES"/>
        </w:rPr>
      </w:pPr>
      <w:r w:rsidRPr="004D41F5">
        <w:rPr>
          <w:lang w:val="es-ES"/>
        </w:rPr>
        <w:t>decide también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lang w:val="es-ES"/>
        </w:rPr>
        <w:t>1</w:t>
      </w:r>
      <w:r w:rsidRPr="004D41F5">
        <w:rPr>
          <w:lang w:val="es-ES"/>
        </w:rPr>
        <w:tab/>
        <w:t>que los resultados de estos estudios se incluyan en una o varias Recomendaciones, Informes o Manuales;</w:t>
      </w:r>
    </w:p>
    <w:p w:rsidR="00E00931" w:rsidRPr="004D41F5" w:rsidRDefault="00E00931" w:rsidP="00E00931">
      <w:pPr>
        <w:rPr>
          <w:lang w:val="es-ES"/>
        </w:rPr>
      </w:pPr>
      <w:r w:rsidRPr="00361D27">
        <w:rPr>
          <w:lang w:val="es-ES"/>
        </w:rPr>
        <w:t>2</w:t>
      </w:r>
      <w:r w:rsidRPr="004D41F5">
        <w:rPr>
          <w:lang w:val="es-ES"/>
        </w:rPr>
        <w:tab/>
        <w:t>que dichos estudios se terminen en 201</w:t>
      </w:r>
      <w:r w:rsidR="006B358D">
        <w:rPr>
          <w:lang w:val="es-ES"/>
        </w:rPr>
        <w:t>9</w:t>
      </w:r>
      <w:bookmarkStart w:id="0" w:name="_GoBack"/>
      <w:bookmarkEnd w:id="0"/>
      <w:r w:rsidRPr="004D41F5">
        <w:rPr>
          <w:lang w:val="es-ES"/>
        </w:rPr>
        <w:t>.</w:t>
      </w:r>
    </w:p>
    <w:p w:rsidR="00E00931" w:rsidRPr="0094263C" w:rsidRDefault="00E00931" w:rsidP="00361D27">
      <w:pPr>
        <w:spacing w:before="240"/>
        <w:rPr>
          <w:lang w:val="es-ES"/>
        </w:rPr>
      </w:pPr>
      <w:r w:rsidRPr="0094263C">
        <w:rPr>
          <w:lang w:val="es-ES"/>
        </w:rPr>
        <w:t xml:space="preserve">Categoría: </w:t>
      </w:r>
      <w:r>
        <w:rPr>
          <w:lang w:val="es-ES"/>
        </w:rPr>
        <w:t xml:space="preserve"> </w:t>
      </w:r>
      <w:r w:rsidRPr="0094263C">
        <w:rPr>
          <w:lang w:val="es-ES"/>
        </w:rPr>
        <w:t>S2</w:t>
      </w:r>
    </w:p>
    <w:p w:rsidR="00E00931" w:rsidRPr="0094263C" w:rsidRDefault="00E00931" w:rsidP="00E00931">
      <w:pPr>
        <w:pStyle w:val="Normalaftertitle"/>
        <w:rPr>
          <w:lang w:val="es-ES"/>
        </w:rPr>
      </w:pPr>
    </w:p>
    <w:sectPr w:rsidR="00E00931" w:rsidRPr="0094263C" w:rsidSect="00FC6F4E">
      <w:headerReference w:type="default" r:id="rId8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E2" w:rsidRDefault="00F760E2">
      <w:r>
        <w:separator/>
      </w:r>
    </w:p>
  </w:endnote>
  <w:endnote w:type="continuationSeparator" w:id="0">
    <w:p w:rsidR="00F760E2" w:rsidRDefault="00F7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E2" w:rsidRDefault="00F760E2">
      <w:r>
        <w:t>____________________</w:t>
      </w:r>
    </w:p>
  </w:footnote>
  <w:footnote w:type="continuationSeparator" w:id="0">
    <w:p w:rsidR="00F760E2" w:rsidRDefault="00F760E2">
      <w:r>
        <w:continuationSeparator/>
      </w:r>
    </w:p>
  </w:footnote>
  <w:footnote w:id="1">
    <w:p w:rsidR="000759EA" w:rsidRPr="000759EA" w:rsidRDefault="000759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6FD">
        <w:t>En el año 201</w:t>
      </w:r>
      <w:r>
        <w:t>5</w:t>
      </w:r>
      <w:r w:rsidRPr="00C276FD">
        <w:t>,</w:t>
      </w:r>
      <w:r>
        <w:t xml:space="preserve"> la Comisión de Estudio </w:t>
      </w:r>
      <w:r>
        <w:t>5</w:t>
      </w:r>
      <w:r w:rsidRPr="00C276FD">
        <w:t xml:space="preserve"> de Radiocomunicaciones pospuso la fecha de finalización de los estudios para esta Cuestión.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E2" w:rsidRDefault="00F760E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358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760E2" w:rsidRPr="00F96264" w:rsidRDefault="00F760E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F49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72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02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96A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18C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FE1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2C5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67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52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6C2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07F40"/>
    <w:multiLevelType w:val="hybridMultilevel"/>
    <w:tmpl w:val="52F6F8A8"/>
    <w:lvl w:ilvl="0" w:tplc="4DBEE5B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34C11"/>
    <w:multiLevelType w:val="hybridMultilevel"/>
    <w:tmpl w:val="240E7BE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808CB"/>
    <w:multiLevelType w:val="hybridMultilevel"/>
    <w:tmpl w:val="56F08C4A"/>
    <w:lvl w:ilvl="0" w:tplc="53ECD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68779D"/>
    <w:multiLevelType w:val="hybridMultilevel"/>
    <w:tmpl w:val="FF54D30A"/>
    <w:lvl w:ilvl="0" w:tplc="6E02D294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641B0"/>
    <w:multiLevelType w:val="hybridMultilevel"/>
    <w:tmpl w:val="9F9CB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3728"/>
    <w:multiLevelType w:val="hybridMultilevel"/>
    <w:tmpl w:val="3D204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42E9B"/>
    <w:multiLevelType w:val="hybridMultilevel"/>
    <w:tmpl w:val="BDFAD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54A27"/>
    <w:multiLevelType w:val="hybridMultilevel"/>
    <w:tmpl w:val="FF02A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E24FE"/>
    <w:multiLevelType w:val="hybridMultilevel"/>
    <w:tmpl w:val="4F56E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263B8"/>
    <w:multiLevelType w:val="hybridMultilevel"/>
    <w:tmpl w:val="673CFF70"/>
    <w:lvl w:ilvl="0" w:tplc="F6C0EC7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46625"/>
    <w:multiLevelType w:val="hybridMultilevel"/>
    <w:tmpl w:val="7A404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55D6E"/>
    <w:multiLevelType w:val="hybridMultilevel"/>
    <w:tmpl w:val="5AE80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E35CC"/>
    <w:multiLevelType w:val="hybridMultilevel"/>
    <w:tmpl w:val="85965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84887"/>
    <w:multiLevelType w:val="hybridMultilevel"/>
    <w:tmpl w:val="5E64892C"/>
    <w:lvl w:ilvl="0" w:tplc="4B78937C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B20EB"/>
    <w:multiLevelType w:val="hybridMultilevel"/>
    <w:tmpl w:val="D7E63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7"/>
  </w:num>
  <w:num w:numId="14">
    <w:abstractNumId w:val="11"/>
  </w:num>
  <w:num w:numId="15">
    <w:abstractNumId w:val="16"/>
  </w:num>
  <w:num w:numId="16">
    <w:abstractNumId w:val="12"/>
  </w:num>
  <w:num w:numId="17">
    <w:abstractNumId w:val="15"/>
  </w:num>
  <w:num w:numId="18">
    <w:abstractNumId w:val="22"/>
  </w:num>
  <w:num w:numId="19">
    <w:abstractNumId w:val="25"/>
  </w:num>
  <w:num w:numId="20">
    <w:abstractNumId w:val="19"/>
  </w:num>
  <w:num w:numId="21">
    <w:abstractNumId w:val="24"/>
  </w:num>
  <w:num w:numId="22">
    <w:abstractNumId w:val="20"/>
  </w:num>
  <w:num w:numId="23">
    <w:abstractNumId w:val="14"/>
  </w:num>
  <w:num w:numId="24">
    <w:abstractNumId w:val="23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DF"/>
    <w:rsid w:val="00042AD7"/>
    <w:rsid w:val="000759EA"/>
    <w:rsid w:val="000A1060"/>
    <w:rsid w:val="00131358"/>
    <w:rsid w:val="00160366"/>
    <w:rsid w:val="001D1E4E"/>
    <w:rsid w:val="00240010"/>
    <w:rsid w:val="0025343E"/>
    <w:rsid w:val="0027071F"/>
    <w:rsid w:val="002857FF"/>
    <w:rsid w:val="00295470"/>
    <w:rsid w:val="002B167B"/>
    <w:rsid w:val="00361D27"/>
    <w:rsid w:val="0041158D"/>
    <w:rsid w:val="004E653E"/>
    <w:rsid w:val="00507FBD"/>
    <w:rsid w:val="00564814"/>
    <w:rsid w:val="005934BB"/>
    <w:rsid w:val="005C71E7"/>
    <w:rsid w:val="00647699"/>
    <w:rsid w:val="00680813"/>
    <w:rsid w:val="006A7F8A"/>
    <w:rsid w:val="006B358D"/>
    <w:rsid w:val="006C6006"/>
    <w:rsid w:val="0071204A"/>
    <w:rsid w:val="00737D33"/>
    <w:rsid w:val="00742812"/>
    <w:rsid w:val="007839FC"/>
    <w:rsid w:val="007864B4"/>
    <w:rsid w:val="007D51DB"/>
    <w:rsid w:val="00810C1B"/>
    <w:rsid w:val="008C0625"/>
    <w:rsid w:val="008D0040"/>
    <w:rsid w:val="008D276B"/>
    <w:rsid w:val="008E4322"/>
    <w:rsid w:val="0090622B"/>
    <w:rsid w:val="0094263C"/>
    <w:rsid w:val="009544E4"/>
    <w:rsid w:val="00A10ED7"/>
    <w:rsid w:val="00AC6C98"/>
    <w:rsid w:val="00AE07DC"/>
    <w:rsid w:val="00B43985"/>
    <w:rsid w:val="00B4631C"/>
    <w:rsid w:val="00B7094F"/>
    <w:rsid w:val="00BD0273"/>
    <w:rsid w:val="00BD03C9"/>
    <w:rsid w:val="00C038E3"/>
    <w:rsid w:val="00C042BE"/>
    <w:rsid w:val="00C34FDF"/>
    <w:rsid w:val="00C474AE"/>
    <w:rsid w:val="00C66181"/>
    <w:rsid w:val="00C879BC"/>
    <w:rsid w:val="00D04A11"/>
    <w:rsid w:val="00D105BE"/>
    <w:rsid w:val="00D2665D"/>
    <w:rsid w:val="00D74DEA"/>
    <w:rsid w:val="00DA6E3C"/>
    <w:rsid w:val="00E00931"/>
    <w:rsid w:val="00E16F3F"/>
    <w:rsid w:val="00E823EC"/>
    <w:rsid w:val="00EC6A9D"/>
    <w:rsid w:val="00F033C3"/>
    <w:rsid w:val="00F040D4"/>
    <w:rsid w:val="00F760E2"/>
    <w:rsid w:val="00F96264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81B6CDB1-9F61-4040-91F2-F9BEB553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h21">
    <w:name w:val="h21"/>
    <w:basedOn w:val="DefaultParagraphFont"/>
    <w:rsid w:val="00680813"/>
    <w:rPr>
      <w:b/>
      <w:bCs/>
      <w:color w:val="3366CC"/>
      <w:sz w:val="36"/>
      <w:szCs w:val="36"/>
    </w:rPr>
  </w:style>
  <w:style w:type="character" w:customStyle="1" w:styleId="Title1Char">
    <w:name w:val="Title 1 Char"/>
    <w:link w:val="Title1"/>
    <w:locked/>
    <w:rsid w:val="00680813"/>
    <w:rPr>
      <w:rFonts w:ascii="Times New Roman" w:hAnsi="Times New Roman"/>
      <w:caps/>
      <w:sz w:val="28"/>
      <w:lang w:val="es-ES_tradnl" w:eastAsia="en-US"/>
    </w:rPr>
  </w:style>
  <w:style w:type="paragraph" w:customStyle="1" w:styleId="headfoot">
    <w:name w:val="head_foot"/>
    <w:basedOn w:val="Normal"/>
    <w:next w:val="Normalaftertitle0"/>
    <w:rsid w:val="0068081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680813"/>
    <w:rPr>
      <w:rFonts w:ascii="Times New Roman" w:hAnsi="Times New Roman"/>
      <w:b/>
      <w:sz w:val="28"/>
      <w:lang w:val="es-ES_tradnl" w:eastAsia="en-US"/>
    </w:rPr>
  </w:style>
  <w:style w:type="paragraph" w:customStyle="1" w:styleId="call0">
    <w:name w:val="call"/>
    <w:basedOn w:val="Normal"/>
    <w:next w:val="Normal"/>
    <w:rsid w:val="0068081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styleId="BodyTextIndent2">
    <w:name w:val="Body Text Indent 2"/>
    <w:basedOn w:val="Normal"/>
    <w:link w:val="BodyTextIndent2Char"/>
    <w:rsid w:val="0068081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80813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00931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E00931"/>
    <w:rPr>
      <w:rFonts w:ascii="Times New Roman" w:hAnsi="Times New Roman"/>
      <w:sz w:val="18"/>
      <w:lang w:val="es-ES_tradnl" w:eastAsia="en-US"/>
    </w:rPr>
  </w:style>
  <w:style w:type="paragraph" w:customStyle="1" w:styleId="Tabletitle">
    <w:name w:val="Table_title"/>
    <w:basedOn w:val="Normal"/>
    <w:next w:val="Tablehead"/>
    <w:rsid w:val="00E00931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E00931"/>
    <w:pPr>
      <w:keepNext/>
      <w:spacing w:before="560" w:after="120"/>
      <w:jc w:val="center"/>
    </w:pPr>
    <w:rPr>
      <w:caps/>
    </w:rPr>
  </w:style>
  <w:style w:type="paragraph" w:customStyle="1" w:styleId="AppendixNoTitle0">
    <w:name w:val="Appendix_NoTitle"/>
    <w:basedOn w:val="AnnexNoTitle0"/>
    <w:next w:val="Normalaftertitle"/>
    <w:rsid w:val="00E00931"/>
    <w:rPr>
      <w:lang w:val="es-ES_tradnl"/>
    </w:rPr>
  </w:style>
  <w:style w:type="paragraph" w:customStyle="1" w:styleId="Figuretitle">
    <w:name w:val="Figure_title"/>
    <w:basedOn w:val="Tabletitle"/>
    <w:next w:val="Normal"/>
    <w:rsid w:val="00E00931"/>
  </w:style>
  <w:style w:type="paragraph" w:customStyle="1" w:styleId="FigureNo">
    <w:name w:val="Figure_No"/>
    <w:basedOn w:val="Normal"/>
    <w:next w:val="Figuretitle"/>
    <w:rsid w:val="00E00931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rsid w:val="00E00931"/>
  </w:style>
  <w:style w:type="paragraph" w:customStyle="1" w:styleId="QuestionNo0">
    <w:name w:val="Question_No_"/>
    <w:basedOn w:val="QuestionNo"/>
    <w:rsid w:val="00E00931"/>
    <w:pPr>
      <w:spacing w:before="480"/>
      <w:jc w:val="center"/>
    </w:pPr>
    <w:rPr>
      <w:b w:val="0"/>
      <w:caps/>
    </w:rPr>
  </w:style>
  <w:style w:type="paragraph" w:customStyle="1" w:styleId="Char">
    <w:name w:val="Char"/>
    <w:basedOn w:val="Normal"/>
    <w:rsid w:val="00E0093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00931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E00931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00931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E009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0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B530F-7DC5-4DC2-B8E8-120B174F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3521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Sir Bosson, Ana</cp:lastModifiedBy>
  <cp:revision>5</cp:revision>
  <cp:lastPrinted>2012-04-02T09:10:00Z</cp:lastPrinted>
  <dcterms:created xsi:type="dcterms:W3CDTF">2012-04-03T14:11:00Z</dcterms:created>
  <dcterms:modified xsi:type="dcterms:W3CDTF">2015-08-12T09:47:00Z</dcterms:modified>
</cp:coreProperties>
</file>