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D74C" w14:textId="77777777" w:rsidR="0039583F" w:rsidRPr="00A34E00" w:rsidRDefault="0039583F" w:rsidP="00296365">
      <w:pPr>
        <w:pStyle w:val="QuestionNoBR"/>
        <w:rPr>
          <w:w w:val="120"/>
          <w:sz w:val="18"/>
          <w:szCs w:val="18"/>
          <w:lang w:val="en-US" w:bidi="ar-EG"/>
        </w:rPr>
      </w:pPr>
      <w:r w:rsidRPr="00A742F7">
        <w:rPr>
          <w:w w:val="120"/>
          <w:szCs w:val="40"/>
          <w:rtl/>
          <w:lang w:bidi="ar-EG"/>
        </w:rPr>
        <w:t>المسألة</w:t>
      </w:r>
      <w:r w:rsidRPr="00A742F7">
        <w:rPr>
          <w:rFonts w:hint="cs"/>
          <w:w w:val="120"/>
          <w:szCs w:val="40"/>
          <w:rtl/>
        </w:rPr>
        <w:t xml:space="preserve"> </w:t>
      </w:r>
      <w:r w:rsidRPr="00A742F7">
        <w:rPr>
          <w:w w:val="120"/>
          <w:szCs w:val="40"/>
          <w:lang w:bidi="ar-EG"/>
        </w:rPr>
        <w:t>ITU-R 110-</w:t>
      </w:r>
      <w:r w:rsidR="00296365">
        <w:rPr>
          <w:w w:val="120"/>
          <w:szCs w:val="40"/>
          <w:lang w:bidi="ar-EG"/>
        </w:rPr>
        <w:t>3</w:t>
      </w:r>
      <w:r w:rsidRPr="00A742F7">
        <w:rPr>
          <w:w w:val="120"/>
          <w:szCs w:val="40"/>
          <w:lang w:bidi="ar-EG"/>
        </w:rPr>
        <w:t>/5</w:t>
      </w:r>
      <w:r w:rsidR="00A34E00" w:rsidRPr="00A34E00">
        <w:rPr>
          <w:rStyle w:val="FootnoteReference"/>
          <w:w w:val="120"/>
          <w:szCs w:val="18"/>
          <w:lang w:bidi="ar-EG"/>
        </w:rPr>
        <w:footnoteReference w:id="1"/>
      </w:r>
    </w:p>
    <w:p w14:paraId="51124BEF" w14:textId="77777777" w:rsidR="0039583F" w:rsidRPr="00A742F7" w:rsidRDefault="0039583F" w:rsidP="00EE452A">
      <w:pPr>
        <w:pStyle w:val="Questiontitle"/>
        <w:rPr>
          <w:sz w:val="28"/>
          <w:szCs w:val="40"/>
          <w:rtl/>
        </w:rPr>
      </w:pPr>
      <w:r w:rsidRPr="00A742F7">
        <w:rPr>
          <w:rFonts w:hint="eastAsia"/>
          <w:sz w:val="28"/>
          <w:szCs w:val="40"/>
          <w:rtl/>
        </w:rPr>
        <w:t>مخططات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إشعاع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cs"/>
          <w:sz w:val="28"/>
          <w:szCs w:val="40"/>
          <w:rtl/>
        </w:rPr>
        <w:t xml:space="preserve">مرجعية لهوائيات الأنظمة </w:t>
      </w:r>
      <w:r w:rsidRPr="00A742F7">
        <w:rPr>
          <w:rFonts w:hint="eastAsia"/>
          <w:sz w:val="28"/>
          <w:szCs w:val="40"/>
          <w:rtl/>
        </w:rPr>
        <w:t>اللاسلكية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الثابتة</w:t>
      </w:r>
      <w:r w:rsidRPr="00A742F7">
        <w:rPr>
          <w:sz w:val="28"/>
          <w:szCs w:val="40"/>
          <w:rtl/>
        </w:rPr>
        <w:br/>
      </w:r>
      <w:r w:rsidRPr="00A742F7">
        <w:rPr>
          <w:rFonts w:hint="eastAsia"/>
          <w:sz w:val="28"/>
          <w:szCs w:val="40"/>
          <w:rtl/>
        </w:rPr>
        <w:t>من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نقطة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إلى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نقطة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لاستعمالها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في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دراسات</w:t>
      </w:r>
      <w:r w:rsidRPr="00A742F7">
        <w:rPr>
          <w:sz w:val="28"/>
          <w:szCs w:val="40"/>
          <w:rtl/>
        </w:rPr>
        <w:t xml:space="preserve"> </w:t>
      </w:r>
      <w:r w:rsidRPr="00A742F7">
        <w:rPr>
          <w:rFonts w:hint="eastAsia"/>
          <w:sz w:val="28"/>
          <w:szCs w:val="40"/>
          <w:rtl/>
        </w:rPr>
        <w:t>التقاسم</w:t>
      </w:r>
    </w:p>
    <w:p w14:paraId="45F7FB0C" w14:textId="77777777" w:rsidR="0039583F" w:rsidRPr="00912533" w:rsidRDefault="0039583F" w:rsidP="0039583F">
      <w:pPr>
        <w:pStyle w:val="Questiondate"/>
        <w:rPr>
          <w:rtl/>
          <w:lang w:val="en-US" w:bidi="ar-EG"/>
        </w:rPr>
      </w:pPr>
      <w:r>
        <w:rPr>
          <w:lang w:val="en-US" w:bidi="ar-EG"/>
        </w:rPr>
        <w:t>(</w:t>
      </w:r>
      <w:r w:rsidR="00296365">
        <w:rPr>
          <w:lang w:val="en-US" w:bidi="ar-EG"/>
        </w:rPr>
        <w:t>2012-</w:t>
      </w:r>
      <w:r>
        <w:rPr>
          <w:lang w:val="en-US" w:bidi="ar-EG"/>
        </w:rPr>
        <w:t>2008-2003-1990)</w:t>
      </w:r>
    </w:p>
    <w:p w14:paraId="5566D26D" w14:textId="77777777" w:rsidR="0039583F" w:rsidRDefault="0039583F" w:rsidP="0039583F">
      <w:pPr>
        <w:pStyle w:val="Normalaftertitle"/>
        <w:rPr>
          <w:rtl/>
          <w:lang w:val="en-US" w:bidi="ar-EG"/>
        </w:rPr>
      </w:pPr>
      <w:r>
        <w:rPr>
          <w:rtl/>
          <w:lang w:val="en-US" w:bidi="ar-EG"/>
        </w:rPr>
        <w:t xml:space="preserve">إن جمعية الاتصالات الراديوية </w:t>
      </w:r>
      <w:r>
        <w:rPr>
          <w:rFonts w:hint="cs"/>
          <w:rtl/>
          <w:lang w:val="en-US" w:bidi="ar-EG"/>
        </w:rPr>
        <w:t>ل</w:t>
      </w:r>
      <w:r>
        <w:rPr>
          <w:rtl/>
          <w:lang w:val="en-US" w:bidi="ar-EG"/>
        </w:rPr>
        <w:t>لاتحاد الدولي للاتصالات،</w:t>
      </w:r>
    </w:p>
    <w:p w14:paraId="64A37BFB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i w:val="0"/>
          <w:iCs/>
          <w:rtl/>
        </w:rPr>
        <w:t xml:space="preserve">إذ </w:t>
      </w:r>
      <w:r w:rsidR="00665397" w:rsidRPr="00DF70D2">
        <w:rPr>
          <w:rFonts w:hint="cs"/>
          <w:i w:val="0"/>
          <w:iCs/>
          <w:rtl/>
        </w:rPr>
        <w:t>تضع</w:t>
      </w:r>
      <w:r w:rsidRPr="00DF70D2">
        <w:rPr>
          <w:i w:val="0"/>
          <w:iCs/>
          <w:rtl/>
        </w:rPr>
        <w:t xml:space="preserve"> في اعتبارها</w:t>
      </w:r>
    </w:p>
    <w:p w14:paraId="6ED84AF6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 xml:space="preserve"> </w:t>
      </w:r>
      <w:r w:rsidRPr="00370A4F">
        <w:rPr>
          <w:i/>
          <w:iCs/>
          <w:rtl/>
          <w:lang w:val="en-US" w:bidi="ar-EG"/>
        </w:rPr>
        <w:t>أ )</w:t>
      </w:r>
      <w:r>
        <w:rPr>
          <w:rtl/>
          <w:lang w:val="en-US" w:bidi="ar-EG"/>
        </w:rPr>
        <w:tab/>
        <w:t xml:space="preserve">أن تحديد المعايير فيما يتعلق بتقاسم التردد بين الأنظمة اللاسلكية الثابتة </w:t>
      </w:r>
      <w:r>
        <w:rPr>
          <w:rFonts w:hint="cs"/>
          <w:rtl/>
          <w:lang w:val="en-US" w:bidi="ar-EG"/>
        </w:rPr>
        <w:t xml:space="preserve">من نقطة إلى نقطة </w:t>
      </w:r>
      <w:r>
        <w:rPr>
          <w:rtl/>
          <w:lang w:val="en-US" w:bidi="ar-EG"/>
        </w:rPr>
        <w:t xml:space="preserve">والأنظمة في خدمات الاتصالات الراديوية الفضائية يتطلب معرفة كسب الهوائي في المحطات اللاسلكية الثابتة </w:t>
      </w:r>
      <w:r>
        <w:rPr>
          <w:rFonts w:hint="cs"/>
          <w:rtl/>
          <w:lang w:val="en-US" w:bidi="ar-EG"/>
        </w:rPr>
        <w:t xml:space="preserve">من نقطة إلى نقطة </w:t>
      </w:r>
      <w:r>
        <w:rPr>
          <w:rtl/>
          <w:lang w:val="en-US" w:bidi="ar-EG"/>
        </w:rPr>
        <w:t>على طول جميع مسيرات التداخل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المحتملة؛</w:t>
      </w:r>
    </w:p>
    <w:p w14:paraId="7AC0A617" w14:textId="77777777" w:rsidR="0039583F" w:rsidRPr="008D1B43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ب</w:t>
      </w:r>
      <w:r w:rsidRPr="00370A4F">
        <w:rPr>
          <w:i/>
          <w:iCs/>
          <w:rtl/>
          <w:lang w:val="en-US" w:bidi="ar-EG"/>
        </w:rPr>
        <w:t>)</w:t>
      </w:r>
      <w:r w:rsidRPr="008D1B43">
        <w:rPr>
          <w:rtl/>
          <w:lang w:val="en-US" w:bidi="ar-EG"/>
        </w:rPr>
        <w:tab/>
        <w:t>أن استعمال مخططات الإشعاع المرجعية لأغراض هوائيات</w:t>
      </w:r>
      <w:r>
        <w:rPr>
          <w:rFonts w:hint="cs"/>
          <w:rtl/>
          <w:lang w:val="en-US" w:bidi="ar-EG"/>
        </w:rPr>
        <w:t xml:space="preserve"> الأنظمة</w:t>
      </w:r>
      <w:r w:rsidRPr="008D1B43">
        <w:rPr>
          <w:rtl/>
          <w:lang w:val="en-US" w:bidi="ar-EG"/>
        </w:rPr>
        <w:t xml:space="preserve"> اللاسلكية الثابتة </w:t>
      </w:r>
      <w:r w:rsidRPr="008D1B43">
        <w:rPr>
          <w:rFonts w:hint="cs"/>
          <w:rtl/>
          <w:lang w:val="en-US" w:bidi="ar-EG"/>
        </w:rPr>
        <w:t xml:space="preserve">من نقطة إلى نقطة </w:t>
      </w:r>
      <w:r w:rsidRPr="008D1B43">
        <w:rPr>
          <w:rtl/>
          <w:lang w:val="en-US" w:bidi="ar-EG"/>
        </w:rPr>
        <w:t>قد تيسر عمليات حساب</w:t>
      </w:r>
      <w:r w:rsidRPr="008D1B43">
        <w:rPr>
          <w:rFonts w:hint="cs"/>
          <w:rtl/>
          <w:lang w:val="en-US" w:bidi="ar-EG"/>
        </w:rPr>
        <w:t> </w:t>
      </w:r>
      <w:r w:rsidRPr="008D1B43">
        <w:rPr>
          <w:rtl/>
          <w:lang w:val="en-US" w:bidi="ar-EG"/>
        </w:rPr>
        <w:t>التداخل؛</w:t>
      </w:r>
    </w:p>
    <w:p w14:paraId="4BB0C1C2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ج</w:t>
      </w:r>
      <w:r w:rsidRPr="00370A4F">
        <w:rPr>
          <w:i/>
          <w:iCs/>
          <w:rtl/>
          <w:lang w:val="en-US" w:bidi="ar-EG"/>
        </w:rPr>
        <w:t>)</w:t>
      </w:r>
      <w:r w:rsidRPr="008D1B43">
        <w:rPr>
          <w:rtl/>
          <w:lang w:val="en-US" w:bidi="ar-EG"/>
        </w:rPr>
        <w:tab/>
        <w:t>أن الأمر قد يستدعي مخططات إشعاع مرجعية مختلفة لمختلف أنماط الهوائيات قيد</w:t>
      </w:r>
      <w:r w:rsidRPr="008D1B43">
        <w:rPr>
          <w:rFonts w:hint="cs"/>
          <w:rtl/>
          <w:lang w:val="en-US" w:bidi="ar-EG"/>
        </w:rPr>
        <w:t> </w:t>
      </w:r>
      <w:r w:rsidRPr="008D1B43">
        <w:rPr>
          <w:rtl/>
          <w:lang w:val="en-US" w:bidi="ar-EG"/>
        </w:rPr>
        <w:t>الاستعمال،</w:t>
      </w:r>
    </w:p>
    <w:p w14:paraId="5705FDA0" w14:textId="77777777" w:rsidR="0039583F" w:rsidRPr="008F057F" w:rsidRDefault="0039583F" w:rsidP="00296365">
      <w:pPr>
        <w:pStyle w:val="StyleCallTimesNewRomanitalicComplexItalic"/>
        <w:rPr>
          <w:rtl/>
        </w:rPr>
      </w:pPr>
      <w:r w:rsidRPr="0025101F">
        <w:rPr>
          <w:rtl/>
        </w:rPr>
        <w:t>تقرر</w:t>
      </w:r>
      <w:r w:rsidRPr="00A30438">
        <w:rPr>
          <w:rtl/>
        </w:rPr>
        <w:t xml:space="preserve"> </w:t>
      </w:r>
      <w:r w:rsidRPr="00296365">
        <w:rPr>
          <w:rFonts w:hint="cs"/>
          <w:rtl/>
        </w:rPr>
        <w:t>أن</w:t>
      </w:r>
      <w:r w:rsidRPr="00296365">
        <w:rPr>
          <w:rtl/>
        </w:rPr>
        <w:t xml:space="preserve"> المسألتين التاليتين</w:t>
      </w:r>
      <w:r w:rsidRPr="00296365">
        <w:rPr>
          <w:rFonts w:hint="cs"/>
          <w:rtl/>
        </w:rPr>
        <w:t xml:space="preserve"> ينبغي دراستهما</w:t>
      </w:r>
    </w:p>
    <w:p w14:paraId="1BDFCE46" w14:textId="77777777" w:rsidR="0039583F" w:rsidRDefault="0039583F" w:rsidP="00EE452A">
      <w:pPr>
        <w:rPr>
          <w:rtl/>
          <w:lang w:val="en-US" w:bidi="ar-EG"/>
        </w:rPr>
      </w:pPr>
      <w:r w:rsidRPr="00296365">
        <w:rPr>
          <w:lang w:val="en-US" w:bidi="ar-EG"/>
        </w:rPr>
        <w:t>1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 xml:space="preserve">مخططات الإشعاع المقيسة في المستويين </w:t>
      </w:r>
      <w:r w:rsidRPr="00B04E80">
        <w:rPr>
          <w:rtl/>
          <w:lang w:val="en-US" w:bidi="ar-EG"/>
        </w:rPr>
        <w:t>الرأسي</w:t>
      </w:r>
      <w:r>
        <w:rPr>
          <w:rtl/>
          <w:lang w:val="en-US" w:bidi="ar-EG"/>
        </w:rPr>
        <w:t xml:space="preserve"> والأفقي لكل من استقطابي الهوائيات النموذجية المستخدمة في الأنظمة اللاسلكية الثابتة</w:t>
      </w:r>
      <w:r>
        <w:rPr>
          <w:rFonts w:hint="cs"/>
          <w:rtl/>
          <w:lang w:val="en-US" w:bidi="ar-EG"/>
        </w:rPr>
        <w:t xml:space="preserve"> من نقطة إلى نقطة</w:t>
      </w:r>
      <w:r>
        <w:rPr>
          <w:rtl/>
          <w:lang w:val="en-US" w:bidi="ar-EG"/>
        </w:rPr>
        <w:t>؟</w:t>
      </w:r>
    </w:p>
    <w:p w14:paraId="73F92386" w14:textId="77777777" w:rsidR="0039583F" w:rsidRDefault="0039583F" w:rsidP="0039583F">
      <w:pPr>
        <w:rPr>
          <w:rtl/>
          <w:lang w:val="en-US" w:bidi="ar-EG"/>
        </w:rPr>
      </w:pPr>
      <w:r w:rsidRPr="00296365">
        <w:rPr>
          <w:lang w:val="en-US" w:bidi="ar-EG"/>
        </w:rPr>
        <w:t>2</w:t>
      </w:r>
      <w:r>
        <w:rPr>
          <w:rtl/>
          <w:lang w:val="en-US" w:bidi="ar-EG"/>
        </w:rPr>
        <w:tab/>
        <w:t>ما </w:t>
      </w:r>
      <w:r>
        <w:rPr>
          <w:rFonts w:hint="cs"/>
          <w:rtl/>
          <w:lang w:val="en-US" w:bidi="ar-EG"/>
        </w:rPr>
        <w:t xml:space="preserve">هي </w:t>
      </w:r>
      <w:r>
        <w:rPr>
          <w:rtl/>
          <w:lang w:val="en-US" w:bidi="ar-EG"/>
        </w:rPr>
        <w:t>مخططات الإشعاع المرجعية التي يمكن تحديدها</w:t>
      </w:r>
      <w:r>
        <w:rPr>
          <w:rFonts w:hint="cs"/>
          <w:rtl/>
          <w:lang w:val="en-US" w:bidi="ar-EG"/>
        </w:rPr>
        <w:t xml:space="preserve"> للاستعمال في دراسات التقاسم</w:t>
      </w:r>
      <w:r>
        <w:rPr>
          <w:rtl/>
          <w:lang w:val="en-US" w:bidi="ar-EG"/>
        </w:rPr>
        <w:t xml:space="preserve"> للأنواع المختلفة من</w:t>
      </w:r>
      <w:r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>الهوائيات؟</w:t>
      </w:r>
    </w:p>
    <w:p w14:paraId="37D4D28D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i w:val="0"/>
          <w:iCs/>
          <w:rtl/>
        </w:rPr>
        <w:t>تقرر كذلك</w:t>
      </w:r>
    </w:p>
    <w:p w14:paraId="7A9E4343" w14:textId="77777777" w:rsidR="0039583F" w:rsidRDefault="0039583F" w:rsidP="0039583F">
      <w:pPr>
        <w:rPr>
          <w:b/>
          <w:bCs/>
          <w:rtl/>
          <w:lang w:val="en-US" w:bidi="ar-EG"/>
        </w:rPr>
      </w:pPr>
      <w:r w:rsidRPr="00296365">
        <w:rPr>
          <w:lang w:val="en-US" w:bidi="ar-EG"/>
        </w:rPr>
        <w:t>1</w:t>
      </w:r>
      <w:r w:rsidRPr="00914291">
        <w:rPr>
          <w:b/>
          <w:bCs/>
          <w:rtl/>
          <w:lang w:val="en-US" w:bidi="ar-EG"/>
        </w:rPr>
        <w:tab/>
      </w:r>
      <w:r w:rsidRPr="008F057F">
        <w:rPr>
          <w:rFonts w:hint="cs"/>
          <w:rtl/>
          <w:lang w:val="en-US" w:bidi="ar-EG"/>
        </w:rPr>
        <w:t>إدراج</w:t>
      </w:r>
      <w:r>
        <w:rPr>
          <w:rFonts w:hint="cs"/>
          <w:rtl/>
          <w:lang w:val="en-US" w:bidi="ar-EG"/>
        </w:rPr>
        <w:t xml:space="preserve"> نتائج الدراسات سالفة الذكر في توصية أو تقرير أو أكثر؛</w:t>
      </w:r>
    </w:p>
    <w:p w14:paraId="24874B97" w14:textId="24E7F5E9" w:rsidR="0039583F" w:rsidRPr="008F057F" w:rsidRDefault="0039583F" w:rsidP="00EE452A">
      <w:pPr>
        <w:rPr>
          <w:rtl/>
          <w:lang w:val="en-US" w:bidi="ar-EG"/>
        </w:rPr>
      </w:pPr>
      <w:r w:rsidRPr="00296365">
        <w:rPr>
          <w:lang w:val="en-US" w:bidi="ar-EG"/>
        </w:rPr>
        <w:t>2</w:t>
      </w:r>
      <w:r w:rsidRPr="00914291">
        <w:rPr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استكمال الدراسات سالفة الذكر بحلول عام </w:t>
      </w:r>
      <w:r w:rsidR="00076403">
        <w:rPr>
          <w:lang w:val="en-US" w:bidi="ar-EG"/>
        </w:rPr>
        <w:t>202</w:t>
      </w:r>
      <w:r w:rsidR="00AF1B88">
        <w:rPr>
          <w:lang w:val="en-US" w:bidi="ar-EG"/>
        </w:rPr>
        <w:t>7</w:t>
      </w:r>
      <w:r>
        <w:rPr>
          <w:rFonts w:hint="cs"/>
          <w:rtl/>
          <w:lang w:val="en-US" w:bidi="ar-EG"/>
        </w:rPr>
        <w:t>.</w:t>
      </w:r>
    </w:p>
    <w:p w14:paraId="756BA935" w14:textId="77777777" w:rsidR="0039583F" w:rsidRPr="00732E22" w:rsidRDefault="0039583F" w:rsidP="00EE452A">
      <w:pPr>
        <w:rPr>
          <w:rtl/>
          <w:lang w:val="en-US" w:bidi="ar-EG"/>
        </w:rPr>
      </w:pPr>
      <w:r w:rsidRPr="00955B7A">
        <w:rPr>
          <w:rtl/>
          <w:lang w:val="en-US" w:bidi="ar-EG"/>
        </w:rPr>
        <w:t>ملاحظة</w:t>
      </w:r>
      <w:r w:rsidRPr="00732E22">
        <w:rPr>
          <w:b/>
          <w:bCs/>
          <w:rtl/>
          <w:lang w:val="en-US" w:bidi="ar-EG"/>
        </w:rPr>
        <w:t xml:space="preserve"> </w:t>
      </w:r>
      <w:r w:rsidRPr="00732E22">
        <w:rPr>
          <w:rtl/>
          <w:lang w:val="en-US" w:bidi="ar-EG"/>
        </w:rPr>
        <w:t xml:space="preserve">- انظر التوصيتين </w:t>
      </w:r>
      <w:hyperlink r:id="rId8" w:history="1">
        <w:r w:rsidRPr="003E0EB8">
          <w:rPr>
            <w:rStyle w:val="Hyperlink"/>
            <w:lang w:val="en-US" w:bidi="ar-EG"/>
          </w:rPr>
          <w:t>ITU-R F.699</w:t>
        </w:r>
      </w:hyperlink>
      <w:r w:rsidRPr="00732E22">
        <w:rPr>
          <w:rtl/>
          <w:lang w:val="en-US" w:bidi="ar-EG"/>
        </w:rPr>
        <w:t xml:space="preserve"> و</w:t>
      </w:r>
      <w:hyperlink r:id="rId9" w:history="1">
        <w:r w:rsidRPr="003E0EB8">
          <w:rPr>
            <w:rStyle w:val="Hyperlink"/>
            <w:lang w:val="en-US" w:bidi="ar-EG"/>
          </w:rPr>
          <w:t>ITU-R F.1245</w:t>
        </w:r>
      </w:hyperlink>
      <w:r w:rsidRPr="00732E22">
        <w:rPr>
          <w:rtl/>
          <w:lang w:val="en-US" w:bidi="ar-EG"/>
        </w:rPr>
        <w:t>.</w:t>
      </w:r>
    </w:p>
    <w:p w14:paraId="3E474FCA" w14:textId="77777777" w:rsidR="0039583F" w:rsidRPr="00262060" w:rsidRDefault="0039583F" w:rsidP="00B40009">
      <w:pPr>
        <w:spacing w:before="360"/>
        <w:rPr>
          <w:sz w:val="10"/>
          <w:szCs w:val="18"/>
          <w:lang w:val="en-US"/>
        </w:rPr>
      </w:pPr>
      <w:r>
        <w:rPr>
          <w:rtl/>
          <w:lang w:bidi="ar-EG"/>
        </w:rPr>
        <w:t>الفئة:</w:t>
      </w:r>
      <w:r>
        <w:rPr>
          <w:rtl/>
          <w:lang w:bidi="ar-EG"/>
        </w:rPr>
        <w:tab/>
      </w:r>
      <w:r>
        <w:rPr>
          <w:lang w:val="en-US" w:bidi="ar-EG"/>
        </w:rPr>
        <w:t>S2</w:t>
      </w:r>
    </w:p>
    <w:sectPr w:rsidR="0039583F" w:rsidRPr="00262060" w:rsidSect="007B5BD9">
      <w:headerReference w:type="default" r:id="rId10"/>
      <w:footerReference w:type="first" r:id="rId11"/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5763" w14:textId="77777777" w:rsidR="00122E8F" w:rsidRDefault="00122E8F">
      <w:r>
        <w:separator/>
      </w:r>
    </w:p>
  </w:endnote>
  <w:endnote w:type="continuationSeparator" w:id="0">
    <w:p w14:paraId="4EAEC228" w14:textId="77777777"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DE0A" w14:textId="77777777" w:rsidR="00122E8F" w:rsidRPr="00B60F3C" w:rsidRDefault="00122E8F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C3D6" w14:textId="77777777" w:rsidR="00122E8F" w:rsidRDefault="00122E8F">
      <w:r>
        <w:t>____________________</w:t>
      </w:r>
    </w:p>
  </w:footnote>
  <w:footnote w:type="continuationSeparator" w:id="0">
    <w:p w14:paraId="3E91459F" w14:textId="77777777" w:rsidR="00122E8F" w:rsidRDefault="00122E8F">
      <w:r>
        <w:continuationSeparator/>
      </w:r>
    </w:p>
  </w:footnote>
  <w:footnote w:id="1">
    <w:p w14:paraId="42750271" w14:textId="7B031E6E" w:rsidR="00A34E00" w:rsidRPr="00A34E00" w:rsidRDefault="00A34E00">
      <w:pPr>
        <w:pStyle w:val="FootnoteText"/>
        <w:rPr>
          <w:sz w:val="18"/>
          <w:szCs w:val="18"/>
          <w:lang w:val="en-US"/>
        </w:rPr>
      </w:pPr>
      <w:r w:rsidRPr="00A34E00">
        <w:rPr>
          <w:rStyle w:val="FootnoteReference"/>
          <w:szCs w:val="18"/>
        </w:rPr>
        <w:footnoteRef/>
      </w:r>
      <w:r w:rsidRPr="00A34E00">
        <w:rPr>
          <w:sz w:val="18"/>
          <w:szCs w:val="18"/>
          <w:rtl/>
        </w:rPr>
        <w:t xml:space="preserve"> </w:t>
      </w:r>
      <w:r>
        <w:rPr>
          <w:rtl/>
          <w:lang w:bidi="ar-EG"/>
        </w:rPr>
        <w:t xml:space="preserve">قامت لجنة الدراسات </w:t>
      </w:r>
      <w:r w:rsidR="00F165A9">
        <w:rPr>
          <w:lang w:bidi="ar-EG"/>
        </w:rPr>
        <w:t>5</w:t>
      </w:r>
      <w:r>
        <w:rPr>
          <w:rtl/>
          <w:lang w:bidi="ar-EG"/>
        </w:rPr>
        <w:t xml:space="preserve"> للاتصالات الراديوية في عام </w:t>
      </w:r>
      <w:r w:rsidR="00076403">
        <w:rPr>
          <w:lang w:bidi="ar-EG"/>
        </w:rPr>
        <w:t>20</w:t>
      </w:r>
      <w:r w:rsidR="00AF1B88">
        <w:rPr>
          <w:lang w:bidi="ar-EG"/>
        </w:rPr>
        <w:t>23</w:t>
      </w:r>
      <w:r>
        <w:rPr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B917" w14:textId="77777777"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6312EF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143591">
    <w:abstractNumId w:val="10"/>
  </w:num>
  <w:num w:numId="2" w16cid:durableId="1525703789">
    <w:abstractNumId w:val="9"/>
  </w:num>
  <w:num w:numId="3" w16cid:durableId="1078096647">
    <w:abstractNumId w:val="7"/>
  </w:num>
  <w:num w:numId="4" w16cid:durableId="1175849380">
    <w:abstractNumId w:val="6"/>
  </w:num>
  <w:num w:numId="5" w16cid:durableId="192429012">
    <w:abstractNumId w:val="5"/>
  </w:num>
  <w:num w:numId="6" w16cid:durableId="307907968">
    <w:abstractNumId w:val="4"/>
  </w:num>
  <w:num w:numId="7" w16cid:durableId="1487437149">
    <w:abstractNumId w:val="8"/>
  </w:num>
  <w:num w:numId="8" w16cid:durableId="1374963156">
    <w:abstractNumId w:val="3"/>
  </w:num>
  <w:num w:numId="9" w16cid:durableId="1932008731">
    <w:abstractNumId w:val="2"/>
  </w:num>
  <w:num w:numId="10" w16cid:durableId="1272127407">
    <w:abstractNumId w:val="1"/>
  </w:num>
  <w:num w:numId="11" w16cid:durableId="139187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5A5"/>
    <w:rsid w:val="00004466"/>
    <w:rsid w:val="00011556"/>
    <w:rsid w:val="00012B49"/>
    <w:rsid w:val="00015D26"/>
    <w:rsid w:val="00017D41"/>
    <w:rsid w:val="00033CDB"/>
    <w:rsid w:val="000648F9"/>
    <w:rsid w:val="00071E97"/>
    <w:rsid w:val="00076403"/>
    <w:rsid w:val="000817F4"/>
    <w:rsid w:val="00085484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2E8F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A656C"/>
    <w:rsid w:val="003B601A"/>
    <w:rsid w:val="003B6D4C"/>
    <w:rsid w:val="003C51F3"/>
    <w:rsid w:val="003C5E9E"/>
    <w:rsid w:val="003D2FE1"/>
    <w:rsid w:val="003D56AA"/>
    <w:rsid w:val="003E0EB8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564B9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12EF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97C"/>
    <w:rsid w:val="00962AF9"/>
    <w:rsid w:val="00967DE6"/>
    <w:rsid w:val="00993234"/>
    <w:rsid w:val="00993A11"/>
    <w:rsid w:val="009948DB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34E00"/>
    <w:rsid w:val="00A51914"/>
    <w:rsid w:val="00A52F7D"/>
    <w:rsid w:val="00A56DA1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1B88"/>
    <w:rsid w:val="00AF26F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76F2"/>
    <w:rsid w:val="00C717AA"/>
    <w:rsid w:val="00C71C57"/>
    <w:rsid w:val="00C7467E"/>
    <w:rsid w:val="00C861A8"/>
    <w:rsid w:val="00CB7D1A"/>
    <w:rsid w:val="00CD0425"/>
    <w:rsid w:val="00CD1E2A"/>
    <w:rsid w:val="00CD595C"/>
    <w:rsid w:val="00CD68B1"/>
    <w:rsid w:val="00CE2511"/>
    <w:rsid w:val="00D13C0F"/>
    <w:rsid w:val="00D14081"/>
    <w:rsid w:val="00D14A1D"/>
    <w:rsid w:val="00D1758F"/>
    <w:rsid w:val="00D25607"/>
    <w:rsid w:val="00D27592"/>
    <w:rsid w:val="00D322A2"/>
    <w:rsid w:val="00D35CE4"/>
    <w:rsid w:val="00D50FAC"/>
    <w:rsid w:val="00D51975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3368"/>
    <w:rsid w:val="00E5482D"/>
    <w:rsid w:val="00E607F6"/>
    <w:rsid w:val="00E63192"/>
    <w:rsid w:val="00E63D84"/>
    <w:rsid w:val="00E709F4"/>
    <w:rsid w:val="00E76D80"/>
    <w:rsid w:val="00E871A3"/>
    <w:rsid w:val="00EB3B99"/>
    <w:rsid w:val="00EB4590"/>
    <w:rsid w:val="00ED25DB"/>
    <w:rsid w:val="00ED60C4"/>
    <w:rsid w:val="00EE452A"/>
    <w:rsid w:val="00EF5DE1"/>
    <w:rsid w:val="00EF78F5"/>
    <w:rsid w:val="00F00A3D"/>
    <w:rsid w:val="00F05C97"/>
    <w:rsid w:val="00F10078"/>
    <w:rsid w:val="00F12D9C"/>
    <w:rsid w:val="00F165A9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A7D3185"/>
  <w15:docId w15:val="{5F837A7F-A229-4AE6-BF00-57E2AB17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TU-R%20F.6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ITU-R%20F.124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C5FBDCA-881A-458F-A860-63488A84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1223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Author</cp:lastModifiedBy>
  <cp:revision>9</cp:revision>
  <cp:lastPrinted>2012-04-02T09:10:00Z</cp:lastPrinted>
  <dcterms:created xsi:type="dcterms:W3CDTF">2012-04-03T15:46:00Z</dcterms:created>
  <dcterms:modified xsi:type="dcterms:W3CDTF">2023-11-01T16:31:00Z</dcterms:modified>
</cp:coreProperties>
</file>