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61D1" w14:textId="6FE1CE21" w:rsidR="008C308C" w:rsidRPr="006D01BF" w:rsidRDefault="008C308C" w:rsidP="008C308C">
      <w:pPr>
        <w:pStyle w:val="QuestionNo"/>
        <w:rPr>
          <w:rtl/>
        </w:rPr>
      </w:pPr>
      <w:r w:rsidRPr="006D01BF">
        <w:rPr>
          <w:rFonts w:hint="cs"/>
          <w:rtl/>
        </w:rPr>
        <w:t xml:space="preserve">ال‍مسألة </w:t>
      </w:r>
      <w:r w:rsidRPr="006D01BF">
        <w:rPr>
          <w:rFonts w:hint="eastAsia"/>
          <w:lang w:val="en-GB"/>
        </w:rPr>
        <w:t>ITU-R</w:t>
      </w:r>
      <w:r w:rsidRPr="006D01BF">
        <w:rPr>
          <w:lang w:val="en-GB"/>
        </w:rPr>
        <w:t xml:space="preserve"> 1-6/5</w:t>
      </w:r>
      <w:r w:rsidRPr="004A1A63">
        <w:rPr>
          <w:rStyle w:val="FootnoteReference"/>
          <w:rtl/>
        </w:rPr>
        <w:footnoteReference w:customMarkFollows="1" w:id="1"/>
        <w:t>*</w:t>
      </w:r>
      <w:r w:rsidR="00DA54F9">
        <w:rPr>
          <w:rFonts w:hint="cs"/>
          <w:rtl/>
        </w:rPr>
        <w:t xml:space="preserve">، </w:t>
      </w:r>
      <w:r w:rsidR="00DA54F9">
        <w:rPr>
          <w:rStyle w:val="FootnoteReference"/>
          <w:rtl/>
        </w:rPr>
        <w:footnoteReference w:customMarkFollows="1" w:id="2"/>
        <w:t>**</w:t>
      </w:r>
    </w:p>
    <w:p w14:paraId="4F36580E" w14:textId="77777777" w:rsidR="008C308C" w:rsidRPr="006D01BF" w:rsidRDefault="008C308C" w:rsidP="008C308C">
      <w:pPr>
        <w:pStyle w:val="QuestionTitle"/>
      </w:pPr>
      <w:r w:rsidRPr="006D01BF">
        <w:rPr>
          <w:rFonts w:hint="cs"/>
          <w:rtl/>
        </w:rPr>
        <w:t>نسب الحماية من التداخل وأدنى شدة مجال لازمة</w:t>
      </w:r>
      <w:r w:rsidRPr="006D01BF">
        <w:br/>
      </w:r>
      <w:r w:rsidRPr="006D01BF">
        <w:rPr>
          <w:rFonts w:hint="cs"/>
          <w:rtl/>
        </w:rPr>
        <w:t>في الخدمات المتنقلة البرية</w:t>
      </w:r>
    </w:p>
    <w:p w14:paraId="72DCF5B6" w14:textId="77777777" w:rsidR="008C308C" w:rsidRPr="006D01BF" w:rsidRDefault="008C308C" w:rsidP="008C308C">
      <w:pPr>
        <w:pStyle w:val="Date"/>
        <w:rPr>
          <w:i/>
          <w:rtl/>
        </w:rPr>
      </w:pPr>
      <w:bookmarkStart w:id="0" w:name="Revision_history"/>
      <w:r w:rsidRPr="006D01BF">
        <w:rPr>
          <w:lang w:val="en-GB"/>
        </w:rPr>
        <w:t>(2015-2012-2007-1998-1992-1986-1963)</w:t>
      </w:r>
      <w:bookmarkEnd w:id="0"/>
    </w:p>
    <w:p w14:paraId="21CB4526" w14:textId="77777777" w:rsidR="008C308C" w:rsidRPr="006D01BF" w:rsidRDefault="008C308C" w:rsidP="008C308C">
      <w:pPr>
        <w:pStyle w:val="Normalaftertitle"/>
        <w:rPr>
          <w:rtl/>
        </w:rPr>
      </w:pPr>
      <w:r w:rsidRPr="006D01BF">
        <w:rPr>
          <w:rFonts w:hint="cs"/>
          <w:rtl/>
        </w:rPr>
        <w:t>إن جمعية الاتصالات الراديوية للاتحاد الدولي للاتصالات،</w:t>
      </w:r>
    </w:p>
    <w:p w14:paraId="0E288A5D" w14:textId="77777777" w:rsidR="008C308C" w:rsidRPr="006D01BF" w:rsidRDefault="008C308C" w:rsidP="008C308C">
      <w:pPr>
        <w:pStyle w:val="Call"/>
        <w:rPr>
          <w:lang w:val="en-GB"/>
        </w:rPr>
      </w:pPr>
      <w:r w:rsidRPr="006D01BF">
        <w:rPr>
          <w:rFonts w:hint="cs"/>
          <w:rtl/>
        </w:rPr>
        <w:t>إذ تضع في اعتبارها</w:t>
      </w:r>
    </w:p>
    <w:p w14:paraId="4450D72B" w14:textId="77777777" w:rsidR="008C308C" w:rsidRPr="006D01BF" w:rsidRDefault="008C308C" w:rsidP="008C308C">
      <w:pPr>
        <w:rPr>
          <w:rtl/>
        </w:rPr>
      </w:pPr>
      <w:r w:rsidRPr="006D01BF">
        <w:rPr>
          <w:rFonts w:hint="eastAsia"/>
          <w:i/>
          <w:iCs/>
          <w:rtl/>
        </w:rPr>
        <w:t> </w:t>
      </w:r>
      <w:r w:rsidRPr="006D01BF">
        <w:rPr>
          <w:rFonts w:hint="cs"/>
          <w:i/>
          <w:iCs/>
          <w:rtl/>
        </w:rPr>
        <w:t>أ</w:t>
      </w:r>
      <w:r w:rsidRPr="006D01BF">
        <w:rPr>
          <w:rFonts w:hint="eastAsia"/>
          <w:i/>
          <w:iCs/>
          <w:rtl/>
        </w:rPr>
        <w:t> </w:t>
      </w:r>
      <w:r w:rsidRPr="006D01BF">
        <w:rPr>
          <w:rFonts w:hint="cs"/>
          <w:i/>
          <w:iCs/>
          <w:rtl/>
        </w:rPr>
        <w:t>)</w:t>
      </w:r>
      <w:r w:rsidRPr="006D01BF">
        <w:rPr>
          <w:rFonts w:hint="cs"/>
          <w:rtl/>
        </w:rPr>
        <w:tab/>
        <w:t>أن معطيات جزئية ذات صلة بنسب الحماية من التداخل وأدنى شدة مجال لازمة لأنواع محددة في أنظمة الخدمة المتنقلة</w:t>
      </w:r>
      <w:r w:rsidRPr="006D01BF">
        <w:rPr>
          <w:rFonts w:hint="eastAsia"/>
          <w:rtl/>
        </w:rPr>
        <w:t> </w:t>
      </w:r>
      <w:r w:rsidRPr="006D01BF">
        <w:rPr>
          <w:lang w:val="en-GB"/>
        </w:rPr>
        <w:t>(MS)</w:t>
      </w:r>
      <w:r w:rsidRPr="006D01BF">
        <w:rPr>
          <w:rFonts w:hint="cs"/>
          <w:rtl/>
        </w:rPr>
        <w:t xml:space="preserve"> هي متاحة في وثائق بعض مؤتمرات الاتحاد، وبعض توصيات قطاع الاتصالات الراديوية (الملاحظة</w:t>
      </w:r>
      <w:r w:rsidRPr="006D01BF">
        <w:rPr>
          <w:rFonts w:hint="eastAsia"/>
          <w:rtl/>
        </w:rPr>
        <w:t> </w:t>
      </w:r>
      <w:r w:rsidRPr="006D01BF">
        <w:rPr>
          <w:lang w:val="en-GB"/>
        </w:rPr>
        <w:t>1</w:t>
      </w:r>
      <w:r w:rsidRPr="006D01BF">
        <w:rPr>
          <w:rFonts w:hint="cs"/>
          <w:rtl/>
        </w:rPr>
        <w:t>)، وبعض تقارير قطاع الاتصالات الراديوية (الملاحظة</w:t>
      </w:r>
      <w:r w:rsidRPr="006D01BF">
        <w:rPr>
          <w:rFonts w:hint="eastAsia"/>
          <w:rtl/>
        </w:rPr>
        <w:t> </w:t>
      </w:r>
      <w:r w:rsidRPr="006D01BF">
        <w:rPr>
          <w:lang w:val="en-GB"/>
        </w:rPr>
        <w:t>2</w:t>
      </w:r>
      <w:r w:rsidRPr="006D01BF">
        <w:rPr>
          <w:rFonts w:hint="cs"/>
          <w:rtl/>
        </w:rPr>
        <w:t>)، وأشياء</w:t>
      </w:r>
      <w:r w:rsidRPr="006D01BF">
        <w:rPr>
          <w:rFonts w:hint="eastAsia"/>
          <w:rtl/>
        </w:rPr>
        <w:t> </w:t>
      </w:r>
      <w:r w:rsidRPr="006D01BF">
        <w:rPr>
          <w:rFonts w:hint="cs"/>
          <w:rtl/>
        </w:rPr>
        <w:t>أخرى؛</w:t>
      </w:r>
    </w:p>
    <w:p w14:paraId="6C5B6E1A" w14:textId="77777777" w:rsidR="008C308C" w:rsidRPr="006D01BF" w:rsidRDefault="008C308C" w:rsidP="008C308C">
      <w:pPr>
        <w:rPr>
          <w:rtl/>
        </w:rPr>
      </w:pPr>
      <w:r w:rsidRPr="006D01BF">
        <w:rPr>
          <w:rFonts w:hint="cs"/>
          <w:i/>
          <w:iCs/>
          <w:rtl/>
        </w:rPr>
        <w:t>ب)</w:t>
      </w:r>
      <w:r w:rsidRPr="006D01BF">
        <w:rPr>
          <w:rFonts w:hint="cs"/>
          <w:rtl/>
        </w:rPr>
        <w:tab/>
        <w:t xml:space="preserve">أن مثل هذه الوثائق، مع ذلك، لا تشكل مجموعة معطيات متسقة ومتكاملة ذات صلة بحماية نوعية إشارة الإرسال المطلوبة من تداخل جميع الأنواع من الخدمات العاملة في مديات التردد كافة، ولا سيما ذات الصلة منها بنظام الخدمة المتنقلة بنطاق الموجات المترية </w:t>
      </w:r>
      <w:r w:rsidRPr="006D01BF">
        <w:rPr>
          <w:lang w:val="en-GB"/>
        </w:rPr>
        <w:t>(VHF)</w:t>
      </w:r>
      <w:r w:rsidRPr="006D01BF">
        <w:rPr>
          <w:rFonts w:hint="cs"/>
          <w:rtl/>
        </w:rPr>
        <w:t xml:space="preserve"> والموجات الديسيمترية </w:t>
      </w:r>
      <w:r w:rsidRPr="006D01BF">
        <w:rPr>
          <w:lang w:val="en-GB"/>
        </w:rPr>
        <w:t>(UHF)</w:t>
      </w:r>
      <w:r w:rsidRPr="006D01BF">
        <w:rPr>
          <w:rFonts w:hint="cs"/>
          <w:rtl/>
        </w:rPr>
        <w:t>، كما لا تكفل استعمالاً سليماً ومتسقاً في إطار توقع مستويات إشارة التداخل في أنظمة الخدمة</w:t>
      </w:r>
      <w:r w:rsidRPr="006D01BF">
        <w:rPr>
          <w:rFonts w:hint="eastAsia"/>
          <w:rtl/>
        </w:rPr>
        <w:t> </w:t>
      </w:r>
      <w:r w:rsidRPr="006D01BF">
        <w:rPr>
          <w:rFonts w:hint="cs"/>
          <w:rtl/>
        </w:rPr>
        <w:t>المتنقلة؛</w:t>
      </w:r>
    </w:p>
    <w:p w14:paraId="0A9BC15A" w14:textId="77777777" w:rsidR="008C308C" w:rsidRPr="006D01BF" w:rsidRDefault="008C308C" w:rsidP="008C308C">
      <w:pPr>
        <w:rPr>
          <w:rtl/>
        </w:rPr>
      </w:pPr>
      <w:r w:rsidRPr="006D01BF">
        <w:rPr>
          <w:rFonts w:hint="cs"/>
          <w:i/>
          <w:iCs/>
          <w:rtl/>
        </w:rPr>
        <w:t>ج)</w:t>
      </w:r>
      <w:r w:rsidRPr="006D01BF">
        <w:rPr>
          <w:rFonts w:hint="cs"/>
          <w:rtl/>
        </w:rPr>
        <w:tab/>
        <w:t>أن هناك حاجة لطرائق متسقة لشتى أنواع إرسال المعلومات لضمان الاستعمال المتسق للمعلمات وقيمها لتحديد معايير حماية الأنظمة من التداخل، على أن يؤخذ في الاعتبار خصوصاً التطور المستمر لتكنولوجيات الخدمة المتنقلة ونشرها في</w:t>
      </w:r>
      <w:r>
        <w:rPr>
          <w:rFonts w:hint="eastAsia"/>
          <w:rtl/>
        </w:rPr>
        <w:t> </w:t>
      </w:r>
      <w:r w:rsidRPr="006D01BF">
        <w:rPr>
          <w:rFonts w:hint="cs"/>
          <w:rtl/>
        </w:rPr>
        <w:t>مدى متزايد من نطاقات التردد؛</w:t>
      </w:r>
    </w:p>
    <w:p w14:paraId="14554E5F" w14:textId="77777777" w:rsidR="008C308C" w:rsidRPr="006D01BF" w:rsidRDefault="008C308C" w:rsidP="008C308C">
      <w:pPr>
        <w:rPr>
          <w:rtl/>
        </w:rPr>
      </w:pPr>
      <w:r w:rsidRPr="006D01BF">
        <w:rPr>
          <w:rFonts w:hint="cs"/>
          <w:i/>
          <w:iCs/>
          <w:rtl/>
        </w:rPr>
        <w:t>د )</w:t>
      </w:r>
      <w:r w:rsidRPr="006D01BF">
        <w:rPr>
          <w:rFonts w:hint="cs"/>
          <w:rtl/>
        </w:rPr>
        <w:tab/>
        <w:t>أن هناك حاجة لطرائق متسقة ولحساب التداخل بسبب البث غير المطلوب لضمان حماية نوعية الإشارة المطلوبة في</w:t>
      </w:r>
      <w:r w:rsidRPr="006D01BF">
        <w:rPr>
          <w:rFonts w:hint="eastAsia"/>
          <w:rtl/>
        </w:rPr>
        <w:t> </w:t>
      </w:r>
      <w:r w:rsidRPr="006D01BF">
        <w:rPr>
          <w:rFonts w:hint="cs"/>
          <w:rtl/>
        </w:rPr>
        <w:t>عرض النطاق اللازم لنظام الخدمة</w:t>
      </w:r>
      <w:r w:rsidRPr="006D01BF">
        <w:rPr>
          <w:rFonts w:hint="eastAsia"/>
          <w:rtl/>
        </w:rPr>
        <w:t> </w:t>
      </w:r>
      <w:r w:rsidRPr="006D01BF">
        <w:rPr>
          <w:rFonts w:hint="cs"/>
          <w:rtl/>
        </w:rPr>
        <w:t>المتنقلة؛</w:t>
      </w:r>
    </w:p>
    <w:p w14:paraId="27AC6097" w14:textId="77777777" w:rsidR="008C308C" w:rsidRPr="006D01BF" w:rsidRDefault="008C308C" w:rsidP="008C308C">
      <w:pPr>
        <w:rPr>
          <w:rtl/>
        </w:rPr>
      </w:pPr>
      <w:r w:rsidRPr="006D01BF">
        <w:rPr>
          <w:rFonts w:hint="cs"/>
          <w:i/>
          <w:iCs/>
          <w:rtl/>
        </w:rPr>
        <w:t>ﻫ )</w:t>
      </w:r>
      <w:r w:rsidRPr="006D01BF">
        <w:rPr>
          <w:rFonts w:hint="cs"/>
          <w:rtl/>
        </w:rPr>
        <w:tab/>
        <w:t xml:space="preserve">أن مكتب الاتصالات الراديوية </w:t>
      </w:r>
      <w:r w:rsidRPr="006D01BF">
        <w:rPr>
          <w:lang w:val="en-GB"/>
        </w:rPr>
        <w:t>(BR)</w:t>
      </w:r>
      <w:r w:rsidRPr="006D01BF">
        <w:rPr>
          <w:rFonts w:hint="cs"/>
          <w:rtl/>
        </w:rPr>
        <w:t xml:space="preserve"> طلب توجيهاً من لجان دراسات لقطاع الاتصالات الراديوية بشأن الطرق التي ستتبع في حساب التداخل من الخدمة المتنقلة الساتلية </w:t>
      </w:r>
      <w:r w:rsidRPr="006D01BF">
        <w:rPr>
          <w:lang w:val="en-GB"/>
        </w:rPr>
        <w:t>(MSS)</w:t>
      </w:r>
      <w:r w:rsidRPr="006D01BF">
        <w:rPr>
          <w:rFonts w:hint="cs"/>
          <w:rtl/>
        </w:rPr>
        <w:t xml:space="preserve"> إلى الخدمة المتنقلة وبشأن المعايير التي ستستعمل؛</w:t>
      </w:r>
    </w:p>
    <w:p w14:paraId="1B023EAD" w14:textId="77777777" w:rsidR="008C308C" w:rsidRPr="006D01BF" w:rsidRDefault="008C308C" w:rsidP="008C308C">
      <w:r w:rsidRPr="006D01BF">
        <w:rPr>
          <w:rFonts w:hint="cs"/>
          <w:i/>
          <w:iCs/>
          <w:rtl/>
        </w:rPr>
        <w:t>و )</w:t>
      </w:r>
      <w:r w:rsidRPr="006D01BF">
        <w:rPr>
          <w:rFonts w:hint="cs"/>
          <w:rtl/>
        </w:rPr>
        <w:tab/>
        <w:t>أن هناك أيضاً حاجة لطرائق متسقة ولحساب التداخل بسبب تقاسم الطيف مع خدمات أخرى مثل الخدمة المتنقلة الساتلية</w:t>
      </w:r>
      <w:r w:rsidRPr="006D01BF">
        <w:rPr>
          <w:rFonts w:hint="eastAsia"/>
          <w:rtl/>
        </w:rPr>
        <w:t> </w:t>
      </w:r>
      <w:r w:rsidRPr="006D01BF">
        <w:rPr>
          <w:lang w:val="fr-FR"/>
        </w:rPr>
        <w:t>(</w:t>
      </w:r>
      <w:r w:rsidRPr="006D01BF">
        <w:rPr>
          <w:lang w:val="en-GB"/>
        </w:rPr>
        <w:t>MSS)</w:t>
      </w:r>
      <w:r w:rsidRPr="006D01BF">
        <w:rPr>
          <w:rFonts w:hint="cs"/>
          <w:rtl/>
        </w:rPr>
        <w:t xml:space="preserve"> أو الخدمة الإذاعية أو الخدمة الثابتة وذلك لضمان حماية نوعية الإشارة المرغوب فيها في عرض النطاق اللازم لنظام الخدمة</w:t>
      </w:r>
      <w:r w:rsidRPr="006D01BF">
        <w:rPr>
          <w:rFonts w:hint="eastAsia"/>
          <w:rtl/>
        </w:rPr>
        <w:t> </w:t>
      </w:r>
      <w:r w:rsidRPr="006D01BF">
        <w:rPr>
          <w:rFonts w:hint="cs"/>
          <w:rtl/>
        </w:rPr>
        <w:t>المتنقلة؛</w:t>
      </w:r>
    </w:p>
    <w:p w14:paraId="402B20B4" w14:textId="77777777" w:rsidR="008C308C" w:rsidRPr="006D01BF" w:rsidRDefault="008C308C" w:rsidP="008C308C">
      <w:pPr>
        <w:rPr>
          <w:rtl/>
        </w:rPr>
      </w:pPr>
      <w:r w:rsidRPr="006D01BF">
        <w:rPr>
          <w:rFonts w:hint="cs"/>
          <w:i/>
          <w:iCs/>
          <w:rtl/>
        </w:rPr>
        <w:t>ز )</w:t>
      </w:r>
      <w:r w:rsidRPr="006D01BF">
        <w:rPr>
          <w:lang w:val="en-GB"/>
        </w:rPr>
        <w:tab/>
      </w:r>
      <w:r w:rsidRPr="006D01BF">
        <w:rPr>
          <w:rFonts w:hint="cs"/>
          <w:rtl/>
        </w:rPr>
        <w:t>أن معلمات التنبؤ بالتداخل والطرائق الحسابية هي موضع دراسة أيضاً من جانب لجان الدراسات لقطاع الاتصالات الراديوية الأخرى، ومنظمات وضع معايير الاتصالات الأخرى، ومنظمات تنسيق</w:t>
      </w:r>
      <w:r w:rsidRPr="006D01BF">
        <w:rPr>
          <w:rFonts w:hint="eastAsia"/>
          <w:rtl/>
        </w:rPr>
        <w:t> </w:t>
      </w:r>
      <w:r w:rsidRPr="006D01BF">
        <w:rPr>
          <w:rFonts w:hint="cs"/>
          <w:rtl/>
        </w:rPr>
        <w:t>الترددات،</w:t>
      </w:r>
    </w:p>
    <w:p w14:paraId="51927986" w14:textId="77777777" w:rsidR="008C308C" w:rsidRPr="006D01BF" w:rsidRDefault="008C308C" w:rsidP="008C308C">
      <w:pPr>
        <w:pStyle w:val="Call"/>
        <w:rPr>
          <w:rtl/>
        </w:rPr>
      </w:pPr>
      <w:r w:rsidRPr="006D01BF">
        <w:rPr>
          <w:rFonts w:hint="cs"/>
          <w:rtl/>
        </w:rPr>
        <w:t xml:space="preserve">تقـرر </w:t>
      </w:r>
      <w:r w:rsidRPr="00A65FC7">
        <w:rPr>
          <w:rFonts w:hint="cs"/>
          <w:i w:val="0"/>
          <w:iCs w:val="0"/>
          <w:rtl/>
        </w:rPr>
        <w:t>طرح المسائل التالية للدراسة</w:t>
      </w:r>
    </w:p>
    <w:p w14:paraId="7B4CE53D" w14:textId="77777777" w:rsidR="008C308C" w:rsidRPr="006D01BF" w:rsidRDefault="008C308C" w:rsidP="008C308C">
      <w:pPr>
        <w:rPr>
          <w:rtl/>
        </w:rPr>
      </w:pPr>
      <w:r w:rsidRPr="006D01BF">
        <w:rPr>
          <w:lang w:val="en-GB"/>
        </w:rPr>
        <w:t>1</w:t>
      </w:r>
      <w:r w:rsidRPr="006D01BF">
        <w:rPr>
          <w:rFonts w:hint="cs"/>
          <w:rtl/>
        </w:rPr>
        <w:tab/>
        <w:t>ما هي نسب حماية الإشارة إلى التداخل التي تحدد عتبة التداخل الضار للخدمات</w:t>
      </w:r>
      <w:r w:rsidRPr="006D01BF">
        <w:rPr>
          <w:rFonts w:hint="eastAsia"/>
          <w:rtl/>
        </w:rPr>
        <w:t> </w:t>
      </w:r>
      <w:r w:rsidRPr="006D01BF">
        <w:rPr>
          <w:rFonts w:hint="cs"/>
          <w:rtl/>
        </w:rPr>
        <w:t>المتنقلة؟</w:t>
      </w:r>
    </w:p>
    <w:p w14:paraId="50035403" w14:textId="77777777" w:rsidR="008C308C" w:rsidRPr="001C43DE" w:rsidRDefault="008C308C" w:rsidP="008C308C">
      <w:pPr>
        <w:rPr>
          <w:spacing w:val="-6"/>
          <w:rtl/>
        </w:rPr>
      </w:pPr>
      <w:r w:rsidRPr="001C43DE">
        <w:rPr>
          <w:spacing w:val="-6"/>
          <w:lang w:val="en-GB"/>
        </w:rPr>
        <w:t>2</w:t>
      </w:r>
      <w:r w:rsidRPr="001C43DE">
        <w:rPr>
          <w:spacing w:val="-6"/>
          <w:lang w:val="en-GB"/>
        </w:rPr>
        <w:tab/>
      </w:r>
      <w:r w:rsidRPr="001C43DE">
        <w:rPr>
          <w:rFonts w:hint="cs"/>
          <w:spacing w:val="-6"/>
          <w:rtl/>
        </w:rPr>
        <w:t>ما هي نسب الإشارة إلى الضوضاء وأدنى شدة مجال لازمة لاستقبال مرضٍ لأصناف البث المختلفة في</w:t>
      </w:r>
      <w:r w:rsidRPr="001C43DE">
        <w:rPr>
          <w:rFonts w:hint="eastAsia"/>
          <w:spacing w:val="-6"/>
          <w:rtl/>
        </w:rPr>
        <w:t> </w:t>
      </w:r>
      <w:r w:rsidRPr="001C43DE">
        <w:rPr>
          <w:rFonts w:hint="cs"/>
          <w:spacing w:val="-6"/>
          <w:rtl/>
        </w:rPr>
        <w:t>الخدمات</w:t>
      </w:r>
      <w:r w:rsidRPr="001C43DE">
        <w:rPr>
          <w:rFonts w:hint="eastAsia"/>
          <w:spacing w:val="-6"/>
          <w:rtl/>
        </w:rPr>
        <w:t> </w:t>
      </w:r>
      <w:r w:rsidRPr="001C43DE">
        <w:rPr>
          <w:rFonts w:hint="cs"/>
          <w:spacing w:val="-6"/>
          <w:rtl/>
        </w:rPr>
        <w:t>المتنقلة؟</w:t>
      </w:r>
    </w:p>
    <w:p w14:paraId="2ABAE4DD" w14:textId="77777777" w:rsidR="008C308C" w:rsidRPr="006D01BF" w:rsidRDefault="008C308C" w:rsidP="008C308C">
      <w:pPr>
        <w:rPr>
          <w:rtl/>
        </w:rPr>
      </w:pPr>
      <w:r w:rsidRPr="006D01BF">
        <w:rPr>
          <w:lang w:val="en-GB"/>
        </w:rPr>
        <w:lastRenderedPageBreak/>
        <w:t>3</w:t>
      </w:r>
      <w:r w:rsidRPr="006D01BF">
        <w:rPr>
          <w:rFonts w:hint="cs"/>
          <w:rtl/>
        </w:rPr>
        <w:tab/>
        <w:t>ما هي قيم السماح المناسبة فيما يتعلق بالخبو في الخدمات المتنقلة؟</w:t>
      </w:r>
    </w:p>
    <w:p w14:paraId="5EEAA9BB" w14:textId="77777777" w:rsidR="008C308C" w:rsidRPr="006D01BF" w:rsidRDefault="008C308C" w:rsidP="008C308C">
      <w:pPr>
        <w:rPr>
          <w:lang w:val="en-GB"/>
        </w:rPr>
      </w:pPr>
      <w:r w:rsidRPr="006D01BF">
        <w:rPr>
          <w:lang w:val="en-GB"/>
        </w:rPr>
        <w:t>4</w:t>
      </w:r>
      <w:r w:rsidRPr="006D01BF">
        <w:rPr>
          <w:rFonts w:hint="cs"/>
          <w:rtl/>
        </w:rPr>
        <w:tab/>
        <w:t>ما هي توليفات التداخل وأنماط الموجة الحاملة المسببة للتداخل والمتأثرة بالتداخل المشمولة بنصوص قطاع الاتصالات الراديوية بشأن طرائق حساب</w:t>
      </w:r>
      <w:r w:rsidRPr="006D01BF">
        <w:rPr>
          <w:rFonts w:hint="eastAsia"/>
          <w:rtl/>
        </w:rPr>
        <w:t> </w:t>
      </w:r>
      <w:r w:rsidRPr="006D01BF">
        <w:rPr>
          <w:rFonts w:hint="cs"/>
          <w:rtl/>
        </w:rPr>
        <w:t>التداخل؟</w:t>
      </w:r>
    </w:p>
    <w:p w14:paraId="6B7E54A8" w14:textId="77777777" w:rsidR="008C308C" w:rsidRPr="00A26F0D" w:rsidRDefault="008C308C" w:rsidP="008C308C">
      <w:pPr>
        <w:rPr>
          <w:rtl/>
        </w:rPr>
      </w:pPr>
      <w:r w:rsidRPr="00A26F0D">
        <w:rPr>
          <w:lang w:val="en-GB"/>
        </w:rPr>
        <w:t>5</w:t>
      </w:r>
      <w:r w:rsidRPr="00A26F0D">
        <w:rPr>
          <w:rFonts w:hint="cs"/>
          <w:rtl/>
        </w:rPr>
        <w:tab/>
        <w:t>ما هي توليفات التداخل والموجات الحاملة المسببة للتداخل والمتأثرة بالتداخل التي لا تُغطيها حالياً نصوص قطاع الاتصالات الراديوية التي تصف معايير التداخل و/أو طرائق الحساب، وما هي المعايير وطرائق الحساب المناسبة لمثل هذه</w:t>
      </w:r>
      <w:r w:rsidRPr="00A26F0D">
        <w:rPr>
          <w:rFonts w:hint="eastAsia"/>
          <w:rtl/>
        </w:rPr>
        <w:t> </w:t>
      </w:r>
      <w:r w:rsidRPr="00A26F0D">
        <w:rPr>
          <w:rFonts w:hint="cs"/>
          <w:rtl/>
        </w:rPr>
        <w:t>التوليفات؟</w:t>
      </w:r>
    </w:p>
    <w:p w14:paraId="0DB1D357" w14:textId="77777777" w:rsidR="00C95563" w:rsidRPr="00DA54F9" w:rsidRDefault="008C308C" w:rsidP="00C95563">
      <w:pPr>
        <w:rPr>
          <w:lang w:val="en-GB"/>
        </w:rPr>
      </w:pPr>
      <w:r w:rsidRPr="006D01BF">
        <w:rPr>
          <w:lang w:val="en-GB"/>
        </w:rPr>
        <w:t>6</w:t>
      </w:r>
      <w:r w:rsidRPr="00DA54F9">
        <w:rPr>
          <w:rFonts w:hint="cs"/>
          <w:rtl/>
          <w:lang w:val="en-GB"/>
        </w:rPr>
        <w:tab/>
      </w:r>
      <w:r w:rsidR="00C95563" w:rsidRPr="00DA54F9">
        <w:rPr>
          <w:rtl/>
          <w:lang w:val="en-GB"/>
        </w:rPr>
        <w:t>ما هي الإرشادات، إن وُجدت، التي يمكن تقديمها في ظروف يمكن فيها اعتبار أن احتمال حدوث التداخل الضار بين الموجات الحاملة يمكن إغفاله؟</w:t>
      </w:r>
    </w:p>
    <w:p w14:paraId="74C86B4D" w14:textId="7A056F8B" w:rsidR="008C308C" w:rsidRPr="006D01BF" w:rsidRDefault="008C308C" w:rsidP="002A4BC4">
      <w:pPr>
        <w:pStyle w:val="Call"/>
        <w:rPr>
          <w:rtl/>
        </w:rPr>
      </w:pPr>
      <w:r w:rsidRPr="006D01BF">
        <w:rPr>
          <w:rFonts w:hint="cs"/>
          <w:rtl/>
        </w:rPr>
        <w:t>تقرر كذلك</w:t>
      </w:r>
    </w:p>
    <w:p w14:paraId="47C96E32" w14:textId="77777777" w:rsidR="008C308C" w:rsidRPr="006D01BF" w:rsidRDefault="008C308C" w:rsidP="008C308C">
      <w:pPr>
        <w:rPr>
          <w:rtl/>
        </w:rPr>
      </w:pPr>
      <w:r w:rsidRPr="006D01BF">
        <w:rPr>
          <w:lang w:val="en-GB"/>
        </w:rPr>
        <w:t>1</w:t>
      </w:r>
      <w:r w:rsidRPr="006D01BF">
        <w:rPr>
          <w:lang w:val="en-GB"/>
        </w:rPr>
        <w:tab/>
      </w:r>
      <w:r w:rsidRPr="006D01BF">
        <w:rPr>
          <w:rFonts w:hint="cs"/>
          <w:rtl/>
        </w:rPr>
        <w:t>ضرورة مواصلة الدراسات سالفة الذكر على نحو متزامن وبالسرعة</w:t>
      </w:r>
      <w:r w:rsidRPr="006D01BF">
        <w:rPr>
          <w:rFonts w:hint="eastAsia"/>
          <w:rtl/>
        </w:rPr>
        <w:t> </w:t>
      </w:r>
      <w:r w:rsidRPr="006D01BF">
        <w:rPr>
          <w:rFonts w:hint="cs"/>
          <w:rtl/>
        </w:rPr>
        <w:t>ذاتها؛</w:t>
      </w:r>
    </w:p>
    <w:p w14:paraId="15954C82" w14:textId="77777777" w:rsidR="008C308C" w:rsidRPr="006D01BF" w:rsidRDefault="008C308C" w:rsidP="008C308C">
      <w:pPr>
        <w:rPr>
          <w:lang w:val="en-GB"/>
        </w:rPr>
      </w:pPr>
      <w:r w:rsidRPr="006D01BF">
        <w:rPr>
          <w:lang w:val="en-GB"/>
        </w:rPr>
        <w:t>2</w:t>
      </w:r>
      <w:r w:rsidRPr="006D01BF">
        <w:rPr>
          <w:rFonts w:hint="cs"/>
          <w:rtl/>
        </w:rPr>
        <w:tab/>
        <w:t>ضرورة إيلاء أهمية خاصة لتلك الدراسات التي من شأنها أن تساعد على مزيد من التطوير للخصائص التقنية للأنظمة المتنقلة</w:t>
      </w:r>
      <w:r w:rsidRPr="006D01BF">
        <w:rPr>
          <w:rFonts w:hint="eastAsia"/>
          <w:rtl/>
        </w:rPr>
        <w:t> </w:t>
      </w:r>
      <w:r w:rsidRPr="006D01BF">
        <w:rPr>
          <w:rFonts w:hint="cs"/>
          <w:rtl/>
        </w:rPr>
        <w:t>البرية؛</w:t>
      </w:r>
    </w:p>
    <w:p w14:paraId="1BA4D0A0" w14:textId="77777777" w:rsidR="008C308C" w:rsidRPr="006D01BF" w:rsidRDefault="008C308C" w:rsidP="008C308C">
      <w:pPr>
        <w:rPr>
          <w:rtl/>
        </w:rPr>
      </w:pPr>
      <w:r w:rsidRPr="006D01BF">
        <w:rPr>
          <w:lang w:val="en-GB"/>
        </w:rPr>
        <w:t>3</w:t>
      </w:r>
      <w:r w:rsidRPr="006D01BF">
        <w:rPr>
          <w:rFonts w:hint="cs"/>
          <w:rtl/>
        </w:rPr>
        <w:tab/>
        <w:t>ضرورة أن تتناول الدراسات سالفة الذكر التداخل ضمن الخدمة ذاتها، بل تتناول أيضاً التداخل بين الخدمات بسبب التقاسم مع خدمات أخرى مثل الخدمة المتنقلة</w:t>
      </w:r>
      <w:r w:rsidRPr="006D01BF">
        <w:rPr>
          <w:rFonts w:hint="eastAsia"/>
          <w:rtl/>
        </w:rPr>
        <w:t> </w:t>
      </w:r>
      <w:r w:rsidRPr="006D01BF">
        <w:rPr>
          <w:rFonts w:hint="cs"/>
          <w:rtl/>
        </w:rPr>
        <w:t xml:space="preserve">الساتلية </w:t>
      </w:r>
      <w:r w:rsidRPr="00306778">
        <w:rPr>
          <w:lang w:val="en-GB"/>
        </w:rPr>
        <w:t>(</w:t>
      </w:r>
      <w:r w:rsidRPr="006D01BF">
        <w:rPr>
          <w:lang w:val="en-GB"/>
        </w:rPr>
        <w:t>MSS)</w:t>
      </w:r>
      <w:r w:rsidRPr="006D01BF">
        <w:rPr>
          <w:rFonts w:hint="cs"/>
          <w:rtl/>
        </w:rPr>
        <w:t>؛</w:t>
      </w:r>
    </w:p>
    <w:p w14:paraId="1CE442D9" w14:textId="77777777" w:rsidR="008C308C" w:rsidRPr="006D01BF" w:rsidRDefault="008C308C" w:rsidP="008C308C">
      <w:pPr>
        <w:rPr>
          <w:rtl/>
        </w:rPr>
      </w:pPr>
      <w:r w:rsidRPr="006D01BF">
        <w:rPr>
          <w:lang w:val="en-GB"/>
        </w:rPr>
        <w:t>4</w:t>
      </w:r>
      <w:r w:rsidRPr="006D01BF">
        <w:rPr>
          <w:lang w:val="en-GB"/>
        </w:rPr>
        <w:tab/>
      </w:r>
      <w:r w:rsidRPr="006D01BF">
        <w:rPr>
          <w:rFonts w:hint="cs"/>
          <w:rtl/>
        </w:rPr>
        <w:t>إدراج نتائج الدراسات سالفة الذكر في توصية أو تقرير أو كتيب أو</w:t>
      </w:r>
      <w:r w:rsidRPr="006D01BF">
        <w:rPr>
          <w:rFonts w:hint="eastAsia"/>
          <w:rtl/>
        </w:rPr>
        <w:t> </w:t>
      </w:r>
      <w:r w:rsidRPr="006D01BF">
        <w:rPr>
          <w:rFonts w:hint="cs"/>
          <w:rtl/>
        </w:rPr>
        <w:t>أكثر؛</w:t>
      </w:r>
    </w:p>
    <w:p w14:paraId="7BE54590" w14:textId="4299DB2C" w:rsidR="008C308C" w:rsidRPr="006D01BF" w:rsidRDefault="008C308C" w:rsidP="008C308C">
      <w:pPr>
        <w:rPr>
          <w:lang w:val="en-GB"/>
        </w:rPr>
      </w:pPr>
      <w:r w:rsidRPr="006D01BF">
        <w:rPr>
          <w:lang w:val="en-GB"/>
        </w:rPr>
        <w:t>5</w:t>
      </w:r>
      <w:r w:rsidRPr="006D01BF">
        <w:rPr>
          <w:rFonts w:hint="cs"/>
          <w:rtl/>
        </w:rPr>
        <w:tab/>
        <w:t>ضرورة إنجاز الدراسات سالفة الذكر بحلول عام</w:t>
      </w:r>
      <w:r w:rsidRPr="006D01BF">
        <w:rPr>
          <w:rFonts w:hint="eastAsia"/>
          <w:rtl/>
        </w:rPr>
        <w:t> </w:t>
      </w:r>
      <w:r w:rsidR="008179ED">
        <w:rPr>
          <w:lang w:val="en-GB"/>
        </w:rPr>
        <w:t>202</w:t>
      </w:r>
      <w:r w:rsidR="007F3D9F">
        <w:rPr>
          <w:lang w:val="ru-RU"/>
        </w:rPr>
        <w:t>7</w:t>
      </w:r>
      <w:r w:rsidRPr="006D01BF">
        <w:rPr>
          <w:rFonts w:hint="cs"/>
          <w:rtl/>
        </w:rPr>
        <w:t>.</w:t>
      </w:r>
    </w:p>
    <w:p w14:paraId="25AA9123" w14:textId="184F5E51" w:rsidR="008C308C" w:rsidRPr="00606E86" w:rsidRDefault="008C308C" w:rsidP="008C308C">
      <w:pPr>
        <w:pStyle w:val="Note"/>
        <w:tabs>
          <w:tab w:val="clear" w:pos="794"/>
          <w:tab w:val="clear" w:pos="1361"/>
          <w:tab w:val="clear" w:pos="1928"/>
          <w:tab w:val="left" w:pos="1134"/>
          <w:tab w:val="left" w:pos="1417"/>
        </w:tabs>
        <w:ind w:left="1134" w:hanging="1134"/>
        <w:rPr>
          <w:spacing w:val="-2"/>
          <w:rtl/>
        </w:rPr>
      </w:pPr>
      <w:r w:rsidRPr="002C31FC">
        <w:rPr>
          <w:rFonts w:hint="cs"/>
          <w:b/>
          <w:bCs/>
          <w:spacing w:val="-2"/>
          <w:rtl/>
        </w:rPr>
        <w:t xml:space="preserve">الملاحظة </w:t>
      </w:r>
      <w:r w:rsidRPr="002C31FC">
        <w:rPr>
          <w:b/>
          <w:bCs/>
          <w:spacing w:val="-2"/>
          <w:lang w:val="en-GB"/>
        </w:rPr>
        <w:t>1</w:t>
      </w:r>
      <w:r w:rsidRPr="00606E86">
        <w:rPr>
          <w:rFonts w:hint="cs"/>
          <w:spacing w:val="-2"/>
          <w:rtl/>
        </w:rPr>
        <w:t xml:space="preserve"> -</w:t>
      </w:r>
      <w:r>
        <w:rPr>
          <w:spacing w:val="-2"/>
          <w:rtl/>
        </w:rPr>
        <w:tab/>
      </w:r>
      <w:r>
        <w:rPr>
          <w:spacing w:val="-2"/>
          <w:rtl/>
        </w:rPr>
        <w:tab/>
      </w:r>
      <w:r w:rsidRPr="00606E86">
        <w:rPr>
          <w:rFonts w:hint="cs"/>
          <w:spacing w:val="-2"/>
          <w:rtl/>
        </w:rPr>
        <w:t xml:space="preserve">يرجى الرجوع إلى التوصيات </w:t>
      </w:r>
      <w:hyperlink r:id="rId7" w:history="1">
        <w:r w:rsidRPr="006A6563">
          <w:rPr>
            <w:rStyle w:val="Hyperlink"/>
            <w:spacing w:val="-2"/>
            <w:lang w:val="en-GB"/>
          </w:rPr>
          <w:t>ITU</w:t>
        </w:r>
        <w:r w:rsidRPr="006A6563">
          <w:rPr>
            <w:rStyle w:val="Hyperlink"/>
            <w:spacing w:val="-2"/>
            <w:lang w:val="en-GB"/>
          </w:rPr>
          <w:noBreakHyphen/>
          <w:t>R M.478</w:t>
        </w:r>
      </w:hyperlink>
      <w:r w:rsidRPr="00606E86">
        <w:rPr>
          <w:rFonts w:hint="cs"/>
          <w:spacing w:val="-2"/>
          <w:rtl/>
        </w:rPr>
        <w:t xml:space="preserve"> و</w:t>
      </w:r>
      <w:hyperlink r:id="rId8" w:history="1">
        <w:r w:rsidRPr="006A6563">
          <w:rPr>
            <w:rStyle w:val="Hyperlink"/>
            <w:spacing w:val="-2"/>
            <w:lang w:val="en-GB"/>
          </w:rPr>
          <w:t>ITU-R M.1825</w:t>
        </w:r>
      </w:hyperlink>
      <w:r w:rsidRPr="00606E86">
        <w:rPr>
          <w:rFonts w:hint="cs"/>
          <w:spacing w:val="-2"/>
          <w:rtl/>
        </w:rPr>
        <w:t xml:space="preserve"> و</w:t>
      </w:r>
      <w:hyperlink r:id="rId9" w:history="1">
        <w:r w:rsidRPr="006A6563">
          <w:rPr>
            <w:rStyle w:val="Hyperlink"/>
            <w:spacing w:val="-2"/>
            <w:lang w:val="en-GB"/>
          </w:rPr>
          <w:t>ITU-R M 2068</w:t>
        </w:r>
      </w:hyperlink>
      <w:r w:rsidRPr="00606E86">
        <w:rPr>
          <w:rFonts w:hint="cs"/>
          <w:spacing w:val="-2"/>
          <w:rtl/>
        </w:rPr>
        <w:t xml:space="preserve"> و</w:t>
      </w:r>
      <w:hyperlink r:id="rId10" w:history="1">
        <w:r w:rsidRPr="00103388">
          <w:rPr>
            <w:rStyle w:val="Hyperlink"/>
            <w:spacing w:val="-2"/>
            <w:lang w:val="en-GB"/>
          </w:rPr>
          <w:t>ITU</w:t>
        </w:r>
        <w:r w:rsidRPr="00103388">
          <w:rPr>
            <w:rStyle w:val="Hyperlink"/>
            <w:spacing w:val="-2"/>
            <w:lang w:val="en-GB"/>
          </w:rPr>
          <w:noBreakHyphen/>
          <w:t>R SM.331</w:t>
        </w:r>
      </w:hyperlink>
      <w:r w:rsidRPr="00606E86">
        <w:rPr>
          <w:rFonts w:hint="cs"/>
          <w:spacing w:val="-2"/>
          <w:rtl/>
        </w:rPr>
        <w:t xml:space="preserve"> </w:t>
      </w:r>
      <w:r>
        <w:rPr>
          <w:spacing w:val="-2"/>
          <w:rtl/>
        </w:rPr>
        <w:tab/>
      </w:r>
      <w:r w:rsidRPr="00606E86">
        <w:rPr>
          <w:rFonts w:hint="cs"/>
          <w:spacing w:val="-2"/>
          <w:rtl/>
        </w:rPr>
        <w:t>و</w:t>
      </w:r>
      <w:hyperlink r:id="rId11" w:history="1">
        <w:r w:rsidRPr="003201FB">
          <w:rPr>
            <w:rStyle w:val="Hyperlink"/>
            <w:spacing w:val="-2"/>
            <w:lang w:val="en-GB"/>
          </w:rPr>
          <w:t>ITU</w:t>
        </w:r>
        <w:r w:rsidRPr="003201FB">
          <w:rPr>
            <w:rStyle w:val="Hyperlink"/>
            <w:spacing w:val="-2"/>
            <w:lang w:val="en-GB"/>
          </w:rPr>
          <w:noBreakHyphen/>
          <w:t>R SM.337</w:t>
        </w:r>
      </w:hyperlink>
      <w:r w:rsidRPr="00606E86">
        <w:rPr>
          <w:rFonts w:hint="cs"/>
          <w:spacing w:val="-2"/>
          <w:rtl/>
        </w:rPr>
        <w:t xml:space="preserve"> و</w:t>
      </w:r>
      <w:hyperlink r:id="rId12" w:history="1">
        <w:r w:rsidRPr="00EB14DD">
          <w:rPr>
            <w:rStyle w:val="Hyperlink"/>
            <w:spacing w:val="-2"/>
            <w:lang w:val="en-GB"/>
          </w:rPr>
          <w:t>ITU</w:t>
        </w:r>
        <w:r w:rsidRPr="00EB14DD">
          <w:rPr>
            <w:rStyle w:val="Hyperlink"/>
            <w:spacing w:val="-2"/>
            <w:lang w:val="en-GB"/>
          </w:rPr>
          <w:noBreakHyphen/>
          <w:t>R SM.852</w:t>
        </w:r>
      </w:hyperlink>
      <w:r w:rsidRPr="00606E86">
        <w:rPr>
          <w:rFonts w:hint="cs"/>
          <w:spacing w:val="-2"/>
          <w:rtl/>
        </w:rPr>
        <w:t xml:space="preserve"> و</w:t>
      </w:r>
      <w:hyperlink r:id="rId13" w:history="1">
        <w:r w:rsidRPr="00CE5F7C">
          <w:rPr>
            <w:rStyle w:val="Hyperlink"/>
            <w:spacing w:val="-2"/>
            <w:lang w:val="en-GB"/>
          </w:rPr>
          <w:t>ITU-R SM.1751</w:t>
        </w:r>
      </w:hyperlink>
      <w:r w:rsidRPr="00606E86">
        <w:rPr>
          <w:rFonts w:hint="cs"/>
          <w:spacing w:val="-2"/>
          <w:rtl/>
        </w:rPr>
        <w:t>.</w:t>
      </w:r>
    </w:p>
    <w:p w14:paraId="1B8EADE1" w14:textId="7C7FEA43" w:rsidR="008C308C" w:rsidRPr="006D01BF" w:rsidRDefault="008C308C" w:rsidP="008C308C">
      <w:pPr>
        <w:pStyle w:val="Note"/>
        <w:tabs>
          <w:tab w:val="clear" w:pos="794"/>
          <w:tab w:val="clear" w:pos="1361"/>
          <w:tab w:val="clear" w:pos="1928"/>
          <w:tab w:val="left" w:pos="1134"/>
          <w:tab w:val="left" w:pos="1417"/>
        </w:tabs>
        <w:ind w:left="1134" w:hanging="1134"/>
        <w:rPr>
          <w:rtl/>
        </w:rPr>
      </w:pPr>
      <w:r w:rsidRPr="002C31FC">
        <w:rPr>
          <w:rFonts w:hint="cs"/>
          <w:b/>
          <w:bCs/>
          <w:rtl/>
        </w:rPr>
        <w:t xml:space="preserve">الملاحظة </w:t>
      </w:r>
      <w:r w:rsidRPr="002C31FC">
        <w:rPr>
          <w:b/>
          <w:bCs/>
          <w:lang w:val="en-GB"/>
        </w:rPr>
        <w:t>2</w:t>
      </w:r>
      <w:r w:rsidRPr="006D01BF">
        <w:rPr>
          <w:rFonts w:hint="cs"/>
          <w:rtl/>
        </w:rPr>
        <w:t xml:space="preserve"> -</w:t>
      </w:r>
      <w:r>
        <w:rPr>
          <w:rtl/>
        </w:rPr>
        <w:tab/>
      </w:r>
      <w:r w:rsidRPr="006D01BF">
        <w:rPr>
          <w:rFonts w:hint="cs"/>
          <w:rtl/>
        </w:rPr>
        <w:t xml:space="preserve">يرجى الرجوع إلى التقارير </w:t>
      </w:r>
      <w:hyperlink r:id="rId14" w:history="1">
        <w:r w:rsidRPr="006C2AEB">
          <w:rPr>
            <w:rStyle w:val="Hyperlink"/>
            <w:lang w:val="en-GB"/>
          </w:rPr>
          <w:t>ITU</w:t>
        </w:r>
        <w:r w:rsidRPr="006C2AEB">
          <w:rPr>
            <w:rStyle w:val="Hyperlink"/>
            <w:lang w:val="en-GB"/>
          </w:rPr>
          <w:noBreakHyphen/>
          <w:t>R M.739</w:t>
        </w:r>
      </w:hyperlink>
      <w:r w:rsidRPr="006D01BF">
        <w:rPr>
          <w:rFonts w:hint="cs"/>
          <w:rtl/>
        </w:rPr>
        <w:t xml:space="preserve"> و</w:t>
      </w:r>
      <w:hyperlink r:id="rId15" w:history="1">
        <w:r w:rsidRPr="003201FB">
          <w:rPr>
            <w:rStyle w:val="Hyperlink"/>
            <w:lang w:val="en-GB"/>
          </w:rPr>
          <w:t>ITU-R M.2116</w:t>
        </w:r>
      </w:hyperlink>
      <w:r w:rsidRPr="006D01BF">
        <w:rPr>
          <w:rFonts w:hint="cs"/>
          <w:rtl/>
        </w:rPr>
        <w:t xml:space="preserve"> و</w:t>
      </w:r>
      <w:hyperlink r:id="rId16" w:history="1">
        <w:r w:rsidRPr="003201FB">
          <w:rPr>
            <w:rStyle w:val="Hyperlink"/>
            <w:lang w:val="en-GB"/>
          </w:rPr>
          <w:t>ITU-R M.2292</w:t>
        </w:r>
      </w:hyperlink>
      <w:r w:rsidRPr="006D01BF">
        <w:rPr>
          <w:rFonts w:hint="cs"/>
          <w:rtl/>
        </w:rPr>
        <w:t>.</w:t>
      </w:r>
    </w:p>
    <w:p w14:paraId="4BB15320" w14:textId="77777777" w:rsidR="008C308C" w:rsidRDefault="008C308C" w:rsidP="008C308C">
      <w:pPr>
        <w:spacing w:before="360"/>
        <w:rPr>
          <w:rtl/>
          <w:lang w:val="en-GB"/>
        </w:rPr>
      </w:pPr>
      <w:r w:rsidRPr="006D01BF">
        <w:rPr>
          <w:rFonts w:hint="cs"/>
          <w:rtl/>
        </w:rPr>
        <w:t xml:space="preserve">الفئة: </w:t>
      </w:r>
      <w:r w:rsidRPr="006D01BF">
        <w:rPr>
          <w:lang w:val="en-GB"/>
        </w:rPr>
        <w:t>S2</w:t>
      </w:r>
    </w:p>
    <w:p w14:paraId="6CCEC9EA" w14:textId="77777777" w:rsidR="00CC001C" w:rsidRDefault="00CC001C" w:rsidP="008C308C">
      <w:pPr>
        <w:rPr>
          <w:lang w:bidi="ar-EG"/>
        </w:rPr>
      </w:pPr>
    </w:p>
    <w:sectPr w:rsidR="00CC001C" w:rsidSect="00100FE9">
      <w:headerReference w:type="default" r:id="rId1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2610" w14:textId="77777777" w:rsidR="00CB2438" w:rsidRDefault="00CB2438" w:rsidP="008C308C">
      <w:pPr>
        <w:spacing w:before="0" w:line="240" w:lineRule="auto"/>
      </w:pPr>
      <w:r>
        <w:separator/>
      </w:r>
    </w:p>
  </w:endnote>
  <w:endnote w:type="continuationSeparator" w:id="0">
    <w:p w14:paraId="4EB1A4FF" w14:textId="77777777" w:rsidR="00CB2438" w:rsidRDefault="00CB2438" w:rsidP="008C308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DAE0" w14:textId="77777777" w:rsidR="00CB2438" w:rsidRDefault="00CB2438" w:rsidP="008C308C">
      <w:pPr>
        <w:spacing w:before="0" w:line="240" w:lineRule="auto"/>
      </w:pPr>
      <w:r>
        <w:separator/>
      </w:r>
    </w:p>
  </w:footnote>
  <w:footnote w:type="continuationSeparator" w:id="0">
    <w:p w14:paraId="30DBC29D" w14:textId="77777777" w:rsidR="00CB2438" w:rsidRDefault="00CB2438" w:rsidP="008C308C">
      <w:pPr>
        <w:spacing w:before="0" w:line="240" w:lineRule="auto"/>
      </w:pPr>
      <w:r>
        <w:continuationSeparator/>
      </w:r>
    </w:p>
  </w:footnote>
  <w:footnote w:id="1">
    <w:p w14:paraId="2998BEEE" w14:textId="77777777" w:rsidR="008C308C" w:rsidRPr="00626F17" w:rsidRDefault="008C308C" w:rsidP="00DA54F9">
      <w:pPr>
        <w:pStyle w:val="Footnotetexte"/>
        <w:rPr>
          <w:rtl/>
        </w:rPr>
      </w:pPr>
      <w:r w:rsidRPr="00DA54F9">
        <w:rPr>
          <w:rStyle w:val="FootnoteReference"/>
          <w:rFonts w:cs="Times New Roman"/>
          <w:rtl/>
        </w:rPr>
        <w:t>*</w:t>
      </w:r>
      <w:r w:rsidRPr="00DA54F9">
        <w:rPr>
          <w:rtl/>
        </w:rPr>
        <w:tab/>
      </w:r>
      <w:r w:rsidRPr="00D31A96">
        <w:rPr>
          <w:rFonts w:hint="cs"/>
          <w:rtl/>
        </w:rPr>
        <w:t>ينبغي إحاطة لجان دراسات الاتصالات الراديوية </w:t>
      </w:r>
      <w:r w:rsidRPr="00D31A96">
        <w:t>1</w:t>
      </w:r>
      <w:r w:rsidRPr="00D31A96">
        <w:rPr>
          <w:rFonts w:hint="cs"/>
          <w:rtl/>
        </w:rPr>
        <w:t xml:space="preserve"> و</w:t>
      </w:r>
      <w:r w:rsidRPr="00D31A96">
        <w:t>4</w:t>
      </w:r>
      <w:r w:rsidRPr="00D31A96">
        <w:rPr>
          <w:rFonts w:hint="cs"/>
          <w:rtl/>
        </w:rPr>
        <w:t xml:space="preserve"> و</w:t>
      </w:r>
      <w:r w:rsidRPr="00D31A96">
        <w:t>6</w:t>
      </w:r>
      <w:r w:rsidRPr="00D31A96">
        <w:rPr>
          <w:rFonts w:hint="cs"/>
          <w:rtl/>
        </w:rPr>
        <w:t xml:space="preserve"> و</w:t>
      </w:r>
      <w:r w:rsidRPr="00D31A96">
        <w:t>7</w:t>
      </w:r>
      <w:r w:rsidRPr="00D31A96">
        <w:rPr>
          <w:rFonts w:hint="cs"/>
          <w:rtl/>
        </w:rPr>
        <w:t xml:space="preserve"> علماً بهذه المسألة.</w:t>
      </w:r>
    </w:p>
  </w:footnote>
  <w:footnote w:id="2">
    <w:p w14:paraId="2DE2C665" w14:textId="7BFB1E5B" w:rsidR="00DA54F9" w:rsidRPr="00DA54F9" w:rsidRDefault="00DA54F9" w:rsidP="00DA54F9">
      <w:pPr>
        <w:pStyle w:val="Footnotetexte"/>
        <w:rPr>
          <w:rtl/>
        </w:rPr>
      </w:pPr>
      <w:r>
        <w:rPr>
          <w:rStyle w:val="FootnoteReference"/>
          <w:rtl/>
        </w:rPr>
        <w:t>**</w:t>
      </w:r>
      <w:r>
        <w:rPr>
          <w:rtl/>
        </w:rPr>
        <w:tab/>
      </w:r>
      <w:r w:rsidRPr="00DA54F9">
        <w:rPr>
          <w:rFonts w:hint="cs"/>
          <w:rtl/>
        </w:rPr>
        <w:t xml:space="preserve">قامت لجنة الدراسات </w:t>
      </w:r>
      <w:r w:rsidRPr="00DA54F9">
        <w:t>5</w:t>
      </w:r>
      <w:r w:rsidRPr="00DA54F9">
        <w:rPr>
          <w:rFonts w:hint="cs"/>
          <w:rtl/>
        </w:rPr>
        <w:t xml:space="preserve"> للاتصالات الراديوية في عام </w:t>
      </w:r>
      <w:r w:rsidRPr="00DA54F9">
        <w:t>2019</w:t>
      </w:r>
      <w:r w:rsidRPr="00DA54F9">
        <w:rPr>
          <w:rFonts w:hint="cs"/>
          <w:rtl/>
        </w:rPr>
        <w:t xml:space="preserve"> بتمديد تاريخ إنجاز الدراسات المتعلقة بهذه المسألة.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AA9D" w14:textId="5C189B6C" w:rsidR="008C308C" w:rsidRPr="00DA54F9" w:rsidRDefault="008C308C" w:rsidP="00DA54F9">
    <w:pPr>
      <w:pStyle w:val="Header"/>
      <w:bidi w:val="0"/>
      <w:jc w:val="center"/>
      <w:rPr>
        <w:sz w:val="20"/>
        <w:szCs w:val="20"/>
      </w:rPr>
    </w:pPr>
    <w:r w:rsidRPr="00DA54F9">
      <w:rPr>
        <w:sz w:val="20"/>
        <w:szCs w:val="20"/>
      </w:rPr>
      <w:t xml:space="preserve"> </w:t>
    </w:r>
    <w:r w:rsidR="00DA54F9" w:rsidRPr="00DA54F9">
      <w:rPr>
        <w:sz w:val="20"/>
        <w:szCs w:val="20"/>
      </w:rPr>
      <w:t xml:space="preserve">- </w:t>
    </w:r>
    <w:sdt>
      <w:sdtPr>
        <w:rPr>
          <w:sz w:val="20"/>
          <w:szCs w:val="20"/>
        </w:rPr>
        <w:id w:val="2047634671"/>
        <w:docPartObj>
          <w:docPartGallery w:val="Page Numbers (Top of Page)"/>
          <w:docPartUnique/>
        </w:docPartObj>
      </w:sdtPr>
      <w:sdtEndPr>
        <w:rPr>
          <w:noProof/>
        </w:rPr>
      </w:sdtEndPr>
      <w:sdtContent>
        <w:r w:rsidRPr="00DA54F9">
          <w:rPr>
            <w:sz w:val="20"/>
            <w:szCs w:val="20"/>
          </w:rPr>
          <w:fldChar w:fldCharType="begin"/>
        </w:r>
        <w:r w:rsidRPr="00DA54F9">
          <w:rPr>
            <w:sz w:val="20"/>
            <w:szCs w:val="20"/>
          </w:rPr>
          <w:instrText xml:space="preserve"> PAGE   \* MERGEFORMAT </w:instrText>
        </w:r>
        <w:r w:rsidRPr="00DA54F9">
          <w:rPr>
            <w:sz w:val="20"/>
            <w:szCs w:val="20"/>
          </w:rPr>
          <w:fldChar w:fldCharType="separate"/>
        </w:r>
        <w:r w:rsidR="008179ED" w:rsidRPr="00DA54F9">
          <w:rPr>
            <w:noProof/>
            <w:sz w:val="20"/>
            <w:szCs w:val="20"/>
            <w:rtl/>
          </w:rPr>
          <w:t>2</w:t>
        </w:r>
        <w:r w:rsidRPr="00DA54F9">
          <w:rPr>
            <w:noProof/>
            <w:sz w:val="20"/>
            <w:szCs w:val="20"/>
          </w:rPr>
          <w:fldChar w:fldCharType="end"/>
        </w:r>
        <w:r w:rsidRPr="00DA54F9">
          <w:rPr>
            <w:noProof/>
            <w:sz w:val="20"/>
            <w:szCs w:val="20"/>
          </w:rPr>
          <w:t xml:space="preserve"> - </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8C"/>
    <w:rsid w:val="00100FE9"/>
    <w:rsid w:val="00103388"/>
    <w:rsid w:val="001C43DE"/>
    <w:rsid w:val="00212B6B"/>
    <w:rsid w:val="002A4BC4"/>
    <w:rsid w:val="00306778"/>
    <w:rsid w:val="003201FB"/>
    <w:rsid w:val="004852F4"/>
    <w:rsid w:val="006A6563"/>
    <w:rsid w:val="006C2AEB"/>
    <w:rsid w:val="007F3D9F"/>
    <w:rsid w:val="008179ED"/>
    <w:rsid w:val="008C308C"/>
    <w:rsid w:val="00A26F0D"/>
    <w:rsid w:val="00C95563"/>
    <w:rsid w:val="00CB2438"/>
    <w:rsid w:val="00CC001C"/>
    <w:rsid w:val="00CE5F7C"/>
    <w:rsid w:val="00DA54F9"/>
    <w:rsid w:val="00EB14DD"/>
    <w:rsid w:val="00F10327"/>
    <w:rsid w:val="00FE11D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F0495"/>
  <w15:chartTrackingRefBased/>
  <w15:docId w15:val="{F6488E3B-ECCC-4D0E-9432-48DEA0FF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08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line="192" w:lineRule="auto"/>
      <w:jc w:val="both"/>
    </w:pPr>
    <w:rPr>
      <w:rFonts w:ascii="Calibri" w:hAnsi="Calibri" w:cs="Traditional Arabic"/>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qFormat/>
    <w:rsid w:val="008C308C"/>
    <w:pPr>
      <w:keepNext/>
      <w:spacing w:before="160"/>
      <w:ind w:left="1588" w:hanging="794"/>
    </w:pPr>
    <w:rPr>
      <w:i/>
      <w:iCs/>
    </w:rPr>
  </w:style>
  <w:style w:type="paragraph" w:styleId="Date">
    <w:name w:val="Date"/>
    <w:basedOn w:val="Normal"/>
    <w:next w:val="Normal"/>
    <w:link w:val="DateChar"/>
    <w:uiPriority w:val="99"/>
    <w:unhideWhenUsed/>
    <w:rsid w:val="008C308C"/>
    <w:pPr>
      <w:keepNext/>
      <w:spacing w:after="120"/>
      <w:jc w:val="right"/>
    </w:pPr>
  </w:style>
  <w:style w:type="character" w:customStyle="1" w:styleId="DateChar">
    <w:name w:val="Date Char"/>
    <w:basedOn w:val="DefaultParagraphFont"/>
    <w:link w:val="Date"/>
    <w:uiPriority w:val="99"/>
    <w:rsid w:val="008C308C"/>
    <w:rPr>
      <w:rFonts w:ascii="Calibri" w:hAnsi="Calibri" w:cs="Traditional Arabic"/>
      <w:szCs w:val="30"/>
      <w:lang w:val="en-US"/>
    </w:rPr>
  </w:style>
  <w:style w:type="character" w:styleId="FootnoteReference">
    <w:name w:val="footnote reference"/>
    <w:basedOn w:val="DefaultParagraphFont"/>
    <w:uiPriority w:val="99"/>
    <w:unhideWhenUsed/>
    <w:qFormat/>
    <w:rsid w:val="008C308C"/>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8C308C"/>
    <w:pPr>
      <w:keepNext/>
      <w:spacing w:before="360"/>
    </w:pPr>
    <w:rPr>
      <w:lang w:bidi="ar-SY"/>
    </w:rPr>
  </w:style>
  <w:style w:type="paragraph" w:customStyle="1" w:styleId="Note">
    <w:name w:val="Note"/>
    <w:basedOn w:val="Normal"/>
    <w:qFormat/>
    <w:rsid w:val="008C308C"/>
    <w:pPr>
      <w:spacing w:before="80"/>
    </w:pPr>
  </w:style>
  <w:style w:type="paragraph" w:customStyle="1" w:styleId="Title1">
    <w:name w:val="Title 1"/>
    <w:basedOn w:val="Normal"/>
    <w:qFormat/>
    <w:rsid w:val="008C308C"/>
    <w:pPr>
      <w:keepNext/>
      <w:spacing w:before="480" w:after="240"/>
      <w:jc w:val="center"/>
    </w:pPr>
    <w:rPr>
      <w:sz w:val="28"/>
      <w:szCs w:val="40"/>
    </w:rPr>
  </w:style>
  <w:style w:type="paragraph" w:customStyle="1" w:styleId="Footnotetexte">
    <w:name w:val="Footnote texte"/>
    <w:basedOn w:val="Normal"/>
    <w:qFormat/>
    <w:rsid w:val="008C308C"/>
    <w:pPr>
      <w:tabs>
        <w:tab w:val="left" w:pos="397"/>
        <w:tab w:val="left" w:pos="567"/>
      </w:tabs>
      <w:spacing w:before="60" w:line="168" w:lineRule="auto"/>
    </w:pPr>
    <w:rPr>
      <w:sz w:val="20"/>
      <w:szCs w:val="26"/>
      <w:lang w:bidi="ar-SY"/>
    </w:rPr>
  </w:style>
  <w:style w:type="paragraph" w:customStyle="1" w:styleId="QuestionNo">
    <w:name w:val="Question_No"/>
    <w:basedOn w:val="Normal"/>
    <w:qFormat/>
    <w:rsid w:val="008C308C"/>
    <w:pPr>
      <w:keepNext/>
      <w:keepLines/>
      <w:spacing w:before="360" w:after="120"/>
      <w:jc w:val="center"/>
    </w:pPr>
    <w:rPr>
      <w:sz w:val="26"/>
      <w:szCs w:val="36"/>
    </w:rPr>
  </w:style>
  <w:style w:type="paragraph" w:customStyle="1" w:styleId="QuestionTitle">
    <w:name w:val="Question_Title"/>
    <w:basedOn w:val="QuestionNo"/>
    <w:qFormat/>
    <w:rsid w:val="008C308C"/>
    <w:pPr>
      <w:spacing w:before="120" w:after="360"/>
    </w:pPr>
    <w:rPr>
      <w:b/>
      <w:bCs/>
      <w:sz w:val="28"/>
      <w:szCs w:val="40"/>
      <w:lang w:val="en-GB"/>
    </w:rPr>
  </w:style>
  <w:style w:type="paragraph" w:styleId="Header">
    <w:name w:val="header"/>
    <w:basedOn w:val="Normal"/>
    <w:link w:val="HeaderChar"/>
    <w:uiPriority w:val="99"/>
    <w:unhideWhenUsed/>
    <w:rsid w:val="008C30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513"/>
        <w:tab w:val="right" w:pos="9026"/>
      </w:tabs>
      <w:spacing w:before="0" w:line="240" w:lineRule="auto"/>
    </w:pPr>
  </w:style>
  <w:style w:type="character" w:customStyle="1" w:styleId="HeaderChar">
    <w:name w:val="Header Char"/>
    <w:basedOn w:val="DefaultParagraphFont"/>
    <w:link w:val="Header"/>
    <w:uiPriority w:val="99"/>
    <w:rsid w:val="008C308C"/>
    <w:rPr>
      <w:rFonts w:ascii="Calibri" w:hAnsi="Calibri" w:cs="Traditional Arabic"/>
      <w:szCs w:val="30"/>
      <w:lang w:val="en-US"/>
    </w:rPr>
  </w:style>
  <w:style w:type="paragraph" w:styleId="Footer">
    <w:name w:val="footer"/>
    <w:basedOn w:val="Normal"/>
    <w:link w:val="FooterChar"/>
    <w:uiPriority w:val="99"/>
    <w:unhideWhenUsed/>
    <w:rsid w:val="008C30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513"/>
        <w:tab w:val="right" w:pos="9026"/>
      </w:tabs>
      <w:spacing w:before="0" w:line="240" w:lineRule="auto"/>
    </w:pPr>
  </w:style>
  <w:style w:type="character" w:customStyle="1" w:styleId="FooterChar">
    <w:name w:val="Footer Char"/>
    <w:basedOn w:val="DefaultParagraphFont"/>
    <w:link w:val="Footer"/>
    <w:uiPriority w:val="99"/>
    <w:rsid w:val="008C308C"/>
    <w:rPr>
      <w:rFonts w:ascii="Calibri" w:hAnsi="Calibri" w:cs="Traditional Arabic"/>
      <w:szCs w:val="30"/>
      <w:lang w:val="en-US"/>
    </w:rPr>
  </w:style>
  <w:style w:type="paragraph" w:styleId="Revision">
    <w:name w:val="Revision"/>
    <w:hidden/>
    <w:uiPriority w:val="99"/>
    <w:semiHidden/>
    <w:rsid w:val="00DA54F9"/>
    <w:rPr>
      <w:rFonts w:ascii="Calibri" w:hAnsi="Calibri" w:cs="Traditional Arabic"/>
      <w:szCs w:val="30"/>
      <w:lang w:val="en-US"/>
    </w:rPr>
  </w:style>
  <w:style w:type="paragraph" w:styleId="FootnoteText">
    <w:name w:val="footnote text"/>
    <w:basedOn w:val="Normal"/>
    <w:link w:val="FootnoteTextChar"/>
    <w:uiPriority w:val="99"/>
    <w:semiHidden/>
    <w:unhideWhenUsed/>
    <w:rsid w:val="00DA54F9"/>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DA54F9"/>
    <w:rPr>
      <w:rFonts w:ascii="Calibri" w:hAnsi="Calibri" w:cs="Traditional Arabic"/>
      <w:sz w:val="20"/>
      <w:szCs w:val="20"/>
      <w:lang w:val="en-US"/>
    </w:rPr>
  </w:style>
  <w:style w:type="character" w:styleId="Hyperlink">
    <w:name w:val="Hyperlink"/>
    <w:basedOn w:val="DefaultParagraphFont"/>
    <w:uiPriority w:val="99"/>
    <w:unhideWhenUsed/>
    <w:rsid w:val="00103388"/>
    <w:rPr>
      <w:color w:val="0563C1" w:themeColor="hyperlink"/>
      <w:u w:val="single"/>
    </w:rPr>
  </w:style>
  <w:style w:type="character" w:styleId="UnresolvedMention">
    <w:name w:val="Unresolved Mention"/>
    <w:basedOn w:val="DefaultParagraphFont"/>
    <w:uiPriority w:val="99"/>
    <w:semiHidden/>
    <w:unhideWhenUsed/>
    <w:rsid w:val="00103388"/>
    <w:rPr>
      <w:color w:val="605E5C"/>
      <w:shd w:val="clear" w:color="auto" w:fill="E1DFDD"/>
    </w:rPr>
  </w:style>
  <w:style w:type="character" w:styleId="FollowedHyperlink">
    <w:name w:val="FollowedHyperlink"/>
    <w:basedOn w:val="DefaultParagraphFont"/>
    <w:uiPriority w:val="99"/>
    <w:semiHidden/>
    <w:unhideWhenUsed/>
    <w:rsid w:val="001033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91527">
      <w:bodyDiv w:val="1"/>
      <w:marLeft w:val="0"/>
      <w:marRight w:val="0"/>
      <w:marTop w:val="0"/>
      <w:marBottom w:val="0"/>
      <w:divBdr>
        <w:top w:val="none" w:sz="0" w:space="0" w:color="auto"/>
        <w:left w:val="none" w:sz="0" w:space="0" w:color="auto"/>
        <w:bottom w:val="none" w:sz="0" w:space="0" w:color="auto"/>
        <w:right w:val="none" w:sz="0" w:space="0" w:color="auto"/>
      </w:divBdr>
    </w:div>
    <w:div w:id="210075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1825-0-200710-I/en" TargetMode="External"/><Relationship Id="rId13" Type="http://schemas.openxmlformats.org/officeDocument/2006/relationships/hyperlink" Target="https://www.itu.int/rec/R-REC-SM.1751-0-200605-I/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rec/R-REC-M.478-5-199510-I/en" TargetMode="External"/><Relationship Id="rId12" Type="http://schemas.openxmlformats.org/officeDocument/2006/relationships/hyperlink" Target="https://www.itu.int/rec/R-REC-SM.852-0-199203-I/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pub/R-REP-M.2292-201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rec/R-REC-SM.337-6-200810-I/en" TargetMode="External"/><Relationship Id="rId5" Type="http://schemas.openxmlformats.org/officeDocument/2006/relationships/footnotes" Target="footnotes.xml"/><Relationship Id="rId15" Type="http://schemas.openxmlformats.org/officeDocument/2006/relationships/hyperlink" Target="https://www.itu.int/pub/R-REP-M.2116-2-2013" TargetMode="External"/><Relationship Id="rId10" Type="http://schemas.openxmlformats.org/officeDocument/2006/relationships/hyperlink" Target="https://www.itu.int/rec/R-REC-SM.331-4-197807-I/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rec/R-REC-M.2068-0-201502-I/en" TargetMode="External"/><Relationship Id="rId14" Type="http://schemas.openxmlformats.org/officeDocument/2006/relationships/hyperlink" Target="https://www.itu.int/pub/R-REP-M.739-1-1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D04C8-E2CF-4785-9907-68C249F4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621</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Chamova, Alisa</cp:lastModifiedBy>
  <cp:revision>5</cp:revision>
  <dcterms:created xsi:type="dcterms:W3CDTF">2022-05-13T06:33:00Z</dcterms:created>
  <dcterms:modified xsi:type="dcterms:W3CDTF">2023-10-12T07:27:00Z</dcterms:modified>
</cp:coreProperties>
</file>