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A977" w14:textId="77777777" w:rsidR="00DC5786" w:rsidRPr="000B332F" w:rsidRDefault="00DC5786" w:rsidP="00DC5786">
      <w:pPr>
        <w:pStyle w:val="QuestionNoBR"/>
        <w:rPr>
          <w:lang w:eastAsia="zh-CN"/>
        </w:rPr>
      </w:pPr>
      <w:r>
        <w:rPr>
          <w:lang w:eastAsia="zh-CN"/>
        </w:rPr>
        <w:t>ITU-R</w:t>
      </w:r>
      <w:r>
        <w:rPr>
          <w:rFonts w:hint="eastAsia"/>
          <w:lang w:eastAsia="zh-CN"/>
        </w:rPr>
        <w:t>第</w:t>
      </w:r>
      <w:r w:rsidRPr="000B332F">
        <w:rPr>
          <w:lang w:eastAsia="zh-CN"/>
        </w:rPr>
        <w:t>84-</w:t>
      </w:r>
      <w:r>
        <w:rPr>
          <w:rFonts w:hint="eastAsia"/>
          <w:lang w:eastAsia="zh-CN"/>
        </w:rPr>
        <w:t>4</w:t>
      </w:r>
      <w:r w:rsidRPr="000B332F">
        <w:rPr>
          <w:lang w:eastAsia="zh-CN"/>
        </w:rPr>
        <w:t>/</w:t>
      </w:r>
      <w:r>
        <w:rPr>
          <w:lang w:eastAsia="zh-CN"/>
        </w:rPr>
        <w:t>4</w:t>
      </w:r>
      <w:r w:rsidRPr="000B332F">
        <w:rPr>
          <w:rStyle w:val="FootnoteReference"/>
          <w:szCs w:val="28"/>
          <w:lang w:eastAsia="zh-CN"/>
        </w:rPr>
        <w:footnoteReference w:customMarkFollows="1" w:id="1"/>
        <w:t>*</w:t>
      </w:r>
      <w:r w:rsidRPr="00651107">
        <w:rPr>
          <w:szCs w:val="28"/>
          <w:vertAlign w:val="superscript"/>
          <w:lang w:eastAsia="zh-CN"/>
        </w:rPr>
        <w:t>,</w:t>
      </w:r>
      <w:r w:rsidRPr="000B332F">
        <w:rPr>
          <w:rFonts w:hint="eastAsia"/>
          <w:bCs/>
          <w:lang w:eastAsia="zh-CN"/>
        </w:rPr>
        <w:t>号课题</w:t>
      </w:r>
    </w:p>
    <w:p w14:paraId="63CE13C5" w14:textId="77777777" w:rsidR="00DC5786" w:rsidRPr="00833AFA" w:rsidRDefault="00DC5786" w:rsidP="00DC5786">
      <w:pPr>
        <w:pStyle w:val="Questiontitle"/>
        <w:rPr>
          <w:szCs w:val="28"/>
          <w:lang w:eastAsia="zh-CN"/>
        </w:rPr>
      </w:pPr>
      <w:r w:rsidRPr="00833AFA">
        <w:rPr>
          <w:rFonts w:hint="eastAsia"/>
          <w:bCs/>
          <w:szCs w:val="28"/>
          <w:lang w:eastAsia="zh-CN"/>
        </w:rPr>
        <w:t>在卫星移动业务中使用非对地静止卫星轨道</w:t>
      </w:r>
    </w:p>
    <w:p w14:paraId="73D948BA" w14:textId="77777777" w:rsidR="00DC5786" w:rsidRPr="00C430F3" w:rsidRDefault="00DC5786" w:rsidP="00DC5786">
      <w:pPr>
        <w:pStyle w:val="Questiondate"/>
        <w:rPr>
          <w:rFonts w:ascii="STKaiti" w:eastAsia="STKaiti" w:hAnsi="STKaiti"/>
          <w:lang w:eastAsia="zh-CN"/>
        </w:rPr>
      </w:pPr>
      <w:r w:rsidRPr="00C430F3">
        <w:rPr>
          <w:rFonts w:ascii="STKaiti" w:eastAsia="STKaiti" w:hAnsi="STKaiti" w:hint="eastAsia"/>
          <w:lang w:eastAsia="zh-CN"/>
        </w:rPr>
        <w:t>（</w:t>
      </w:r>
      <w:r w:rsidRPr="00C430F3">
        <w:rPr>
          <w:rFonts w:eastAsia="STKaiti"/>
          <w:lang w:eastAsia="zh-CN"/>
        </w:rPr>
        <w:t>1988</w:t>
      </w:r>
      <w:r w:rsidRPr="00C430F3">
        <w:rPr>
          <w:rFonts w:ascii="STKaiti" w:eastAsia="STKaiti" w:hAnsi="STKaiti"/>
          <w:lang w:eastAsia="zh-CN"/>
        </w:rPr>
        <w:t>-</w:t>
      </w:r>
      <w:r w:rsidRPr="00C430F3">
        <w:rPr>
          <w:rFonts w:eastAsia="STKaiti"/>
          <w:lang w:eastAsia="zh-CN"/>
        </w:rPr>
        <w:t>1990</w:t>
      </w:r>
      <w:r w:rsidRPr="00C430F3">
        <w:rPr>
          <w:rFonts w:ascii="STKaiti" w:eastAsia="STKaiti" w:hAnsi="STKaiti"/>
          <w:lang w:eastAsia="zh-CN"/>
        </w:rPr>
        <w:t>-</w:t>
      </w:r>
      <w:r w:rsidRPr="00C430F3">
        <w:rPr>
          <w:rFonts w:eastAsia="STKaiti"/>
          <w:lang w:eastAsia="zh-CN"/>
        </w:rPr>
        <w:t>1992</w:t>
      </w:r>
      <w:r w:rsidRPr="00C430F3">
        <w:rPr>
          <w:rFonts w:ascii="STKaiti" w:eastAsia="STKaiti" w:hAnsi="STKaiti"/>
          <w:lang w:eastAsia="zh-CN"/>
        </w:rPr>
        <w:t>-</w:t>
      </w:r>
      <w:r w:rsidRPr="00C430F3">
        <w:rPr>
          <w:rFonts w:eastAsia="STKaiti"/>
          <w:lang w:eastAsia="zh-CN"/>
        </w:rPr>
        <w:t>1993</w:t>
      </w:r>
      <w:r w:rsidRPr="00C430F3">
        <w:rPr>
          <w:rFonts w:ascii="STKaiti" w:eastAsia="STKaiti" w:hAnsi="STKaiti"/>
          <w:lang w:eastAsia="zh-CN"/>
        </w:rPr>
        <w:t>-</w:t>
      </w:r>
      <w:r w:rsidRPr="00C430F3">
        <w:rPr>
          <w:rFonts w:eastAsia="STKaiti" w:hint="eastAsia"/>
          <w:lang w:eastAsia="zh-CN"/>
        </w:rPr>
        <w:t>2007</w:t>
      </w:r>
      <w:r w:rsidRPr="00C430F3">
        <w:rPr>
          <w:rFonts w:ascii="STKaiti" w:eastAsia="STKaiti" w:hAnsi="STKaiti" w:hint="eastAsia"/>
          <w:lang w:eastAsia="zh-CN"/>
        </w:rPr>
        <w:t>年）</w:t>
      </w:r>
    </w:p>
    <w:p w14:paraId="71C7F171" w14:textId="77777777" w:rsidR="00DC5786" w:rsidRPr="00943C58" w:rsidRDefault="00DC5786" w:rsidP="00DC5786">
      <w:pPr>
        <w:pStyle w:val="Normalaftertitle0"/>
        <w:rPr>
          <w:lang w:eastAsia="zh-CN"/>
        </w:rPr>
      </w:pPr>
      <w:r w:rsidRPr="005F7B87">
        <w:rPr>
          <w:rFonts w:hint="eastAsia"/>
          <w:szCs w:val="24"/>
          <w:lang w:eastAsia="zh-CN"/>
        </w:rPr>
        <w:t>国际电联无线电通信全会，</w:t>
      </w:r>
    </w:p>
    <w:p w14:paraId="1E866F38" w14:textId="77777777" w:rsidR="00DC5786" w:rsidRPr="00833AFA" w:rsidRDefault="00DC5786" w:rsidP="00DC5786">
      <w:pPr>
        <w:pStyle w:val="Call"/>
        <w:rPr>
          <w:rFonts w:ascii="STKaiti" w:eastAsia="STKaiti" w:hAnsi="STKaiti"/>
          <w:lang w:eastAsia="zh-CN"/>
        </w:rPr>
      </w:pPr>
      <w:r w:rsidRPr="00833AFA">
        <w:rPr>
          <w:rFonts w:ascii="STKaiti" w:eastAsia="STKaiti" w:hAnsi="STKaiti" w:hint="eastAsia"/>
          <w:i w:val="0"/>
          <w:iCs/>
          <w:szCs w:val="24"/>
          <w:lang w:eastAsia="zh-CN"/>
        </w:rPr>
        <w:t>考虑到</w:t>
      </w:r>
    </w:p>
    <w:p w14:paraId="266571DD" w14:textId="77777777" w:rsidR="00DC5786" w:rsidRPr="00943C58" w:rsidRDefault="00DC5786" w:rsidP="00DC5786">
      <w:pPr>
        <w:rPr>
          <w:lang w:eastAsia="zh-CN"/>
        </w:rPr>
      </w:pPr>
      <w:r w:rsidRPr="0094437E">
        <w:rPr>
          <w:i/>
          <w:iCs/>
          <w:lang w:eastAsia="zh-CN"/>
        </w:rPr>
        <w:t>a)</w:t>
      </w:r>
      <w:r w:rsidRPr="00943C58">
        <w:rPr>
          <w:lang w:eastAsia="zh-CN"/>
        </w:rPr>
        <w:tab/>
      </w:r>
      <w:r w:rsidRPr="005F7B87">
        <w:rPr>
          <w:rFonts w:hint="eastAsia"/>
          <w:szCs w:val="24"/>
          <w:lang w:eastAsia="zh-CN"/>
        </w:rPr>
        <w:t>各种类型的非对地静止卫星轨道可利用适合各种卫星通信应用的配置在南北纬</w:t>
      </w:r>
      <w:r w:rsidRPr="005F7B87">
        <w:rPr>
          <w:rFonts w:hint="eastAsia"/>
          <w:szCs w:val="24"/>
          <w:lang w:eastAsia="zh-CN"/>
        </w:rPr>
        <w:t>90</w:t>
      </w:r>
      <w:r w:rsidRPr="005F7B87">
        <w:rPr>
          <w:rFonts w:hint="eastAsia"/>
          <w:szCs w:val="24"/>
        </w:rPr>
        <w:sym w:font="Symbol" w:char="F0B0"/>
      </w:r>
      <w:r w:rsidRPr="005F7B87">
        <w:rPr>
          <w:rFonts w:hint="eastAsia"/>
          <w:szCs w:val="24"/>
          <w:lang w:eastAsia="zh-CN"/>
        </w:rPr>
        <w:t>之间提供全面覆盖；</w:t>
      </w:r>
    </w:p>
    <w:p w14:paraId="1CCDFFCF" w14:textId="77777777" w:rsidR="00DC5786" w:rsidRPr="00943C58" w:rsidRDefault="00DC5786" w:rsidP="00DC5786">
      <w:pPr>
        <w:rPr>
          <w:lang w:eastAsia="zh-CN"/>
        </w:rPr>
      </w:pPr>
      <w:r w:rsidRPr="0094437E">
        <w:rPr>
          <w:i/>
          <w:iCs/>
          <w:lang w:eastAsia="zh-CN"/>
        </w:rPr>
        <w:t>b)</w:t>
      </w:r>
      <w:r w:rsidRPr="00943C58">
        <w:rPr>
          <w:lang w:eastAsia="zh-CN"/>
        </w:rPr>
        <w:tab/>
      </w:r>
      <w:r w:rsidRPr="005F7B87">
        <w:rPr>
          <w:rFonts w:hint="eastAsia"/>
          <w:szCs w:val="24"/>
          <w:lang w:eastAsia="zh-CN"/>
        </w:rPr>
        <w:t>ITU-R</w:t>
      </w:r>
      <w:r>
        <w:rPr>
          <w:rFonts w:hint="eastAsia"/>
          <w:szCs w:val="24"/>
          <w:lang w:eastAsia="zh-CN"/>
        </w:rPr>
        <w:t>应继续</w:t>
      </w:r>
      <w:r w:rsidRPr="005F7B87">
        <w:rPr>
          <w:rFonts w:hint="eastAsia"/>
          <w:szCs w:val="24"/>
          <w:lang w:eastAsia="zh-CN"/>
        </w:rPr>
        <w:t>开展研究，为在卫星移动业务</w:t>
      </w:r>
      <w:r>
        <w:rPr>
          <w:rFonts w:hint="eastAsia"/>
          <w:szCs w:val="24"/>
          <w:lang w:eastAsia="zh-CN"/>
        </w:rPr>
        <w:t>（</w:t>
      </w:r>
      <w:r w:rsidRPr="005F7B87">
        <w:rPr>
          <w:rFonts w:hint="eastAsia"/>
          <w:szCs w:val="24"/>
          <w:lang w:eastAsia="zh-CN"/>
        </w:rPr>
        <w:t>MSS</w:t>
      </w:r>
      <w:r>
        <w:rPr>
          <w:rFonts w:hint="eastAsia"/>
          <w:szCs w:val="24"/>
          <w:lang w:eastAsia="zh-CN"/>
        </w:rPr>
        <w:t>）</w:t>
      </w:r>
      <w:r w:rsidRPr="005F7B87">
        <w:rPr>
          <w:rFonts w:hint="eastAsia"/>
          <w:szCs w:val="24"/>
          <w:lang w:eastAsia="zh-CN"/>
        </w:rPr>
        <w:t>内和</w:t>
      </w:r>
      <w:r w:rsidRPr="005F7B87">
        <w:rPr>
          <w:rFonts w:hint="eastAsia"/>
          <w:szCs w:val="24"/>
          <w:lang w:eastAsia="zh-CN"/>
        </w:rPr>
        <w:t>MSS</w:t>
      </w:r>
      <w:r w:rsidRPr="005F7B87">
        <w:rPr>
          <w:rFonts w:hint="eastAsia"/>
          <w:szCs w:val="24"/>
          <w:lang w:eastAsia="zh-CN"/>
        </w:rPr>
        <w:t>与其它业务之间实现共用制定指导原则；</w:t>
      </w:r>
    </w:p>
    <w:p w14:paraId="25DB577B" w14:textId="77777777" w:rsidR="00DC5786" w:rsidRPr="00943C58" w:rsidRDefault="00DC5786" w:rsidP="00DC5786">
      <w:pPr>
        <w:rPr>
          <w:lang w:eastAsia="zh-CN"/>
        </w:rPr>
      </w:pPr>
      <w:r w:rsidRPr="0094437E">
        <w:rPr>
          <w:i/>
          <w:iCs/>
          <w:lang w:eastAsia="zh-CN"/>
        </w:rPr>
        <w:t>c)</w:t>
      </w:r>
      <w:r w:rsidRPr="00943C58">
        <w:rPr>
          <w:lang w:eastAsia="zh-CN"/>
        </w:rPr>
        <w:tab/>
      </w:r>
      <w:r w:rsidRPr="005F7B87">
        <w:rPr>
          <w:rFonts w:hint="eastAsia"/>
          <w:szCs w:val="24"/>
          <w:lang w:eastAsia="zh-CN"/>
        </w:rPr>
        <w:t>对于一些卫星移动应用，使用对地静止以外的轨道，由于链路较短，可在</w:t>
      </w:r>
      <w:r>
        <w:rPr>
          <w:rFonts w:hint="eastAsia"/>
          <w:szCs w:val="24"/>
          <w:lang w:eastAsia="zh-CN"/>
        </w:rPr>
        <w:t>某些</w:t>
      </w:r>
      <w:r w:rsidRPr="005F7B87">
        <w:rPr>
          <w:rFonts w:hint="eastAsia"/>
          <w:szCs w:val="24"/>
          <w:lang w:eastAsia="zh-CN"/>
        </w:rPr>
        <w:t>纬度以上地区提供更好的覆盖和总体上质量更佳的服务，同时，有助于与其它业务（如，无线电测定业务）的联合使用；</w:t>
      </w:r>
    </w:p>
    <w:p w14:paraId="6AB7D4C2" w14:textId="77777777" w:rsidR="00DC5786" w:rsidRPr="00943C58" w:rsidRDefault="00DC5786" w:rsidP="00DC5786">
      <w:pPr>
        <w:rPr>
          <w:lang w:eastAsia="zh-CN"/>
        </w:rPr>
      </w:pPr>
      <w:r w:rsidRPr="0094437E">
        <w:rPr>
          <w:i/>
          <w:iCs/>
          <w:lang w:eastAsia="zh-CN"/>
        </w:rPr>
        <w:t>d)</w:t>
      </w:r>
      <w:r w:rsidRPr="00943C58">
        <w:rPr>
          <w:lang w:eastAsia="zh-CN"/>
        </w:rPr>
        <w:tab/>
      </w:r>
      <w:r w:rsidRPr="005F7B87">
        <w:rPr>
          <w:rFonts w:hint="eastAsia"/>
          <w:szCs w:val="24"/>
          <w:lang w:eastAsia="zh-CN"/>
        </w:rPr>
        <w:t>在较高纬地区，对地静止轨道的仰角很低，突出了由多路经和屏蔽效应造成的通信问题。使用对地静止以外的轨道能改善这种状况；</w:t>
      </w:r>
    </w:p>
    <w:p w14:paraId="296A16D5" w14:textId="77777777" w:rsidR="00DC5786" w:rsidRPr="00943C58" w:rsidRDefault="00DC5786" w:rsidP="00DC5786">
      <w:pPr>
        <w:rPr>
          <w:lang w:eastAsia="zh-CN"/>
        </w:rPr>
      </w:pPr>
      <w:r w:rsidRPr="0094437E">
        <w:rPr>
          <w:i/>
          <w:iCs/>
          <w:lang w:eastAsia="zh-CN"/>
        </w:rPr>
        <w:t>e)</w:t>
      </w:r>
      <w:r w:rsidRPr="00943C58">
        <w:rPr>
          <w:lang w:eastAsia="zh-CN"/>
        </w:rPr>
        <w:tab/>
      </w:r>
      <w:r w:rsidRPr="005F7B87">
        <w:rPr>
          <w:rFonts w:hint="eastAsia"/>
          <w:szCs w:val="24"/>
          <w:lang w:eastAsia="zh-CN"/>
        </w:rPr>
        <w:t>工作在不同频带的此类系统可能具有完全不同的特性，</w:t>
      </w:r>
    </w:p>
    <w:p w14:paraId="65FAA29F" w14:textId="77777777" w:rsidR="00DC5786" w:rsidRPr="00943C58" w:rsidRDefault="00DC5786" w:rsidP="00DC5786">
      <w:pPr>
        <w:pStyle w:val="Call"/>
        <w:rPr>
          <w:lang w:eastAsia="zh-CN"/>
        </w:rPr>
      </w:pPr>
      <w:r w:rsidRPr="00833AFA">
        <w:rPr>
          <w:rFonts w:ascii="STKaiti" w:eastAsia="STKaiti" w:hAnsi="STKaiti" w:hint="eastAsia"/>
          <w:i w:val="0"/>
          <w:iCs/>
          <w:szCs w:val="24"/>
          <w:lang w:eastAsia="zh-CN"/>
        </w:rPr>
        <w:t>做出决定</w:t>
      </w:r>
      <w:r w:rsidRPr="005F7B87">
        <w:rPr>
          <w:rFonts w:hint="eastAsia"/>
          <w:i w:val="0"/>
          <w:iCs/>
          <w:szCs w:val="24"/>
          <w:lang w:eastAsia="zh-CN"/>
        </w:rPr>
        <w:t>，就以下课题开展研究</w:t>
      </w:r>
    </w:p>
    <w:p w14:paraId="5B3DA545" w14:textId="77777777" w:rsidR="00DC5786" w:rsidRPr="00943C58" w:rsidRDefault="00DC5786" w:rsidP="00DC5786">
      <w:pPr>
        <w:rPr>
          <w:lang w:eastAsia="zh-CN"/>
        </w:rPr>
      </w:pPr>
      <w:r w:rsidRPr="0094437E">
        <w:rPr>
          <w:bCs/>
          <w:lang w:eastAsia="zh-CN"/>
        </w:rPr>
        <w:t>1</w:t>
      </w:r>
      <w:r w:rsidRPr="00943C58">
        <w:rPr>
          <w:lang w:eastAsia="zh-CN"/>
        </w:rPr>
        <w:tab/>
      </w:r>
      <w:r w:rsidRPr="005F7B87">
        <w:rPr>
          <w:rFonts w:hint="eastAsia"/>
          <w:szCs w:val="24"/>
          <w:lang w:eastAsia="zh-CN"/>
        </w:rPr>
        <w:t>哪种类型的非对地静止卫星轨道适合提供卫星移动业务？</w:t>
      </w:r>
    </w:p>
    <w:p w14:paraId="66FA3D67" w14:textId="77777777" w:rsidR="00DC5786" w:rsidRPr="00943C58" w:rsidRDefault="00DC5786" w:rsidP="00DC5786">
      <w:pPr>
        <w:rPr>
          <w:lang w:eastAsia="zh-CN"/>
        </w:rPr>
      </w:pPr>
      <w:r w:rsidRPr="0094437E">
        <w:rPr>
          <w:bCs/>
          <w:lang w:eastAsia="zh-CN"/>
        </w:rPr>
        <w:t>2</w:t>
      </w:r>
      <w:r w:rsidRPr="00943C58">
        <w:rPr>
          <w:lang w:eastAsia="zh-CN"/>
        </w:rPr>
        <w:tab/>
      </w:r>
      <w:r w:rsidRPr="005F7B87">
        <w:rPr>
          <w:rFonts w:hint="eastAsia"/>
          <w:szCs w:val="24"/>
          <w:lang w:eastAsia="zh-CN"/>
        </w:rPr>
        <w:t>非对地静止卫星轨道及使用这些轨道的系统有哪些技术和操作优缺点</w:t>
      </w:r>
      <w:r>
        <w:rPr>
          <w:rFonts w:hint="eastAsia"/>
          <w:szCs w:val="24"/>
          <w:lang w:eastAsia="zh-CN"/>
        </w:rPr>
        <w:t>？</w:t>
      </w:r>
    </w:p>
    <w:p w14:paraId="2912837E" w14:textId="77777777" w:rsidR="00DC5786" w:rsidRPr="00943C58" w:rsidRDefault="00DC5786" w:rsidP="00DC5786">
      <w:pPr>
        <w:rPr>
          <w:lang w:eastAsia="zh-CN"/>
        </w:rPr>
      </w:pPr>
      <w:r w:rsidRPr="0094437E">
        <w:rPr>
          <w:bCs/>
          <w:lang w:eastAsia="zh-CN"/>
        </w:rPr>
        <w:t>3</w:t>
      </w:r>
      <w:r w:rsidRPr="00943C58">
        <w:rPr>
          <w:b/>
          <w:lang w:eastAsia="zh-CN"/>
        </w:rPr>
        <w:tab/>
      </w:r>
      <w:r w:rsidRPr="005F7B87">
        <w:rPr>
          <w:rFonts w:hint="eastAsia"/>
          <w:szCs w:val="24"/>
          <w:lang w:eastAsia="zh-CN"/>
        </w:rPr>
        <w:t>在完成根据</w:t>
      </w:r>
      <w:r w:rsidRPr="003E3C8D">
        <w:rPr>
          <w:rFonts w:ascii="STKaiti" w:eastAsia="STKaiti" w:hAnsi="STKaiti" w:hint="eastAsia"/>
          <w:iCs/>
          <w:szCs w:val="24"/>
          <w:lang w:eastAsia="zh-CN"/>
        </w:rPr>
        <w:t>做出决定</w:t>
      </w:r>
      <w:r w:rsidRPr="005F7B87">
        <w:rPr>
          <w:rFonts w:hint="eastAsia"/>
          <w:szCs w:val="24"/>
          <w:lang w:eastAsia="zh-CN"/>
        </w:rPr>
        <w:t>1</w:t>
      </w:r>
      <w:r w:rsidRPr="005F7B87">
        <w:rPr>
          <w:rFonts w:hint="eastAsia"/>
          <w:szCs w:val="24"/>
          <w:lang w:eastAsia="zh-CN"/>
        </w:rPr>
        <w:t>至</w:t>
      </w:r>
      <w:r w:rsidRPr="005F7B87">
        <w:rPr>
          <w:rFonts w:hint="eastAsia"/>
          <w:szCs w:val="24"/>
          <w:lang w:eastAsia="zh-CN"/>
        </w:rPr>
        <w:t>3</w:t>
      </w:r>
      <w:r w:rsidRPr="005F7B87">
        <w:rPr>
          <w:rFonts w:hint="eastAsia"/>
          <w:szCs w:val="24"/>
          <w:lang w:eastAsia="zh-CN"/>
        </w:rPr>
        <w:t>开展的研究之后，应提供什么</w:t>
      </w:r>
      <w:r>
        <w:rPr>
          <w:rFonts w:hint="eastAsia"/>
          <w:szCs w:val="24"/>
          <w:lang w:eastAsia="zh-CN"/>
        </w:rPr>
        <w:t>技术规范</w:t>
      </w:r>
      <w:r w:rsidRPr="005F7B87">
        <w:rPr>
          <w:rFonts w:hint="eastAsia"/>
          <w:szCs w:val="24"/>
          <w:lang w:eastAsia="zh-CN"/>
        </w:rPr>
        <w:t>以实现</w:t>
      </w:r>
      <w:r w:rsidRPr="003E3C8D">
        <w:rPr>
          <w:rFonts w:ascii="STKaiti" w:eastAsia="STKaiti" w:hAnsi="STKaiti" w:hint="eastAsia"/>
          <w:iCs/>
          <w:szCs w:val="24"/>
          <w:lang w:eastAsia="zh-CN"/>
        </w:rPr>
        <w:t>考虑到</w:t>
      </w:r>
      <w:r w:rsidRPr="005F7B87">
        <w:rPr>
          <w:rFonts w:hint="eastAsia"/>
          <w:szCs w:val="24"/>
          <w:lang w:eastAsia="zh-CN"/>
        </w:rPr>
        <w:t>c)</w:t>
      </w:r>
      <w:r w:rsidRPr="005F7B87">
        <w:rPr>
          <w:rFonts w:hint="eastAsia"/>
          <w:szCs w:val="24"/>
          <w:lang w:eastAsia="zh-CN"/>
        </w:rPr>
        <w:t>的目标？</w:t>
      </w:r>
    </w:p>
    <w:p w14:paraId="464B41E7" w14:textId="77777777" w:rsidR="00DC5786" w:rsidRPr="00833AFA" w:rsidRDefault="00DC5786" w:rsidP="00DC5786">
      <w:pPr>
        <w:pStyle w:val="Call"/>
        <w:rPr>
          <w:rFonts w:ascii="STKaiti" w:eastAsia="STKaiti" w:hAnsi="STKaiti"/>
          <w:lang w:eastAsia="zh-CN"/>
        </w:rPr>
      </w:pPr>
      <w:r w:rsidRPr="00833AFA">
        <w:rPr>
          <w:rFonts w:ascii="STKaiti" w:eastAsia="STKaiti" w:hAnsi="STKaiti" w:hint="eastAsia"/>
          <w:i w:val="0"/>
          <w:iCs/>
          <w:szCs w:val="24"/>
          <w:lang w:eastAsia="zh-CN"/>
        </w:rPr>
        <w:t>进一步做出决定</w:t>
      </w:r>
    </w:p>
    <w:p w14:paraId="502C1F8C" w14:textId="77777777" w:rsidR="0094437E" w:rsidRDefault="0094437E" w:rsidP="0094437E">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47C31586" w14:textId="4DCE4C89" w:rsidR="0094437E" w:rsidRDefault="0094437E" w:rsidP="0094437E">
      <w:pPr>
        <w:rPr>
          <w:lang w:eastAsia="zh-CN"/>
        </w:rPr>
      </w:pPr>
      <w:r w:rsidRPr="00DC5786">
        <w:rPr>
          <w:bCs/>
          <w:lang w:eastAsia="zh-CN"/>
        </w:rPr>
        <w:t>2</w:t>
      </w:r>
      <w:r>
        <w:rPr>
          <w:lang w:eastAsia="zh-CN"/>
        </w:rPr>
        <w:tab/>
      </w:r>
      <w:r>
        <w:rPr>
          <w:rFonts w:hint="eastAsia"/>
          <w:lang w:eastAsia="zh-CN"/>
        </w:rPr>
        <w:t>以上研究应在</w:t>
      </w:r>
      <w:r w:rsidR="00ED1A26">
        <w:rPr>
          <w:rFonts w:hint="eastAsia"/>
          <w:lang w:eastAsia="zh-CN"/>
        </w:rPr>
        <w:t>20</w:t>
      </w:r>
      <w:r w:rsidR="00ED1A26">
        <w:rPr>
          <w:lang w:eastAsia="zh-CN"/>
        </w:rPr>
        <w:t>2</w:t>
      </w:r>
      <w:r w:rsidR="008B6EB7">
        <w:rPr>
          <w:lang w:eastAsia="zh-CN"/>
        </w:rPr>
        <w:t>7</w:t>
      </w:r>
      <w:bookmarkStart w:id="0" w:name="_GoBack"/>
      <w:bookmarkEnd w:id="0"/>
      <w:r>
        <w:rPr>
          <w:rFonts w:hint="eastAsia"/>
          <w:lang w:eastAsia="zh-CN"/>
        </w:rPr>
        <w:t>年之前完成。</w:t>
      </w:r>
    </w:p>
    <w:p w14:paraId="66145096" w14:textId="6681C7BA" w:rsidR="007227C7" w:rsidRDefault="00DC5786" w:rsidP="008B6EB7">
      <w:pPr>
        <w:spacing w:before="240"/>
        <w:rPr>
          <w:lang w:eastAsia="zh-CN"/>
        </w:rPr>
      </w:pPr>
      <w:r>
        <w:rPr>
          <w:rFonts w:hint="eastAsia"/>
          <w:lang w:eastAsia="zh-CN"/>
        </w:rPr>
        <w:t>类别：</w:t>
      </w:r>
      <w:proofErr w:type="spellStart"/>
      <w:r w:rsidRPr="00943C58">
        <w:rPr>
          <w:lang w:eastAsia="zh-CN"/>
        </w:rPr>
        <w:t>S2</w:t>
      </w:r>
      <w:proofErr w:type="spellEnd"/>
    </w:p>
    <w:sectPr w:rsidR="007227C7">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AC551" w14:textId="77777777" w:rsidR="006A35C5" w:rsidRDefault="006A35C5">
      <w:r>
        <w:separator/>
      </w:r>
    </w:p>
  </w:endnote>
  <w:endnote w:type="continuationSeparator" w:id="0">
    <w:p w14:paraId="247E0571"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84BD" w14:textId="77777777" w:rsidR="006A35C5" w:rsidRPr="007C7E48" w:rsidRDefault="00ED1A26"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7438" w14:textId="77777777" w:rsidR="006A35C5" w:rsidRDefault="006A35C5">
      <w:r>
        <w:t>____________________</w:t>
      </w:r>
    </w:p>
  </w:footnote>
  <w:footnote w:type="continuationSeparator" w:id="0">
    <w:p w14:paraId="6D74C56E" w14:textId="77777777" w:rsidR="006A35C5" w:rsidRDefault="006A35C5">
      <w:r>
        <w:continuationSeparator/>
      </w:r>
    </w:p>
  </w:footnote>
  <w:footnote w:id="1">
    <w:p w14:paraId="3EFD48EC" w14:textId="77777777" w:rsidR="006A35C5" w:rsidRPr="00CD136F" w:rsidRDefault="006A35C5" w:rsidP="005E7FD2">
      <w:pPr>
        <w:pStyle w:val="FootnoteText"/>
        <w:rPr>
          <w:szCs w:val="22"/>
          <w:lang w:eastAsia="zh-CN"/>
        </w:rPr>
      </w:pPr>
      <w:r>
        <w:rPr>
          <w:rStyle w:val="FootnoteReference"/>
          <w:lang w:eastAsia="zh-CN"/>
        </w:rPr>
        <w:t>*</w:t>
      </w:r>
      <w:r>
        <w:rPr>
          <w:lang w:eastAsia="zh-CN"/>
        </w:rPr>
        <w:tab/>
      </w:r>
      <w:r w:rsidRPr="003E3C8D">
        <w:rPr>
          <w:rFonts w:hint="eastAsia"/>
          <w:szCs w:val="22"/>
          <w:lang w:eastAsia="zh-CN"/>
        </w:rPr>
        <w:t>该课题应提请无线电通信第</w:t>
      </w:r>
      <w:r>
        <w:rPr>
          <w:szCs w:val="22"/>
          <w:lang w:eastAsia="zh-CN"/>
        </w:rPr>
        <w:t>5</w:t>
      </w:r>
      <w:r w:rsidRPr="003E3C8D">
        <w:rPr>
          <w:rFonts w:hint="eastAsia"/>
          <w:szCs w:val="22"/>
          <w:lang w:eastAsia="zh-CN"/>
        </w:rPr>
        <w:t>和</w:t>
      </w:r>
      <w:r w:rsidRPr="003E3C8D">
        <w:rPr>
          <w:rFonts w:hint="eastAsia"/>
          <w:szCs w:val="22"/>
          <w:lang w:eastAsia="zh-CN"/>
        </w:rPr>
        <w:t>7</w:t>
      </w:r>
      <w:r w:rsidRPr="003E3C8D">
        <w:rPr>
          <w:rFonts w:hint="eastAsia"/>
          <w:szCs w:val="22"/>
          <w:lang w:eastAsia="zh-CN"/>
        </w:rPr>
        <w:t>研究组注意。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DB6CD"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F1EEB">
      <w:rPr>
        <w:rStyle w:val="PageNumber"/>
        <w:noProof/>
      </w:rPr>
      <w:t>2</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1EEB"/>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B6EB7"/>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1A26"/>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939C841"/>
  <w15:docId w15:val="{0C1CF50D-C69A-42A3-B079-4A72EE98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733E-45F0-46C4-8EC3-28BDD387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543</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LRT</cp:lastModifiedBy>
  <cp:revision>5</cp:revision>
  <cp:lastPrinted>2012-03-15T10:50:00Z</cp:lastPrinted>
  <dcterms:created xsi:type="dcterms:W3CDTF">2012-05-03T08:32:00Z</dcterms:created>
  <dcterms:modified xsi:type="dcterms:W3CDTF">2024-01-24T12:33:00Z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