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184F9" w14:textId="77777777" w:rsidR="00BF2CBD" w:rsidRPr="00235F07" w:rsidRDefault="00BF2CBD" w:rsidP="00BF2CBD">
      <w:pPr>
        <w:pStyle w:val="QuestionNoBR"/>
        <w:rPr>
          <w:lang w:eastAsia="ja-JP"/>
        </w:rPr>
      </w:pPr>
      <w:r w:rsidRPr="000C4505">
        <w:rPr>
          <w:lang w:eastAsia="ja-JP"/>
        </w:rPr>
        <w:t>Question</w:t>
      </w:r>
      <w:r>
        <w:rPr>
          <w:lang w:eastAsia="ja-JP"/>
        </w:rPr>
        <w:t xml:space="preserve"> </w:t>
      </w:r>
      <w:r w:rsidRPr="000C4505">
        <w:rPr>
          <w:lang w:eastAsia="ja-JP"/>
        </w:rPr>
        <w:t>ITU-R 83-</w:t>
      </w:r>
      <w:r>
        <w:rPr>
          <w:lang w:eastAsia="ja-JP"/>
        </w:rPr>
        <w:t>6</w:t>
      </w:r>
      <w:r w:rsidRPr="000C4505">
        <w:rPr>
          <w:lang w:eastAsia="ja-JP"/>
        </w:rPr>
        <w:t>/</w:t>
      </w:r>
      <w:r>
        <w:rPr>
          <w:lang w:eastAsia="ja-JP"/>
        </w:rPr>
        <w:t>4</w:t>
      </w:r>
      <w:r>
        <w:rPr>
          <w:rStyle w:val="FootnoteReference"/>
          <w:rFonts w:eastAsia="SimSun"/>
        </w:rPr>
        <w:footnoteReference w:customMarkFollows="1" w:id="1"/>
        <w:t>*</w:t>
      </w:r>
    </w:p>
    <w:p w14:paraId="28770DAA" w14:textId="77777777" w:rsidR="00BF2CBD" w:rsidRDefault="00BF2CBD" w:rsidP="00BF2CBD">
      <w:pPr>
        <w:pStyle w:val="Questiontitle"/>
        <w:rPr>
          <w:lang w:eastAsia="zh-CN"/>
        </w:rPr>
      </w:pPr>
      <w:r>
        <w:t xml:space="preserve">Efficient use of </w:t>
      </w:r>
      <w:r w:rsidRPr="008664AD">
        <w:t>the</w:t>
      </w:r>
      <w:r>
        <w:t xml:space="preserve"> radio spectrum and frequency sharing</w:t>
      </w:r>
      <w:r>
        <w:br/>
        <w:t>within the mobile-satellite service</w:t>
      </w:r>
    </w:p>
    <w:p w14:paraId="7A53F7FD" w14:textId="77777777" w:rsidR="00BF2CBD" w:rsidRPr="00026FC6" w:rsidRDefault="00BF2CBD" w:rsidP="00BF2CBD">
      <w:pPr>
        <w:pStyle w:val="Questiondate"/>
        <w:rPr>
          <w:lang w:eastAsia="ja-JP"/>
        </w:rPr>
      </w:pPr>
      <w:r w:rsidRPr="00026FC6">
        <w:t>(1988-</w:t>
      </w:r>
      <w:r w:rsidRPr="008664AD">
        <w:t>1990</w:t>
      </w:r>
      <w:r w:rsidRPr="00026FC6">
        <w:t>-1992-1993-2002-2006</w:t>
      </w:r>
      <w:r>
        <w:t>-2010)</w:t>
      </w:r>
    </w:p>
    <w:p w14:paraId="025D9ED3" w14:textId="77777777" w:rsidR="00BF2CBD" w:rsidRDefault="00BF2CBD" w:rsidP="00BF2CBD">
      <w:pPr>
        <w:pStyle w:val="Normalaftertitle0"/>
      </w:pPr>
      <w:r>
        <w:t>The ITU Radiocommunication Assembly,</w:t>
      </w:r>
    </w:p>
    <w:p w14:paraId="5CA2A625" w14:textId="77777777" w:rsidR="00BF2CBD" w:rsidRDefault="00BF2CBD" w:rsidP="00BF2CBD">
      <w:pPr>
        <w:pStyle w:val="Call"/>
      </w:pPr>
      <w:r>
        <w:t>considering</w:t>
      </w:r>
    </w:p>
    <w:p w14:paraId="66CCBAB3" w14:textId="77777777" w:rsidR="00BF2CBD" w:rsidRDefault="00BF2CBD" w:rsidP="00130962">
      <w:pPr>
        <w:jc w:val="both"/>
      </w:pPr>
      <w:r w:rsidRPr="00EE6D66">
        <w:rPr>
          <w:i/>
          <w:iCs/>
        </w:rPr>
        <w:t>a)</w:t>
      </w:r>
      <w:r>
        <w:tab/>
        <w:t>that there is a need for studies to be carried out in the ITU-R to establish guidelines for sharing within the mobile-satellite service (MSS);</w:t>
      </w:r>
    </w:p>
    <w:p w14:paraId="57234D07" w14:textId="77777777" w:rsidR="00BF2CBD" w:rsidRDefault="00BF2CBD" w:rsidP="00130962">
      <w:pPr>
        <w:jc w:val="both"/>
      </w:pPr>
      <w:r w:rsidRPr="00EE6D66">
        <w:rPr>
          <w:i/>
          <w:iCs/>
        </w:rPr>
        <w:t>b)</w:t>
      </w:r>
      <w:r>
        <w:tab/>
        <w:t xml:space="preserve">that WARC-92 and subsequent </w:t>
      </w:r>
      <w:proofErr w:type="spellStart"/>
      <w:r>
        <w:t>WRCs</w:t>
      </w:r>
      <w:proofErr w:type="spellEnd"/>
      <w:r>
        <w:t xml:space="preserve"> adopted new MSS allocations;</w:t>
      </w:r>
    </w:p>
    <w:p w14:paraId="004EE3E2" w14:textId="77777777" w:rsidR="00BF2CBD" w:rsidRDefault="00BF2CBD" w:rsidP="00130962">
      <w:pPr>
        <w:jc w:val="both"/>
      </w:pPr>
      <w:r w:rsidRPr="00EE6D66">
        <w:rPr>
          <w:i/>
          <w:iCs/>
        </w:rPr>
        <w:t>c)</w:t>
      </w:r>
      <w:r>
        <w:tab/>
        <w:t>that work is being carried out to develop techniques which can improve spectrum utilization;</w:t>
      </w:r>
    </w:p>
    <w:p w14:paraId="6D88FC83" w14:textId="77777777" w:rsidR="00BF2CBD" w:rsidRDefault="00BF2CBD" w:rsidP="00130962">
      <w:pPr>
        <w:jc w:val="both"/>
      </w:pPr>
      <w:r w:rsidRPr="00EE6D66">
        <w:rPr>
          <w:i/>
          <w:iCs/>
        </w:rPr>
        <w:t>d)</w:t>
      </w:r>
      <w:r>
        <w:tab/>
        <w:t>that there are shared frequency bands allocated to different MSS and other services;</w:t>
      </w:r>
    </w:p>
    <w:p w14:paraId="3B4C1C43" w14:textId="77777777" w:rsidR="00BF2CBD" w:rsidRDefault="00BF2CBD" w:rsidP="00130962">
      <w:pPr>
        <w:jc w:val="both"/>
      </w:pPr>
      <w:r w:rsidRPr="00EE6D66">
        <w:rPr>
          <w:i/>
          <w:iCs/>
        </w:rPr>
        <w:t>e)</w:t>
      </w:r>
      <w:r>
        <w:tab/>
        <w:t>that the operating and technical characteristics of a system supporting the MSS may differ from those applicable specifically to the aeronautical mobile-satellite service, land mobile-satellite service or maritime mobile-satellite service;</w:t>
      </w:r>
    </w:p>
    <w:p w14:paraId="71E50323" w14:textId="77777777" w:rsidR="00BF2CBD" w:rsidRDefault="00BF2CBD" w:rsidP="00130962">
      <w:pPr>
        <w:jc w:val="both"/>
      </w:pPr>
      <w:r w:rsidRPr="00EE6D66">
        <w:rPr>
          <w:i/>
          <w:iCs/>
        </w:rPr>
        <w:t>f)</w:t>
      </w:r>
      <w:r>
        <w:tab/>
        <w:t>that the operating characteristics of mobile earth stations may require different coordination measures from those used for the fixed-satellite service;</w:t>
      </w:r>
    </w:p>
    <w:p w14:paraId="79B65CE2" w14:textId="77777777" w:rsidR="00BF2CBD" w:rsidRDefault="00BF2CBD" w:rsidP="00130962">
      <w:pPr>
        <w:jc w:val="both"/>
      </w:pPr>
      <w:r w:rsidRPr="00EE6D66">
        <w:rPr>
          <w:i/>
          <w:iCs/>
        </w:rPr>
        <w:t>g)</w:t>
      </w:r>
      <w:r>
        <w:tab/>
        <w:t>that non-geostationary satellite networks/systems implementing these MSS allocations may have different constellations, with different altitudes and different inclination angles;</w:t>
      </w:r>
    </w:p>
    <w:p w14:paraId="64163E04" w14:textId="77777777" w:rsidR="00BF2CBD" w:rsidRDefault="00BF2CBD" w:rsidP="00130962">
      <w:pPr>
        <w:jc w:val="both"/>
        <w:rPr>
          <w:lang w:eastAsia="ja-JP"/>
        </w:rPr>
      </w:pPr>
      <w:r w:rsidRPr="00EE6D66">
        <w:rPr>
          <w:i/>
          <w:iCs/>
        </w:rPr>
        <w:t>h)</w:t>
      </w:r>
      <w:r>
        <w:tab/>
        <w:t>that there are Earth-to-space and space-to-Earth MSS allocations in the range 1 613.8</w:t>
      </w:r>
      <w:r>
        <w:noBreakHyphen/>
        <w:t>1 626.5 MHz</w:t>
      </w:r>
      <w:r>
        <w:rPr>
          <w:lang w:eastAsia="ja-JP"/>
        </w:rPr>
        <w:t>;</w:t>
      </w:r>
    </w:p>
    <w:p w14:paraId="4455F94B" w14:textId="77777777" w:rsidR="00BF2CBD" w:rsidRPr="000C4505" w:rsidRDefault="00BF2CBD" w:rsidP="00130962">
      <w:pPr>
        <w:jc w:val="both"/>
        <w:rPr>
          <w:lang w:eastAsia="ja-JP"/>
        </w:rPr>
      </w:pPr>
      <w:r w:rsidRPr="00EE6D66">
        <w:rPr>
          <w:i/>
          <w:iCs/>
          <w:lang w:eastAsia="ja-JP"/>
        </w:rPr>
        <w:t>j)</w:t>
      </w:r>
      <w:r>
        <w:rPr>
          <w:lang w:eastAsia="ja-JP"/>
        </w:rPr>
        <w:tab/>
      </w:r>
      <w:r w:rsidRPr="000C4505">
        <w:rPr>
          <w:lang w:eastAsia="ja-JP"/>
        </w:rPr>
        <w:t xml:space="preserve">that </w:t>
      </w:r>
      <w:r>
        <w:rPr>
          <w:lang w:eastAsia="ja-JP"/>
        </w:rPr>
        <w:t xml:space="preserve">use of </w:t>
      </w:r>
      <w:r w:rsidRPr="000C4505">
        <w:rPr>
          <w:lang w:eastAsia="ja-JP"/>
        </w:rPr>
        <w:t xml:space="preserve">dual polarization at the same frequency </w:t>
      </w:r>
      <w:r>
        <w:rPr>
          <w:lang w:eastAsia="ja-JP"/>
        </w:rPr>
        <w:t>by MSS systems can</w:t>
      </w:r>
      <w:r w:rsidRPr="000C4505">
        <w:rPr>
          <w:lang w:eastAsia="ja-JP"/>
        </w:rPr>
        <w:t xml:space="preserve"> improve orbit/spectrum utilization efficiency,</w:t>
      </w:r>
    </w:p>
    <w:p w14:paraId="314983EB" w14:textId="77777777" w:rsidR="00BF2CBD" w:rsidRDefault="00BF2CBD" w:rsidP="00BF2CBD">
      <w:pPr>
        <w:pStyle w:val="Call"/>
      </w:pPr>
      <w:r>
        <w:t>decides</w:t>
      </w:r>
      <w:r>
        <w:rPr>
          <w:i w:val="0"/>
          <w:iCs/>
        </w:rPr>
        <w:t xml:space="preserve"> that the following Questions should be studied</w:t>
      </w:r>
    </w:p>
    <w:p w14:paraId="6C56A7C2" w14:textId="77777777" w:rsidR="00BF2CBD" w:rsidRDefault="00BF2CBD" w:rsidP="00130962">
      <w:pPr>
        <w:jc w:val="both"/>
      </w:pPr>
      <w:r w:rsidRPr="00EE6D66">
        <w:rPr>
          <w:bCs/>
        </w:rPr>
        <w:t>1</w:t>
      </w:r>
      <w:r>
        <w:tab/>
        <w:t>What are the preferred frequency bands, from a technical and operational point of view, for satellite-to-mobile earth station links and mobile earth station-to-satellite links within those frequency bands already allocated to the MSS?</w:t>
      </w:r>
    </w:p>
    <w:p w14:paraId="536EB210" w14:textId="77777777" w:rsidR="00BF2CBD" w:rsidRDefault="00BF2CBD" w:rsidP="00130962">
      <w:pPr>
        <w:jc w:val="both"/>
        <w:rPr>
          <w:lang w:eastAsia="ja-JP"/>
        </w:rPr>
      </w:pPr>
      <w:r w:rsidRPr="00EE6D66">
        <w:rPr>
          <w:bCs/>
        </w:rPr>
        <w:t>2</w:t>
      </w:r>
      <w:r>
        <w:tab/>
        <w:t>What are the advantages and disadvantages of techniques which facilitate improvement of spectrum utilization e.g. low rate voice coding, different modulation techniques, etc.?</w:t>
      </w:r>
    </w:p>
    <w:p w14:paraId="58B201ED" w14:textId="77777777" w:rsidR="00BF2CBD" w:rsidRDefault="00BF2CBD" w:rsidP="00130962">
      <w:pPr>
        <w:jc w:val="both"/>
      </w:pPr>
      <w:r w:rsidRPr="00EE6D66">
        <w:rPr>
          <w:bCs/>
        </w:rPr>
        <w:t>3</w:t>
      </w:r>
      <w:r>
        <w:tab/>
        <w:t xml:space="preserve">What is the feasibility of intersystem and </w:t>
      </w:r>
      <w:proofErr w:type="spellStart"/>
      <w:r>
        <w:t>intrasystem</w:t>
      </w:r>
      <w:proofErr w:type="spellEnd"/>
      <w:r>
        <w:t xml:space="preserve"> frequency sharing in the case of mobile-satellite systems, and what sharing criteria are needed for frequency coordination?</w:t>
      </w:r>
    </w:p>
    <w:p w14:paraId="4000D370" w14:textId="77777777" w:rsidR="00BF2CBD" w:rsidRDefault="00BF2CBD" w:rsidP="00130962">
      <w:pPr>
        <w:jc w:val="both"/>
      </w:pPr>
      <w:r w:rsidRPr="00EE6D66">
        <w:rPr>
          <w:bCs/>
        </w:rPr>
        <w:t>4</w:t>
      </w:r>
      <w:r>
        <w:tab/>
        <w:t>What are the more suitable spot beam system techniques which provide for both flexible frequency and flexible power distribution to satellite beams while providing for efficient use of the spectrum allocated to the MSS?</w:t>
      </w:r>
    </w:p>
    <w:p w14:paraId="7ABC5091" w14:textId="77777777" w:rsidR="00BF2CBD" w:rsidRDefault="00BF2CBD" w:rsidP="00130962">
      <w:pPr>
        <w:jc w:val="both"/>
      </w:pPr>
      <w:r w:rsidRPr="00EE6D66">
        <w:rPr>
          <w:bCs/>
        </w:rPr>
        <w:lastRenderedPageBreak/>
        <w:t>5</w:t>
      </w:r>
      <w:r>
        <w:tab/>
        <w:t>What are the practical strategies for achieving efficient use of the geostationary orbit and frequencies allocated to the MSS, recognizing that some networks/systems will be optimized for regional coverage and some will be optimized for global coverage?</w:t>
      </w:r>
    </w:p>
    <w:p w14:paraId="256BC58F" w14:textId="77777777" w:rsidR="00BF2CBD" w:rsidRDefault="00BF2CBD" w:rsidP="00130962">
      <w:pPr>
        <w:jc w:val="both"/>
      </w:pPr>
      <w:r w:rsidRPr="00EE6D66">
        <w:rPr>
          <w:bCs/>
        </w:rPr>
        <w:t>6</w:t>
      </w:r>
      <w:r>
        <w:tab/>
        <w:t>What are the practical strategies for efficient spectrum use and reuse by non-geostationary satellite systems?</w:t>
      </w:r>
    </w:p>
    <w:p w14:paraId="3286D498" w14:textId="77777777" w:rsidR="00BF2CBD" w:rsidRDefault="00BF2CBD" w:rsidP="00130962">
      <w:pPr>
        <w:jc w:val="both"/>
        <w:rPr>
          <w:lang w:eastAsia="ja-JP"/>
        </w:rPr>
      </w:pPr>
      <w:r w:rsidRPr="00EE6D66">
        <w:rPr>
          <w:bCs/>
        </w:rPr>
        <w:t>7</w:t>
      </w:r>
      <w:r>
        <w:tab/>
        <w:t>What is the feasibility of frequency sharing between mobile-satellite systems which use non-geostationary orbits with systems which use the geostationary orbit?</w:t>
      </w:r>
    </w:p>
    <w:p w14:paraId="7996964B" w14:textId="77777777" w:rsidR="00BF2CBD" w:rsidRDefault="00BF2CBD" w:rsidP="00130962">
      <w:pPr>
        <w:jc w:val="both"/>
      </w:pPr>
      <w:r w:rsidRPr="00EE6D66">
        <w:rPr>
          <w:bCs/>
        </w:rPr>
        <w:t>8</w:t>
      </w:r>
      <w:r>
        <w:tab/>
        <w:t>What mechanisms can be employed to ensure efficient use of the geostationary orbit when non-geostationary systems are implemented in the same frequency bands?</w:t>
      </w:r>
    </w:p>
    <w:p w14:paraId="2110BB9A" w14:textId="77777777" w:rsidR="00BF2CBD" w:rsidRDefault="00BF2CBD" w:rsidP="00130962">
      <w:pPr>
        <w:jc w:val="both"/>
      </w:pPr>
      <w:r w:rsidRPr="00EE6D66">
        <w:rPr>
          <w:bCs/>
        </w:rPr>
        <w:t>9</w:t>
      </w:r>
      <w:r>
        <w:tab/>
        <w:t>What mechanisms can be employed to ensure efficient use of spectrum by non</w:t>
      </w:r>
      <w:r>
        <w:noBreakHyphen/>
        <w:t>geostationary systems when geostationary systems are implemented in the same frequency bands?</w:t>
      </w:r>
    </w:p>
    <w:p w14:paraId="19F9BC45" w14:textId="77777777" w:rsidR="00BF2CBD" w:rsidRDefault="00BF2CBD" w:rsidP="00130962">
      <w:pPr>
        <w:jc w:val="both"/>
      </w:pPr>
      <w:r w:rsidRPr="00EE6D66">
        <w:rPr>
          <w:bCs/>
        </w:rPr>
        <w:t>10</w:t>
      </w:r>
      <w:r w:rsidRPr="00EE6D66">
        <w:rPr>
          <w:bCs/>
        </w:rPr>
        <w:tab/>
      </w:r>
      <w:r>
        <w:t>What are the coordination methods and the necessary orbital data relating to non-geostationary-satellite systems?</w:t>
      </w:r>
    </w:p>
    <w:p w14:paraId="1CB854D2" w14:textId="6D8D927E" w:rsidR="00BF2CBD" w:rsidRDefault="00BF2CBD" w:rsidP="00130962">
      <w:pPr>
        <w:jc w:val="both"/>
        <w:rPr>
          <w:lang w:eastAsia="ja-JP"/>
        </w:rPr>
      </w:pPr>
      <w:r w:rsidRPr="00EE6D66">
        <w:rPr>
          <w:bCs/>
        </w:rPr>
        <w:t>11</w:t>
      </w:r>
      <w:r>
        <w:tab/>
        <w:t>What are the interference mechanisms, calculation methods and possibilities and technical solutions that are available to permit bi-directional use of the 1</w:t>
      </w:r>
      <w:r w:rsidR="00E43EF6">
        <w:t> </w:t>
      </w:r>
      <w:r>
        <w:t>613.8-1</w:t>
      </w:r>
      <w:r w:rsidR="00E43EF6">
        <w:t> </w:t>
      </w:r>
      <w:bookmarkStart w:id="0" w:name="_GoBack"/>
      <w:bookmarkEnd w:id="0"/>
      <w:r>
        <w:t>626.5 MHz band?</w:t>
      </w:r>
    </w:p>
    <w:p w14:paraId="669AC724" w14:textId="77777777" w:rsidR="00BF2CBD" w:rsidRPr="000C4505" w:rsidRDefault="00BF2CBD" w:rsidP="00130962">
      <w:pPr>
        <w:jc w:val="both"/>
        <w:rPr>
          <w:lang w:eastAsia="ja-JP"/>
        </w:rPr>
      </w:pPr>
      <w:r w:rsidRPr="00EE6D66">
        <w:rPr>
          <w:bCs/>
          <w:lang w:eastAsia="ja-JP"/>
        </w:rPr>
        <w:t>12</w:t>
      </w:r>
      <w:r>
        <w:rPr>
          <w:b/>
          <w:lang w:eastAsia="ja-JP"/>
        </w:rPr>
        <w:tab/>
      </w:r>
      <w:r w:rsidRPr="000C4505">
        <w:rPr>
          <w:lang w:eastAsia="ja-JP"/>
        </w:rPr>
        <w:t>What polarization</w:t>
      </w:r>
      <w:r>
        <w:rPr>
          <w:lang w:eastAsia="ja-JP"/>
        </w:rPr>
        <w:t xml:space="preserve"> schemes can be</w:t>
      </w:r>
      <w:r w:rsidRPr="000C4505">
        <w:rPr>
          <w:lang w:eastAsia="ja-JP"/>
        </w:rPr>
        <w:t xml:space="preserve"> </w:t>
      </w:r>
      <w:r>
        <w:rPr>
          <w:lang w:eastAsia="ja-JP"/>
        </w:rPr>
        <w:t>used by MSS systems to i</w:t>
      </w:r>
      <w:r w:rsidRPr="000C4505">
        <w:rPr>
          <w:lang w:eastAsia="ja-JP"/>
        </w:rPr>
        <w:t>mprove orbit/spectrum utilization efficiency?</w:t>
      </w:r>
    </w:p>
    <w:p w14:paraId="5AD69B86" w14:textId="77777777" w:rsidR="00BF2CBD" w:rsidRPr="000C4505" w:rsidRDefault="00BF2CBD" w:rsidP="00BF2CBD">
      <w:pPr>
        <w:pStyle w:val="Call"/>
      </w:pPr>
      <w:r w:rsidRPr="000C4505">
        <w:t>further decides</w:t>
      </w:r>
    </w:p>
    <w:p w14:paraId="76194FA6" w14:textId="77777777" w:rsidR="00BF2CBD" w:rsidRPr="000C4505" w:rsidRDefault="00BF2CBD" w:rsidP="00130962">
      <w:pPr>
        <w:jc w:val="both"/>
      </w:pPr>
      <w:r w:rsidRPr="00EE6D66">
        <w:rPr>
          <w:bCs/>
        </w:rPr>
        <w:t>1</w:t>
      </w:r>
      <w:r w:rsidRPr="000C4505">
        <w:tab/>
        <w:t xml:space="preserve">that the results of the above studies should be included in </w:t>
      </w:r>
      <w:r>
        <w:t xml:space="preserve">appropriate </w:t>
      </w:r>
      <w:r w:rsidRPr="000C4505">
        <w:t>Recommendations</w:t>
      </w:r>
      <w:r>
        <w:t xml:space="preserve"> and</w:t>
      </w:r>
      <w:r w:rsidRPr="000C4505">
        <w:rPr>
          <w:lang w:eastAsia="ja-JP"/>
        </w:rPr>
        <w:t>/</w:t>
      </w:r>
      <w:r>
        <w:rPr>
          <w:lang w:eastAsia="ja-JP"/>
        </w:rPr>
        <w:t xml:space="preserve">or </w:t>
      </w:r>
      <w:r w:rsidRPr="000C4505">
        <w:rPr>
          <w:lang w:eastAsia="ja-JP"/>
        </w:rPr>
        <w:t>Reports</w:t>
      </w:r>
      <w:r w:rsidRPr="000C4505">
        <w:t>;</w:t>
      </w:r>
    </w:p>
    <w:p w14:paraId="441189B1" w14:textId="490E326E" w:rsidR="00BF2CBD" w:rsidRDefault="00BF2CBD" w:rsidP="00130962">
      <w:pPr>
        <w:jc w:val="both"/>
      </w:pPr>
      <w:r w:rsidRPr="00EE6D66">
        <w:rPr>
          <w:bCs/>
        </w:rPr>
        <w:t>2</w:t>
      </w:r>
      <w:r>
        <w:tab/>
        <w:t>that the above studies should be completed by</w:t>
      </w:r>
      <w:r>
        <w:rPr>
          <w:lang w:eastAsia="ja-JP"/>
        </w:rPr>
        <w:t xml:space="preserve"> </w:t>
      </w:r>
      <w:r w:rsidR="00053DFB">
        <w:rPr>
          <w:lang w:eastAsia="ja-JP"/>
        </w:rPr>
        <w:t>202</w:t>
      </w:r>
      <w:r w:rsidR="00130962">
        <w:rPr>
          <w:lang w:eastAsia="ja-JP"/>
        </w:rPr>
        <w:t>5</w:t>
      </w:r>
      <w:r>
        <w:t>.</w:t>
      </w:r>
    </w:p>
    <w:p w14:paraId="5E8C7343" w14:textId="024E7226" w:rsidR="00BF2CBD" w:rsidRDefault="00BF2CBD" w:rsidP="00130962">
      <w:pPr>
        <w:pStyle w:val="Normalaftertitle"/>
        <w:rPr>
          <w:lang w:eastAsia="ja-JP"/>
        </w:rPr>
      </w:pPr>
      <w:r>
        <w:rPr>
          <w:lang w:eastAsia="ja-JP"/>
        </w:rPr>
        <w:t xml:space="preserve">Category: </w:t>
      </w:r>
      <w:proofErr w:type="spellStart"/>
      <w:r>
        <w:rPr>
          <w:lang w:eastAsia="ja-JP"/>
        </w:rPr>
        <w:t>S1</w:t>
      </w:r>
      <w:proofErr w:type="spellEnd"/>
    </w:p>
    <w:sectPr w:rsidR="00BF2CBD" w:rsidSect="005335B4">
      <w:headerReference w:type="even" r:id="rId8"/>
      <w:headerReference w:type="default" r:id="rId9"/>
      <w:footerReference w:type="even" r:id="rId10"/>
      <w:footerReference w:type="default" r:id="rId11"/>
      <w:headerReference w:type="first" r:id="rId12"/>
      <w:footerReference w:type="first" r:id="rId13"/>
      <w:pgSz w:w="11907" w:h="16834"/>
      <w:pgMar w:top="1304"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ABF5A" w14:textId="77777777" w:rsidR="00A82CEA" w:rsidRDefault="00A82CEA">
      <w:r>
        <w:separator/>
      </w:r>
    </w:p>
  </w:endnote>
  <w:endnote w:type="continuationSeparator" w:id="0">
    <w:p w14:paraId="5661D708" w14:textId="77777777" w:rsidR="00A82CEA" w:rsidRDefault="00A8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4560E" w14:textId="77777777" w:rsidR="00B324A4" w:rsidRDefault="00B324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1D424" w14:textId="77777777" w:rsidR="00B324A4" w:rsidRDefault="00B324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8EB1C" w14:textId="77777777" w:rsidR="00B324A4" w:rsidRDefault="00B32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EC601" w14:textId="77777777" w:rsidR="00A82CEA" w:rsidRDefault="00A82CEA">
      <w:r>
        <w:t>____________________</w:t>
      </w:r>
    </w:p>
  </w:footnote>
  <w:footnote w:type="continuationSeparator" w:id="0">
    <w:p w14:paraId="37A3FED9" w14:textId="77777777" w:rsidR="00A82CEA" w:rsidRDefault="00A82CEA">
      <w:r>
        <w:continuationSeparator/>
      </w:r>
    </w:p>
  </w:footnote>
  <w:footnote w:id="1">
    <w:p w14:paraId="00EA7258" w14:textId="77777777" w:rsidR="00A82CEA" w:rsidRPr="008664AD" w:rsidRDefault="00A82CEA" w:rsidP="00BF2CBD">
      <w:pPr>
        <w:pStyle w:val="FootnoteText"/>
        <w:rPr>
          <w:sz w:val="22"/>
          <w:szCs w:val="22"/>
        </w:rPr>
      </w:pPr>
      <w:r w:rsidRPr="00665A6D">
        <w:rPr>
          <w:rStyle w:val="FootnoteReference"/>
          <w:rFonts w:eastAsia="SimSun"/>
          <w:szCs w:val="22"/>
        </w:rPr>
        <w:t>*</w:t>
      </w:r>
      <w:r w:rsidRPr="00665A6D">
        <w:rPr>
          <w:szCs w:val="22"/>
        </w:rPr>
        <w:tab/>
      </w:r>
      <w:r w:rsidRPr="00B23795">
        <w:rPr>
          <w:szCs w:val="24"/>
        </w:rPr>
        <w:t>This Question should be brought to the attention of Radiocommunication Study Groups 5 and 7</w:t>
      </w:r>
      <w:r w:rsidRPr="008664AD">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A97F9" w14:textId="77777777" w:rsidR="00B324A4" w:rsidRDefault="00B324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2B9FB" w14:textId="77777777" w:rsidR="00A82CEA" w:rsidRDefault="00A82CEA"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324A4">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7D5B" w14:textId="77777777" w:rsidR="00B324A4" w:rsidRDefault="00B32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AA8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C7D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3EC9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1C88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AAC1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5453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1A0B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0A4A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3AD0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ACF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AC6CB6"/>
    <w:multiLevelType w:val="hybridMultilevel"/>
    <w:tmpl w:val="44FA8E8A"/>
    <w:lvl w:ilvl="0" w:tplc="7D8CFCEA">
      <w:start w:val="1"/>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53D"/>
    <w:rsid w:val="0000364F"/>
    <w:rsid w:val="00006079"/>
    <w:rsid w:val="000069D4"/>
    <w:rsid w:val="000174AD"/>
    <w:rsid w:val="000363C0"/>
    <w:rsid w:val="00053DFB"/>
    <w:rsid w:val="0006104F"/>
    <w:rsid w:val="000A2D1D"/>
    <w:rsid w:val="000A7D55"/>
    <w:rsid w:val="000C2185"/>
    <w:rsid w:val="000C2E8E"/>
    <w:rsid w:val="000E0E7C"/>
    <w:rsid w:val="000E4196"/>
    <w:rsid w:val="000F1B4B"/>
    <w:rsid w:val="00105E82"/>
    <w:rsid w:val="0012744F"/>
    <w:rsid w:val="00130962"/>
    <w:rsid w:val="001419EA"/>
    <w:rsid w:val="00156F66"/>
    <w:rsid w:val="00174A1E"/>
    <w:rsid w:val="00182528"/>
    <w:rsid w:val="0018500B"/>
    <w:rsid w:val="00185FFF"/>
    <w:rsid w:val="00186440"/>
    <w:rsid w:val="00196A19"/>
    <w:rsid w:val="001A4ABA"/>
    <w:rsid w:val="001B663A"/>
    <w:rsid w:val="001C0539"/>
    <w:rsid w:val="001C0AFC"/>
    <w:rsid w:val="001C688B"/>
    <w:rsid w:val="00202DC1"/>
    <w:rsid w:val="002116EE"/>
    <w:rsid w:val="002309D8"/>
    <w:rsid w:val="002405BC"/>
    <w:rsid w:val="00252AB6"/>
    <w:rsid w:val="00253786"/>
    <w:rsid w:val="00295A57"/>
    <w:rsid w:val="002A42EE"/>
    <w:rsid w:val="002A6A54"/>
    <w:rsid w:val="002A7FE2"/>
    <w:rsid w:val="002B6A74"/>
    <w:rsid w:val="002C2214"/>
    <w:rsid w:val="002E1B4F"/>
    <w:rsid w:val="002F2E67"/>
    <w:rsid w:val="00315546"/>
    <w:rsid w:val="0031621B"/>
    <w:rsid w:val="00317357"/>
    <w:rsid w:val="00330567"/>
    <w:rsid w:val="0033263A"/>
    <w:rsid w:val="003369A0"/>
    <w:rsid w:val="00386A9D"/>
    <w:rsid w:val="00391081"/>
    <w:rsid w:val="003A7179"/>
    <w:rsid w:val="003B2789"/>
    <w:rsid w:val="003C13CE"/>
    <w:rsid w:val="003E2518"/>
    <w:rsid w:val="003F4219"/>
    <w:rsid w:val="003F44E7"/>
    <w:rsid w:val="003F61F2"/>
    <w:rsid w:val="00415682"/>
    <w:rsid w:val="00417153"/>
    <w:rsid w:val="00434B10"/>
    <w:rsid w:val="00463D88"/>
    <w:rsid w:val="00490744"/>
    <w:rsid w:val="004932E1"/>
    <w:rsid w:val="004B1EF7"/>
    <w:rsid w:val="004B3FAD"/>
    <w:rsid w:val="004D0576"/>
    <w:rsid w:val="004E2818"/>
    <w:rsid w:val="004F1E09"/>
    <w:rsid w:val="00501DCA"/>
    <w:rsid w:val="00513A47"/>
    <w:rsid w:val="00526076"/>
    <w:rsid w:val="005301A5"/>
    <w:rsid w:val="00531653"/>
    <w:rsid w:val="005335B4"/>
    <w:rsid w:val="00536474"/>
    <w:rsid w:val="005408DF"/>
    <w:rsid w:val="00545ED6"/>
    <w:rsid w:val="005639D9"/>
    <w:rsid w:val="00566233"/>
    <w:rsid w:val="00573344"/>
    <w:rsid w:val="00583F9B"/>
    <w:rsid w:val="005908B6"/>
    <w:rsid w:val="005E4B5C"/>
    <w:rsid w:val="005E5C10"/>
    <w:rsid w:val="005E62D1"/>
    <w:rsid w:val="005F2C78"/>
    <w:rsid w:val="0060617B"/>
    <w:rsid w:val="006144E4"/>
    <w:rsid w:val="006442B3"/>
    <w:rsid w:val="00650299"/>
    <w:rsid w:val="00655FC5"/>
    <w:rsid w:val="00683FBE"/>
    <w:rsid w:val="00694F61"/>
    <w:rsid w:val="00695D65"/>
    <w:rsid w:val="006A148A"/>
    <w:rsid w:val="006D2037"/>
    <w:rsid w:val="006D3D14"/>
    <w:rsid w:val="006F3424"/>
    <w:rsid w:val="00712EB0"/>
    <w:rsid w:val="00751429"/>
    <w:rsid w:val="0078082C"/>
    <w:rsid w:val="0079333B"/>
    <w:rsid w:val="007C3297"/>
    <w:rsid w:val="007C7AE0"/>
    <w:rsid w:val="00822581"/>
    <w:rsid w:val="008309DD"/>
    <w:rsid w:val="0083227A"/>
    <w:rsid w:val="00835FF2"/>
    <w:rsid w:val="008567F2"/>
    <w:rsid w:val="00866900"/>
    <w:rsid w:val="00881BA1"/>
    <w:rsid w:val="008945FC"/>
    <w:rsid w:val="0089672A"/>
    <w:rsid w:val="008C26B8"/>
    <w:rsid w:val="008D5DD9"/>
    <w:rsid w:val="008E453D"/>
    <w:rsid w:val="00900ED3"/>
    <w:rsid w:val="009266C6"/>
    <w:rsid w:val="009672B9"/>
    <w:rsid w:val="0097356F"/>
    <w:rsid w:val="00982084"/>
    <w:rsid w:val="00986AD2"/>
    <w:rsid w:val="00995963"/>
    <w:rsid w:val="009B61EB"/>
    <w:rsid w:val="009C2064"/>
    <w:rsid w:val="009C7733"/>
    <w:rsid w:val="009D1697"/>
    <w:rsid w:val="009F57D0"/>
    <w:rsid w:val="00A014F8"/>
    <w:rsid w:val="00A418DB"/>
    <w:rsid w:val="00A5173C"/>
    <w:rsid w:val="00A56F68"/>
    <w:rsid w:val="00A61AEF"/>
    <w:rsid w:val="00A751E1"/>
    <w:rsid w:val="00A75CBE"/>
    <w:rsid w:val="00A82CEA"/>
    <w:rsid w:val="00A95775"/>
    <w:rsid w:val="00AA4B28"/>
    <w:rsid w:val="00AD717F"/>
    <w:rsid w:val="00AF173A"/>
    <w:rsid w:val="00B066A4"/>
    <w:rsid w:val="00B07A13"/>
    <w:rsid w:val="00B23795"/>
    <w:rsid w:val="00B324A4"/>
    <w:rsid w:val="00B3259A"/>
    <w:rsid w:val="00B4279B"/>
    <w:rsid w:val="00B45FC9"/>
    <w:rsid w:val="00B93B7D"/>
    <w:rsid w:val="00BA541C"/>
    <w:rsid w:val="00BC7CCF"/>
    <w:rsid w:val="00BD7099"/>
    <w:rsid w:val="00BE470B"/>
    <w:rsid w:val="00BF2CBD"/>
    <w:rsid w:val="00C01D34"/>
    <w:rsid w:val="00C414C7"/>
    <w:rsid w:val="00C43880"/>
    <w:rsid w:val="00C57A91"/>
    <w:rsid w:val="00C721B2"/>
    <w:rsid w:val="00CC01C2"/>
    <w:rsid w:val="00CC15E8"/>
    <w:rsid w:val="00CE0B81"/>
    <w:rsid w:val="00CE6654"/>
    <w:rsid w:val="00CF21F2"/>
    <w:rsid w:val="00CF51A2"/>
    <w:rsid w:val="00CF6E37"/>
    <w:rsid w:val="00D02712"/>
    <w:rsid w:val="00D1602E"/>
    <w:rsid w:val="00D214D0"/>
    <w:rsid w:val="00D55A5F"/>
    <w:rsid w:val="00D6053A"/>
    <w:rsid w:val="00D6546B"/>
    <w:rsid w:val="00D727C0"/>
    <w:rsid w:val="00D763C9"/>
    <w:rsid w:val="00D86A3A"/>
    <w:rsid w:val="00D95091"/>
    <w:rsid w:val="00D97276"/>
    <w:rsid w:val="00DA58E4"/>
    <w:rsid w:val="00DD4BED"/>
    <w:rsid w:val="00DE39F0"/>
    <w:rsid w:val="00DF0AF3"/>
    <w:rsid w:val="00DF0BA5"/>
    <w:rsid w:val="00E06C41"/>
    <w:rsid w:val="00E23988"/>
    <w:rsid w:val="00E275BC"/>
    <w:rsid w:val="00E27D7E"/>
    <w:rsid w:val="00E317E5"/>
    <w:rsid w:val="00E40B84"/>
    <w:rsid w:val="00E42E13"/>
    <w:rsid w:val="00E43EF6"/>
    <w:rsid w:val="00E6257C"/>
    <w:rsid w:val="00E63C59"/>
    <w:rsid w:val="00ED7630"/>
    <w:rsid w:val="00EE6D66"/>
    <w:rsid w:val="00EF04E3"/>
    <w:rsid w:val="00F7625A"/>
    <w:rsid w:val="00F814F4"/>
    <w:rsid w:val="00F84663"/>
    <w:rsid w:val="00F95139"/>
    <w:rsid w:val="00FA124A"/>
    <w:rsid w:val="00FA3311"/>
    <w:rsid w:val="00FB2646"/>
    <w:rsid w:val="00FC08DD"/>
    <w:rsid w:val="00FC2316"/>
    <w:rsid w:val="00FC2CFD"/>
    <w:rsid w:val="00FC5956"/>
    <w:rsid w:val="00FD2BC1"/>
    <w:rsid w:val="00FD69C0"/>
    <w:rsid w:val="00FF0D9F"/>
    <w:rsid w:val="00FF4D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5466"/>
  <w15:docId w15:val="{62FA1F3C-785A-42EB-BAD0-969E7718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29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0"/>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table" w:styleId="TableGrid">
    <w:name w:val="Table Grid"/>
    <w:basedOn w:val="TableNormal"/>
    <w:rsid w:val="008E4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0D9F"/>
    <w:rPr>
      <w:rFonts w:ascii="Times New Roman" w:hAnsi="Times New Roman"/>
      <w:sz w:val="24"/>
      <w:lang w:val="en-GB" w:eastAsia="en-US"/>
    </w:rPr>
  </w:style>
  <w:style w:type="paragraph" w:customStyle="1" w:styleId="QuestionNoBR">
    <w:name w:val="Question_No_BR"/>
    <w:basedOn w:val="Normal"/>
    <w:next w:val="Questiontitle"/>
    <w:rsid w:val="00BF2CBD"/>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Char1CharChar1Char">
    <w:name w:val="Char1 Char Char1 Char"/>
    <w:basedOn w:val="Normal"/>
    <w:rsid w:val="00BF2CB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CallChar">
    <w:name w:val="Call Char"/>
    <w:basedOn w:val="DefaultParagraphFont"/>
    <w:link w:val="Call"/>
    <w:rsid w:val="00BF2CBD"/>
    <w:rPr>
      <w:rFonts w:ascii="Times New Roman" w:hAnsi="Times New Roman"/>
      <w:i/>
      <w:sz w:val="24"/>
      <w:lang w:val="en-GB" w:eastAsia="en-US"/>
    </w:rPr>
  </w:style>
  <w:style w:type="character" w:customStyle="1" w:styleId="NormalaftertitleChar0">
    <w:name w:val="Normal after title Char"/>
    <w:basedOn w:val="DefaultParagraphFont"/>
    <w:link w:val="Normalaftertitle0"/>
    <w:locked/>
    <w:rsid w:val="00BF2CBD"/>
    <w:rPr>
      <w:rFonts w:ascii="Times New Roman" w:hAnsi="Times New Roman"/>
      <w:sz w:val="24"/>
      <w:lang w:val="en-GB" w:eastAsia="en-US"/>
    </w:rPr>
  </w:style>
  <w:style w:type="paragraph" w:customStyle="1" w:styleId="call0">
    <w:name w:val="call"/>
    <w:basedOn w:val="Normal"/>
    <w:next w:val="Normal"/>
    <w:rsid w:val="00BF2CBD"/>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rPr>
  </w:style>
  <w:style w:type="character" w:customStyle="1" w:styleId="NormalaftertitleChar">
    <w:name w:val="Normal_after_title Char"/>
    <w:basedOn w:val="DefaultParagraphFont"/>
    <w:link w:val="Normalaftertitle"/>
    <w:locked/>
    <w:rsid w:val="00BF2CBD"/>
    <w:rPr>
      <w:rFonts w:ascii="Times New Roman" w:hAnsi="Times New Roman"/>
      <w:sz w:val="24"/>
      <w:lang w:val="en-GB" w:eastAsia="en-US"/>
    </w:rPr>
  </w:style>
  <w:style w:type="paragraph" w:customStyle="1" w:styleId="a">
    <w:name w:val="Стиль"/>
    <w:basedOn w:val="Normal"/>
    <w:rsid w:val="00BF2CB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character" w:customStyle="1" w:styleId="FootnoteCharacters">
    <w:name w:val="Footnote Characters"/>
    <w:basedOn w:val="DefaultParagraphFont"/>
    <w:rsid w:val="00BF2CBD"/>
    <w:rPr>
      <w:position w:val="6"/>
      <w:sz w:val="18"/>
    </w:rPr>
  </w:style>
  <w:style w:type="paragraph" w:customStyle="1" w:styleId="AnnexNotitle">
    <w:name w:val="Annex_No &amp; title"/>
    <w:basedOn w:val="Normal"/>
    <w:next w:val="Normalaftertitle"/>
    <w:rsid w:val="00BF2CBD"/>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enumlev10">
    <w:name w:val="enumlev1 Знак"/>
    <w:basedOn w:val="DefaultParagraphFont"/>
    <w:link w:val="enumlev1"/>
    <w:locked/>
    <w:rsid w:val="00BF2CBD"/>
    <w:rPr>
      <w:rFonts w:ascii="Times New Roman" w:hAnsi="Times New Roman"/>
      <w:sz w:val="24"/>
      <w:lang w:val="en-GB" w:eastAsia="en-US"/>
    </w:rPr>
  </w:style>
  <w:style w:type="paragraph" w:customStyle="1" w:styleId="Char">
    <w:name w:val="Char"/>
    <w:basedOn w:val="Normal"/>
    <w:rsid w:val="00BF2CB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ListParagraph">
    <w:name w:val="List Paragraph"/>
    <w:basedOn w:val="Normal"/>
    <w:uiPriority w:val="34"/>
    <w:qFormat/>
    <w:rsid w:val="00EE6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598A8-AF80-47C6-BD18-900296264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6</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LRT</cp:lastModifiedBy>
  <cp:revision>5</cp:revision>
  <cp:lastPrinted>2012-03-08T09:44:00Z</cp:lastPrinted>
  <dcterms:created xsi:type="dcterms:W3CDTF">2012-04-26T09:17:00Z</dcterms:created>
  <dcterms:modified xsi:type="dcterms:W3CDTF">2024-01-24T12:01:00Z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