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7B7" w:rsidRDefault="00A677B7" w:rsidP="00A677B7">
      <w:pPr>
        <w:pStyle w:val="Questionno"/>
      </w:pPr>
      <w:r>
        <w:rPr>
          <w:rtl/>
        </w:rPr>
        <w:t xml:space="preserve">ال‍مسألة </w:t>
      </w:r>
      <w:r>
        <w:t>ITU-R</w:t>
      </w:r>
      <w:r>
        <w:rPr>
          <w:lang w:bidi="ar-SA"/>
        </w:rPr>
        <w:t> 293/4</w:t>
      </w:r>
      <w:r>
        <w:rPr>
          <w:rtl/>
        </w:rPr>
        <w:t xml:space="preserve"> لقطاع الاتصالات الراديوية</w:t>
      </w:r>
    </w:p>
    <w:p w:rsidR="00A677B7" w:rsidRDefault="00A677B7" w:rsidP="00A677B7">
      <w:pPr>
        <w:pStyle w:val="Questiontitle"/>
        <w:rPr>
          <w:rtl/>
          <w:lang w:bidi="ar-EG"/>
        </w:rPr>
      </w:pPr>
      <w:r>
        <w:rPr>
          <w:rtl/>
          <w:lang w:bidi="ar-SY"/>
        </w:rPr>
        <w:t>مخططات/نماذج إشعاع الهوائيات الصغيرة للمحطات الأرضية</w:t>
      </w:r>
      <w:r>
        <w:rPr>
          <w:rtl/>
          <w:lang w:bidi="ar-SY"/>
        </w:rPr>
        <w:br/>
        <w:t xml:space="preserve">(نسبة </w:t>
      </w:r>
      <w:r>
        <w:rPr>
          <w:rStyle w:val="FootnoteReference"/>
          <w:specVanish w:val="0"/>
        </w:rPr>
        <w:footnoteReference w:id="1"/>
      </w:r>
      <w:r>
        <w:t>D/λ</w:t>
      </w:r>
      <w:r>
        <w:rPr>
          <w:rtl/>
          <w:lang w:bidi="ar-SY"/>
        </w:rPr>
        <w:t xml:space="preserve"> قدرها </w:t>
      </w:r>
      <w:r>
        <w:t>30</w:t>
      </w:r>
      <w:r>
        <w:rPr>
          <w:rtl/>
          <w:lang w:bidi="ar-SY"/>
        </w:rPr>
        <w:t xml:space="preserve"> تقريباً)</w:t>
      </w:r>
      <w:r>
        <w:rPr>
          <w:rtl/>
          <w:lang w:bidi="ar-EG"/>
        </w:rPr>
        <w:t xml:space="preserve"> المستعملة في أنظمة الخدمة الثابتة الساتلية</w:t>
      </w:r>
      <w:r>
        <w:rPr>
          <w:rtl/>
          <w:lang w:bidi="ar-EG"/>
        </w:rPr>
        <w:br/>
        <w:t>والخدمة الإذاعية الساتلية</w:t>
      </w:r>
    </w:p>
    <w:p w:rsidR="00A677B7" w:rsidRDefault="00A677B7" w:rsidP="00A677B7">
      <w:pPr>
        <w:pStyle w:val="Date"/>
        <w:rPr>
          <w:rtl/>
        </w:rPr>
      </w:pPr>
      <w:r>
        <w:t>(2015)</w:t>
      </w:r>
    </w:p>
    <w:p w:rsidR="00A677B7" w:rsidRDefault="00A677B7" w:rsidP="00A677B7">
      <w:pPr>
        <w:pStyle w:val="Normalaftertitle"/>
      </w:pPr>
      <w:r>
        <w:rPr>
          <w:rtl/>
        </w:rPr>
        <w:t>إن جمعية الاتصالات الراديوية للاتحاد الدولي للاتصالات،</w:t>
      </w:r>
    </w:p>
    <w:p w:rsidR="00A677B7" w:rsidRDefault="00A677B7" w:rsidP="00A677B7">
      <w:pPr>
        <w:pStyle w:val="Call"/>
        <w:rPr>
          <w:rtl/>
        </w:rPr>
      </w:pPr>
      <w:r>
        <w:rPr>
          <w:rtl/>
        </w:rPr>
        <w:t>إذ تضع في اعتبارها</w:t>
      </w:r>
    </w:p>
    <w:p w:rsidR="00A677B7" w:rsidRDefault="00A677B7" w:rsidP="00A677B7">
      <w:pPr>
        <w:rPr>
          <w:b/>
          <w:rtl/>
          <w:lang w:bidi="ar-EG"/>
        </w:rPr>
      </w:pPr>
      <w:r>
        <w:rPr>
          <w:b/>
          <w:i/>
          <w:iCs/>
          <w:rtl/>
        </w:rPr>
        <w:t xml:space="preserve"> أ )</w:t>
      </w:r>
      <w:r>
        <w:rPr>
          <w:rtl/>
        </w:rPr>
        <w:tab/>
      </w:r>
      <w:r>
        <w:rPr>
          <w:b/>
          <w:rtl/>
        </w:rPr>
        <w:t xml:space="preserve">أن مخططات الهوائي المرجعية للمحطات الأرضية في الخدمة الثابتة الساتلية </w:t>
      </w:r>
      <w:r>
        <w:rPr>
          <w:bCs/>
          <w:lang w:val="en-GB"/>
        </w:rPr>
        <w:t>(FSS)</w:t>
      </w:r>
      <w:r>
        <w:rPr>
          <w:b/>
          <w:rtl/>
          <w:lang w:bidi="ar-EG"/>
        </w:rPr>
        <w:t xml:space="preserve"> والخدمة الإذاعية الساتلية </w:t>
      </w:r>
      <w:r>
        <w:rPr>
          <w:bCs/>
          <w:lang w:val="en-GB"/>
        </w:rPr>
        <w:t>(BSS)</w:t>
      </w:r>
      <w:r>
        <w:rPr>
          <w:b/>
          <w:rtl/>
          <w:lang w:bidi="ar-EG"/>
        </w:rPr>
        <w:t xml:space="preserve"> تُستعمل لتحديد متطلبات التنسيق وفقاً للوائح الراديو؛</w:t>
      </w:r>
    </w:p>
    <w:p w:rsidR="00A677B7" w:rsidRDefault="00A677B7" w:rsidP="00A677B7">
      <w:pPr>
        <w:rPr>
          <w:rtl/>
        </w:rPr>
      </w:pPr>
      <w:r>
        <w:rPr>
          <w:b/>
          <w:i/>
          <w:iCs/>
          <w:rtl/>
        </w:rPr>
        <w:t>ب)</w:t>
      </w:r>
      <w:r>
        <w:rPr>
          <w:rtl/>
        </w:rPr>
        <w:tab/>
      </w:r>
      <w:r>
        <w:rPr>
          <w:b/>
          <w:rtl/>
        </w:rPr>
        <w:t>أن تحديد معايير التنسيق و/أو تقييم التداخلات بين شبكات الخدمة الثابتة الساتلية/الخدمة الإذاعية الساتلية، وكذلك بين المحطات الأرضية في الخدمة الثابتة الساتلية/الخدمة الإذاعية الساتلية وأنظمة الخدمات الأخرى التي تتقاسم نفس نطاق الترددات، يتوقف على مخططات الهوائي المرجعية المستعملة في التحليل؛</w:t>
      </w:r>
    </w:p>
    <w:p w:rsidR="00A677B7" w:rsidRDefault="00A677B7" w:rsidP="00A677B7">
      <w:pPr>
        <w:rPr>
          <w:b/>
          <w:rtl/>
          <w:lang w:bidi="ar-EG"/>
        </w:rPr>
      </w:pPr>
      <w:r>
        <w:rPr>
          <w:b/>
          <w:i/>
          <w:iCs/>
          <w:rtl/>
        </w:rPr>
        <w:t>ج)</w:t>
      </w:r>
      <w:r>
        <w:rPr>
          <w:b/>
          <w:i/>
          <w:iCs/>
          <w:rtl/>
        </w:rPr>
        <w:tab/>
      </w:r>
      <w:r>
        <w:rPr>
          <w:b/>
          <w:rtl/>
        </w:rPr>
        <w:t xml:space="preserve">أن استعمال مخططات الهوائي المرجعية </w:t>
      </w:r>
      <w:r>
        <w:rPr>
          <w:rtl/>
        </w:rPr>
        <w:t>المتحفظة بصورة لا داع لها،</w:t>
      </w:r>
      <w:r>
        <w:rPr>
          <w:b/>
          <w:rtl/>
        </w:rPr>
        <w:t xml:space="preserve"> يمكن أن يؤدي إلى زيادة عدد الشبكات المحتمل تأثرها </w:t>
      </w:r>
      <w:r>
        <w:rPr>
          <w:b/>
          <w:rtl/>
          <w:lang w:bidi="ar-EG"/>
        </w:rPr>
        <w:t>مما يجعل من الصعب على الإدارات المعنية استكمال التنسيق؛</w:t>
      </w:r>
    </w:p>
    <w:p w:rsidR="00A677B7" w:rsidRDefault="00A677B7" w:rsidP="00A677B7">
      <w:pPr>
        <w:rPr>
          <w:rtl/>
        </w:rPr>
      </w:pPr>
      <w:r>
        <w:rPr>
          <w:b/>
          <w:i/>
          <w:iCs/>
          <w:rtl/>
        </w:rPr>
        <w:t>د )</w:t>
      </w:r>
      <w:r>
        <w:rPr>
          <w:rtl/>
        </w:rPr>
        <w:tab/>
      </w:r>
      <w:r>
        <w:rPr>
          <w:b/>
          <w:rtl/>
        </w:rPr>
        <w:t>أن مجال تطبيق مخططات الهوائي المرجعية الحالية والمستقبلية يجب أن تُحدد تحديداً دقيقاً (مدى معلمات الدخل المنطبقة، ونطاقات التردد المنطبقة وغير</w:t>
      </w:r>
      <w:r>
        <w:rPr>
          <w:b/>
          <w:rtl/>
          <w:lang w:bidi="ar-EG"/>
        </w:rPr>
        <w:t> </w:t>
      </w:r>
      <w:r>
        <w:rPr>
          <w:b/>
          <w:rtl/>
        </w:rPr>
        <w:t>ذلك)؛</w:t>
      </w:r>
    </w:p>
    <w:p w:rsidR="00A677B7" w:rsidRDefault="00A677B7" w:rsidP="00A677B7">
      <w:pPr>
        <w:rPr>
          <w:rtl/>
        </w:rPr>
      </w:pPr>
      <w:r>
        <w:rPr>
          <w:b/>
          <w:i/>
          <w:iCs/>
          <w:rtl/>
        </w:rPr>
        <w:t>ه‍ )</w:t>
      </w:r>
      <w:r>
        <w:rPr>
          <w:rtl/>
        </w:rPr>
        <w:tab/>
      </w:r>
      <w:r>
        <w:rPr>
          <w:b/>
          <w:rtl/>
        </w:rPr>
        <w:t>أن تحديد مخططات الهوائي ومجال تطبيقها، يجب أن يستند إلى</w:t>
      </w:r>
      <w:r>
        <w:rPr>
          <w:b/>
          <w:rtl/>
          <w:lang w:bidi="ar-EG"/>
        </w:rPr>
        <w:t> </w:t>
      </w:r>
      <w:r>
        <w:rPr>
          <w:b/>
          <w:rtl/>
        </w:rPr>
        <w:t>قياسات؛</w:t>
      </w:r>
    </w:p>
    <w:p w:rsidR="00A677B7" w:rsidRDefault="00A677B7" w:rsidP="00A677B7">
      <w:pPr>
        <w:rPr>
          <w:rtl/>
        </w:rPr>
      </w:pPr>
      <w:r>
        <w:rPr>
          <w:b/>
          <w:i/>
          <w:iCs/>
          <w:rtl/>
        </w:rPr>
        <w:t>و )</w:t>
      </w:r>
      <w:r>
        <w:rPr>
          <w:rtl/>
        </w:rPr>
        <w:tab/>
      </w:r>
      <w:r>
        <w:rPr>
          <w:b/>
          <w:rtl/>
        </w:rPr>
        <w:t>أن التصاميم والتكنولوجيا</w:t>
      </w:r>
      <w:r>
        <w:rPr>
          <w:b/>
          <w:rtl/>
          <w:lang w:bidi="ar-EG"/>
        </w:rPr>
        <w:t>ت</w:t>
      </w:r>
      <w:r>
        <w:rPr>
          <w:b/>
          <w:rtl/>
        </w:rPr>
        <w:t xml:space="preserve"> الجديدة للهوائي (مثل العواكس غير الدائرية والتصميم الخاص لبوق التغذية) يمكن أن تؤدي إلى سويات </w:t>
      </w:r>
      <w:r>
        <w:rPr>
          <w:rtl/>
        </w:rPr>
        <w:t>منخفضة في الفصوص الجانبية بالمقارنة مع مخططات الهوائي المرجعية</w:t>
      </w:r>
      <w:r>
        <w:rPr>
          <w:b/>
          <w:rtl/>
          <w:lang w:bidi="ar-EG"/>
        </w:rPr>
        <w:t> </w:t>
      </w:r>
      <w:r>
        <w:rPr>
          <w:rtl/>
        </w:rPr>
        <w:t>الحالية؛</w:t>
      </w:r>
    </w:p>
    <w:p w:rsidR="00A677B7" w:rsidRDefault="00A677B7" w:rsidP="00A677B7">
      <w:pPr>
        <w:rPr>
          <w:b/>
          <w:rtl/>
          <w:lang w:bidi="ar-EG"/>
        </w:rPr>
      </w:pPr>
      <w:r>
        <w:rPr>
          <w:b/>
          <w:i/>
          <w:iCs/>
          <w:rtl/>
        </w:rPr>
        <w:t>ز )</w:t>
      </w:r>
      <w:r>
        <w:rPr>
          <w:b/>
          <w:i/>
          <w:iCs/>
          <w:rtl/>
        </w:rPr>
        <w:tab/>
      </w:r>
      <w:r>
        <w:rPr>
          <w:b/>
          <w:rtl/>
        </w:rPr>
        <w:t>أن التكنولوجيات الجديدة للهوائي مثل الهوائيات بصفيف مطاور قد تُراعى في تطوير مخططات الهوائي</w:t>
      </w:r>
      <w:r>
        <w:rPr>
          <w:b/>
          <w:rtl/>
          <w:lang w:bidi="ar-EG"/>
        </w:rPr>
        <w:t> </w:t>
      </w:r>
      <w:r>
        <w:rPr>
          <w:b/>
          <w:rtl/>
        </w:rPr>
        <w:t>الجديدة؛</w:t>
      </w:r>
    </w:p>
    <w:p w:rsidR="00A677B7" w:rsidRDefault="00A677B7" w:rsidP="00A677B7">
      <w:pPr>
        <w:rPr>
          <w:rtl/>
        </w:rPr>
      </w:pPr>
      <w:r>
        <w:rPr>
          <w:b/>
          <w:i/>
          <w:iCs/>
          <w:rtl/>
        </w:rPr>
        <w:t>ح)</w:t>
      </w:r>
      <w:r>
        <w:rPr>
          <w:rtl/>
        </w:rPr>
        <w:tab/>
      </w:r>
      <w:r>
        <w:rPr>
          <w:b/>
          <w:rtl/>
        </w:rPr>
        <w:t>أن مكتب الاتصالات الراديوية في الاتحاد قد أنجز تنظيم مكتبة لبرمجيات مخططات إشعاع الهوائي يجب استعمالها بالاقتران مع جميع البرمجيات المستعملة لتطبيق الإجراءات ذات الصلة في لوائح</w:t>
      </w:r>
      <w:r>
        <w:rPr>
          <w:b/>
          <w:rtl/>
          <w:lang w:bidi="ar-EG"/>
        </w:rPr>
        <w:t> </w:t>
      </w:r>
      <w:r>
        <w:rPr>
          <w:b/>
          <w:rtl/>
        </w:rPr>
        <w:t>الراديو،</w:t>
      </w:r>
    </w:p>
    <w:p w:rsidR="00A677B7" w:rsidRDefault="00A677B7" w:rsidP="00A677B7">
      <w:pPr>
        <w:pStyle w:val="Call"/>
        <w:rPr>
          <w:rtl/>
        </w:rPr>
      </w:pPr>
      <w:r>
        <w:rPr>
          <w:rtl/>
        </w:rPr>
        <w:t>وإذ تلاحظ</w:t>
      </w:r>
    </w:p>
    <w:p w:rsidR="00A677B7" w:rsidRDefault="00A677B7" w:rsidP="00A677B7">
      <w:pPr>
        <w:rPr>
          <w:rtl/>
          <w:lang w:bidi="ar-EG"/>
        </w:rPr>
      </w:pPr>
      <w:r>
        <w:rPr>
          <w:i/>
          <w:iCs/>
          <w:rtl/>
        </w:rPr>
        <w:t xml:space="preserve"> أ )</w:t>
      </w:r>
      <w:r>
        <w:rPr>
          <w:rtl/>
        </w:rPr>
        <w:tab/>
        <w:t xml:space="preserve">أن بعض مخططات الهوائي للمحطات الأرضية في الخدمة الثابتة الساتلية/الخدمة الإذاعية الساتلية الواردة في توصيات قطاع الاتصالات الراديوية الحالية كالتوصيات </w:t>
      </w:r>
      <w:r>
        <w:rPr>
          <w:lang w:val="en-GB"/>
        </w:rPr>
        <w:t>ITU</w:t>
      </w:r>
      <w:r>
        <w:rPr>
          <w:lang w:val="en-GB"/>
        </w:rPr>
        <w:noBreakHyphen/>
        <w:t>R S.465</w:t>
      </w:r>
      <w:r>
        <w:rPr>
          <w:rtl/>
          <w:lang w:bidi="ar-EG"/>
        </w:rPr>
        <w:t xml:space="preserve"> و</w:t>
      </w:r>
      <w:r>
        <w:rPr>
          <w:lang w:val="en-GB"/>
        </w:rPr>
        <w:t>ITU</w:t>
      </w:r>
      <w:r>
        <w:rPr>
          <w:lang w:val="en-GB"/>
        </w:rPr>
        <w:noBreakHyphen/>
        <w:t>R S.580</w:t>
      </w:r>
      <w:r>
        <w:rPr>
          <w:rtl/>
          <w:lang w:bidi="ar-EG"/>
        </w:rPr>
        <w:t xml:space="preserve"> و</w:t>
      </w:r>
      <w:r>
        <w:rPr>
          <w:lang w:val="en-GB"/>
        </w:rPr>
        <w:t>ITU</w:t>
      </w:r>
      <w:r>
        <w:rPr>
          <w:lang w:val="en-GB"/>
        </w:rPr>
        <w:noBreakHyphen/>
        <w:t>R BO.1213</w:t>
      </w:r>
      <w:r>
        <w:rPr>
          <w:rtl/>
          <w:lang w:bidi="ar-EG"/>
        </w:rPr>
        <w:t xml:space="preserve"> و</w:t>
      </w:r>
      <w:r>
        <w:rPr>
          <w:lang w:val="en-GB"/>
        </w:rPr>
        <w:t>ITU</w:t>
      </w:r>
      <w:r>
        <w:rPr>
          <w:lang w:val="en-GB"/>
        </w:rPr>
        <w:noBreakHyphen/>
        <w:t>R S.1855</w:t>
      </w:r>
      <w:r>
        <w:rPr>
          <w:rtl/>
          <w:lang w:bidi="ar-EG"/>
        </w:rPr>
        <w:t xml:space="preserve"> تستعمل من أجل هوائيات ذات نسبة </w:t>
      </w:r>
      <w:r>
        <w:rPr>
          <w:lang w:val="fr-CH"/>
        </w:rPr>
        <w:t>D/λ</w:t>
      </w:r>
      <w:r>
        <w:rPr>
          <w:rtl/>
          <w:lang w:bidi="ar-EG"/>
        </w:rPr>
        <w:t xml:space="preserve"> قدرها </w:t>
      </w:r>
      <w:r>
        <w:rPr>
          <w:lang w:val="en-GB"/>
        </w:rPr>
        <w:t>30</w:t>
      </w:r>
      <w:r>
        <w:rPr>
          <w:b/>
          <w:rtl/>
          <w:lang w:bidi="ar-EG"/>
        </w:rPr>
        <w:t> </w:t>
      </w:r>
      <w:r>
        <w:rPr>
          <w:rtl/>
          <w:lang w:bidi="ar-EG"/>
        </w:rPr>
        <w:t>تقريباً؛</w:t>
      </w:r>
    </w:p>
    <w:p w:rsidR="00A677B7" w:rsidRDefault="00A677B7" w:rsidP="00A677B7">
      <w:pPr>
        <w:rPr>
          <w:spacing w:val="-2"/>
          <w:rtl/>
          <w:lang w:bidi="ar-EG"/>
        </w:rPr>
      </w:pPr>
      <w:r>
        <w:rPr>
          <w:i/>
          <w:iCs/>
          <w:spacing w:val="-2"/>
          <w:rtl/>
        </w:rPr>
        <w:t>ب)</w:t>
      </w:r>
      <w:r>
        <w:rPr>
          <w:spacing w:val="-2"/>
          <w:rtl/>
        </w:rPr>
        <w:tab/>
        <w:t xml:space="preserve">أن تحديد ضرورة التنسيق في الأقسام الخاصة للنشرة الإعلامية الدولية للترددات الصادرة عن مكتب الاتصالات الراديوية يستند في كثير من الحالات إلى شبكات ساتلية في مواقع بعيدة جداً نظراً للمستويات المرتفعة نسبياً للفصوص الجانبية لمخططات الهوائي المرجعية للمحطات الأرضية في الخدمة الثابتة الساتلية/الخدمة الإذاعية الساتلية لا سيما عند زوايا خارج المحور تفوق </w:t>
      </w:r>
      <w:r>
        <w:rPr>
          <w:spacing w:val="-2"/>
          <w:lang w:val="en-GB"/>
        </w:rPr>
        <w:t>40</w:t>
      </w:r>
      <w:r>
        <w:rPr>
          <w:b/>
          <w:spacing w:val="-2"/>
          <w:rtl/>
          <w:lang w:bidi="ar-EG"/>
        </w:rPr>
        <w:t> </w:t>
      </w:r>
      <w:r>
        <w:rPr>
          <w:spacing w:val="-2"/>
          <w:rtl/>
          <w:lang w:bidi="ar-EG"/>
        </w:rPr>
        <w:t>درجة،</w:t>
      </w:r>
    </w:p>
    <w:p w:rsidR="00A677B7" w:rsidRDefault="00A677B7" w:rsidP="00A677B7">
      <w:pPr>
        <w:pStyle w:val="Call"/>
        <w:rPr>
          <w:i w:val="0"/>
          <w:iCs w:val="0"/>
          <w:rtl/>
        </w:rPr>
      </w:pPr>
      <w:r>
        <w:rPr>
          <w:rtl/>
        </w:rPr>
        <w:lastRenderedPageBreak/>
        <w:t xml:space="preserve">تقرر </w:t>
      </w:r>
      <w:r>
        <w:rPr>
          <w:i w:val="0"/>
          <w:iCs w:val="0"/>
          <w:rtl/>
        </w:rPr>
        <w:t>أن تخضع المسائل التالية للدراسة</w:t>
      </w:r>
    </w:p>
    <w:p w:rsidR="00A677B7" w:rsidRDefault="00A677B7" w:rsidP="00A677B7">
      <w:pPr>
        <w:rPr>
          <w:rtl/>
          <w:lang w:bidi="ar-EG"/>
        </w:rPr>
      </w:pPr>
      <w:r>
        <w:rPr>
          <w:bCs/>
          <w:lang w:val="en-GB"/>
        </w:rPr>
        <w:t>1</w:t>
      </w:r>
      <w:r>
        <w:rPr>
          <w:rtl/>
        </w:rPr>
        <w:tab/>
      </w:r>
      <w:r>
        <w:rPr>
          <w:b/>
          <w:rtl/>
        </w:rPr>
        <w:t xml:space="preserve">ما هي خصائص الإشعاع المقيسة للهوائيات الصغيرة للمحطات الأرضية في الخدمة الثابتة الساتلية/الخدمة الإذاعية الساتلية لا سيما على مقربة من الزوايا خارج المحور التي تبلغ </w:t>
      </w:r>
      <w:r>
        <w:rPr>
          <w:bCs/>
          <w:lang w:val="en-GB"/>
        </w:rPr>
        <w:t>40</w:t>
      </w:r>
      <w:r>
        <w:rPr>
          <w:b/>
          <w:rtl/>
          <w:lang w:bidi="ar-EG"/>
        </w:rPr>
        <w:t xml:space="preserve"> درجة أو</w:t>
      </w:r>
      <w:r>
        <w:rPr>
          <w:rtl/>
          <w:lang w:bidi="ar-EG"/>
        </w:rPr>
        <w:t> </w:t>
      </w:r>
      <w:r>
        <w:rPr>
          <w:b/>
          <w:rtl/>
          <w:lang w:bidi="ar-EG"/>
        </w:rPr>
        <w:t>تفوقها؟</w:t>
      </w:r>
    </w:p>
    <w:p w:rsidR="00A677B7" w:rsidRDefault="00A677B7" w:rsidP="00A677B7">
      <w:pPr>
        <w:rPr>
          <w:rtl/>
        </w:rPr>
      </w:pPr>
      <w:r>
        <w:rPr>
          <w:bCs/>
          <w:lang w:val="en-GB"/>
        </w:rPr>
        <w:t>2</w:t>
      </w:r>
      <w:r>
        <w:rPr>
          <w:rtl/>
        </w:rPr>
        <w:tab/>
      </w:r>
      <w:r>
        <w:rPr>
          <w:b/>
          <w:rtl/>
        </w:rPr>
        <w:t xml:space="preserve">ما هي المخططات المرجعية التي تنطبق على هوائيات محطات أرضية في الخدمة الثابتة الساتلية/الخدمة الإذاعية الساتلية </w:t>
      </w:r>
      <w:r>
        <w:rPr>
          <w:rtl/>
          <w:lang w:bidi="ar-EG"/>
        </w:rPr>
        <w:t xml:space="preserve">ذات نسبة </w:t>
      </w:r>
      <w:r>
        <w:rPr>
          <w:lang w:val="fr-CH"/>
        </w:rPr>
        <w:t>D/λ</w:t>
      </w:r>
      <w:r>
        <w:rPr>
          <w:rtl/>
          <w:lang w:bidi="ar-EG"/>
        </w:rPr>
        <w:t xml:space="preserve"> قدرها </w:t>
      </w:r>
      <w:r>
        <w:rPr>
          <w:lang w:val="en-GB"/>
        </w:rPr>
        <w:t>30</w:t>
      </w:r>
      <w:r>
        <w:rPr>
          <w:rtl/>
          <w:lang w:bidi="ar-EG"/>
        </w:rPr>
        <w:t> تقريباً</w:t>
      </w:r>
      <w:r>
        <w:rPr>
          <w:b/>
          <w:rtl/>
        </w:rPr>
        <w:t>؟</w:t>
      </w:r>
    </w:p>
    <w:p w:rsidR="00A677B7" w:rsidRDefault="00A677B7" w:rsidP="00A677B7">
      <w:pPr>
        <w:rPr>
          <w:rtl/>
        </w:rPr>
      </w:pPr>
      <w:r>
        <w:rPr>
          <w:bCs/>
          <w:lang w:val="en-GB"/>
        </w:rPr>
        <w:t>3</w:t>
      </w:r>
      <w:r>
        <w:rPr>
          <w:rtl/>
        </w:rPr>
        <w:tab/>
      </w:r>
      <w:r>
        <w:rPr>
          <w:b/>
          <w:rtl/>
        </w:rPr>
        <w:t>ما هو مجال التطبيق الذي يمكن أن يرتبط بكل مخطط هوائي مرجعي للخدمة الثابتة الساتلية/الخدمة الإذاعية الساتلية (نطاقات التردد، وقطر الهوائي وما</w:t>
      </w:r>
      <w:r>
        <w:rPr>
          <w:rtl/>
          <w:lang w:bidi="ar-EG"/>
        </w:rPr>
        <w:t> </w:t>
      </w:r>
      <w:r>
        <w:rPr>
          <w:b/>
          <w:rtl/>
        </w:rPr>
        <w:t>إلى</w:t>
      </w:r>
      <w:r>
        <w:rPr>
          <w:rtl/>
          <w:lang w:bidi="ar-EG"/>
        </w:rPr>
        <w:t> </w:t>
      </w:r>
      <w:r>
        <w:rPr>
          <w:b/>
          <w:rtl/>
        </w:rPr>
        <w:t>ذلك)؟</w:t>
      </w:r>
    </w:p>
    <w:p w:rsidR="00A677B7" w:rsidRDefault="00A677B7" w:rsidP="00A677B7">
      <w:pPr>
        <w:rPr>
          <w:rtl/>
        </w:rPr>
      </w:pPr>
      <w:r>
        <w:rPr>
          <w:bCs/>
          <w:lang w:val="en-GB"/>
        </w:rPr>
        <w:t>4</w:t>
      </w:r>
      <w:r>
        <w:rPr>
          <w:rtl/>
        </w:rPr>
        <w:tab/>
        <w:t xml:space="preserve">هل يمكن توسيع مجال تطبيق مخططات الهوائي المرجعية </w:t>
      </w:r>
      <w:r>
        <w:rPr>
          <w:b/>
          <w:rtl/>
        </w:rPr>
        <w:t>للخدمة الثابتة الساتلية/الخدمة الإذاعية الساتلية الحالية ليشمل هوائيات</w:t>
      </w:r>
      <w:r>
        <w:rPr>
          <w:rtl/>
          <w:lang w:bidi="ar-EG"/>
        </w:rPr>
        <w:t> </w:t>
      </w:r>
      <w:r>
        <w:rPr>
          <w:b/>
          <w:rtl/>
        </w:rPr>
        <w:t>صغيرة؟</w:t>
      </w:r>
    </w:p>
    <w:p w:rsidR="00A677B7" w:rsidRDefault="00A677B7" w:rsidP="00A677B7">
      <w:pPr>
        <w:rPr>
          <w:rtl/>
          <w:lang w:bidi="ar-EG"/>
        </w:rPr>
      </w:pPr>
      <w:r>
        <w:rPr>
          <w:lang w:val="en-GB"/>
        </w:rPr>
        <w:t>5</w:t>
      </w:r>
      <w:r>
        <w:rPr>
          <w:lang w:val="en-GB"/>
        </w:rPr>
        <w:tab/>
      </w:r>
      <w:r>
        <w:rPr>
          <w:rtl/>
        </w:rPr>
        <w:t>كيف يمكن تحسين/تطوير المخططات الحالية أو الجديدة المطبقة على الهوائيات الصغيرة للمحطات الأرضية (نسبة</w:t>
      </w:r>
      <w:r>
        <w:rPr>
          <w:rtl/>
          <w:lang w:bidi="ar-EG"/>
        </w:rPr>
        <w:t> </w:t>
      </w:r>
      <w:r>
        <w:rPr>
          <w:lang w:val="fr-CH"/>
        </w:rPr>
        <w:t>D/λ</w:t>
      </w:r>
      <w:r>
        <w:rPr>
          <w:rtl/>
          <w:lang w:bidi="ar-EG"/>
        </w:rPr>
        <w:t xml:space="preserve"> قدرها </w:t>
      </w:r>
      <w:r>
        <w:rPr>
          <w:lang w:val="en-GB"/>
        </w:rPr>
        <w:t>30</w:t>
      </w:r>
      <w:r>
        <w:rPr>
          <w:rtl/>
          <w:lang w:bidi="ar-EG"/>
        </w:rPr>
        <w:t> تقريباً)، مع مراعاة التطورات التكنولوجية الأخيرة بما في ذلك الهوائيات بصفيف مطاور ومخططات الهوائيات المقيسة؟</w:t>
      </w:r>
    </w:p>
    <w:p w:rsidR="00A677B7" w:rsidRDefault="00A677B7" w:rsidP="00A677B7">
      <w:pPr>
        <w:rPr>
          <w:rtl/>
        </w:rPr>
      </w:pPr>
      <w:r>
        <w:rPr>
          <w:lang w:val="en-GB"/>
        </w:rPr>
        <w:t>6</w:t>
      </w:r>
      <w:r>
        <w:rPr>
          <w:lang w:val="en-GB"/>
        </w:rPr>
        <w:tab/>
      </w:r>
      <w:r>
        <w:rPr>
          <w:b/>
          <w:rtl/>
        </w:rPr>
        <w:t>ما هي المعلمات اللازمة لتنفيذ مخططات الهوائي المرجعية في أدوات البرمجيات التي يعدها مكتب الاتصالات الراديوية في الاتحاد؟</w:t>
      </w:r>
    </w:p>
    <w:p w:rsidR="00A677B7" w:rsidRDefault="00A677B7" w:rsidP="00A677B7">
      <w:pPr>
        <w:pStyle w:val="Call"/>
        <w:rPr>
          <w:rtl/>
        </w:rPr>
      </w:pPr>
      <w:r>
        <w:rPr>
          <w:rtl/>
        </w:rPr>
        <w:t>وتقرر كذلك</w:t>
      </w:r>
    </w:p>
    <w:p w:rsidR="00A677B7" w:rsidRDefault="00A677B7" w:rsidP="00A677B7">
      <w:pPr>
        <w:rPr>
          <w:rtl/>
          <w:lang w:bidi="ar-EG"/>
        </w:rPr>
      </w:pPr>
      <w:r>
        <w:rPr>
          <w:lang w:val="en-GB"/>
        </w:rPr>
        <w:t>1</w:t>
      </w:r>
      <w:r>
        <w:rPr>
          <w:rtl/>
          <w:lang w:bidi="ar-EG"/>
        </w:rPr>
        <w:tab/>
        <w:t>أن تدرج نتائج الدراسات المذكورة أعلاه في توصيات و/أو تقارير مناسبة؛</w:t>
      </w:r>
    </w:p>
    <w:p w:rsidR="00A677B7" w:rsidRDefault="00A677B7" w:rsidP="00A677B7">
      <w:pPr>
        <w:rPr>
          <w:rtl/>
        </w:rPr>
      </w:pPr>
      <w:r>
        <w:rPr>
          <w:lang w:val="en-GB"/>
        </w:rPr>
        <w:t>2</w:t>
      </w:r>
      <w:r>
        <w:rPr>
          <w:rtl/>
          <w:lang w:bidi="ar-EG"/>
        </w:rPr>
        <w:tab/>
        <w:t>أنه ينبغي إنجاز الدراسات المذكورة أعلاه بحلول عام </w:t>
      </w:r>
      <w:r w:rsidR="008D0FF6">
        <w:rPr>
          <w:lang w:val="en-GB"/>
        </w:rPr>
        <w:t>2023</w:t>
      </w:r>
      <w:bookmarkStart w:id="0" w:name="_GoBack"/>
      <w:bookmarkEnd w:id="0"/>
      <w:r>
        <w:rPr>
          <w:rtl/>
          <w:lang w:bidi="ar-EG"/>
        </w:rPr>
        <w:t>.</w:t>
      </w:r>
    </w:p>
    <w:p w:rsidR="00A677B7" w:rsidRDefault="00A677B7" w:rsidP="00A677B7">
      <w:pPr>
        <w:spacing w:before="600"/>
        <w:rPr>
          <w:bCs/>
          <w:rtl/>
          <w:lang w:val="en-GB"/>
        </w:rPr>
      </w:pPr>
      <w:r>
        <w:rPr>
          <w:b/>
          <w:rtl/>
        </w:rPr>
        <w:t xml:space="preserve">الفئة: </w:t>
      </w:r>
      <w:r>
        <w:rPr>
          <w:bCs/>
          <w:lang w:val="en-GB"/>
        </w:rPr>
        <w:t>S2</w:t>
      </w:r>
    </w:p>
    <w:p w:rsidR="00CC001C" w:rsidRDefault="00CC001C"/>
    <w:sectPr w:rsidR="00CC001C" w:rsidSect="00EB21AD">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7B7" w:rsidRDefault="00A677B7" w:rsidP="00A677B7">
      <w:pPr>
        <w:spacing w:before="0" w:line="240" w:lineRule="auto"/>
      </w:pPr>
      <w:r>
        <w:separator/>
      </w:r>
    </w:p>
  </w:endnote>
  <w:endnote w:type="continuationSeparator" w:id="0">
    <w:p w:rsidR="00A677B7" w:rsidRDefault="00A677B7" w:rsidP="00A677B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7B7" w:rsidRDefault="00A677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7B7" w:rsidRDefault="00A677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7B7" w:rsidRDefault="00A677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7B7" w:rsidRDefault="00A677B7" w:rsidP="00A677B7">
      <w:pPr>
        <w:spacing w:before="0" w:line="240" w:lineRule="auto"/>
      </w:pPr>
      <w:r>
        <w:separator/>
      </w:r>
    </w:p>
  </w:footnote>
  <w:footnote w:type="continuationSeparator" w:id="0">
    <w:p w:rsidR="00A677B7" w:rsidRDefault="00A677B7" w:rsidP="00A677B7">
      <w:pPr>
        <w:spacing w:before="0" w:line="240" w:lineRule="auto"/>
      </w:pPr>
      <w:r>
        <w:continuationSeparator/>
      </w:r>
    </w:p>
  </w:footnote>
  <w:footnote w:id="1">
    <w:p w:rsidR="00A677B7" w:rsidRDefault="00A677B7" w:rsidP="00A677B7">
      <w:pPr>
        <w:pStyle w:val="Footnotetexte"/>
        <w:rPr>
          <w:rtl/>
        </w:rPr>
      </w:pPr>
      <w:r>
        <w:rPr>
          <w:rStyle w:val="FootnoteReference"/>
          <w:specVanish w:val="0"/>
        </w:rPr>
        <w:footnoteRef/>
      </w:r>
      <w:r>
        <w:tab/>
      </w:r>
      <w:r>
        <w:rPr>
          <w:rtl/>
        </w:rPr>
        <w:t xml:space="preserve">يشير </w:t>
      </w:r>
      <w:r>
        <w:t>D</w:t>
      </w:r>
      <w:r>
        <w:rPr>
          <w:rtl/>
        </w:rPr>
        <w:t xml:space="preserve"> إلى بُعد الهوائي في مستوي القياس </w:t>
      </w:r>
      <w:r>
        <w:t>(m)</w:t>
      </w:r>
      <w:r>
        <w:rPr>
          <w:rtl/>
        </w:rPr>
        <w:t xml:space="preserve"> ويشير </w:t>
      </w:r>
      <w:r>
        <w:rPr>
          <w:rFonts w:asciiTheme="minorHAnsi" w:hAnsiTheme="minorHAnsi" w:cstheme="majorBidi"/>
          <w:sz w:val="24"/>
          <w:szCs w:val="24"/>
          <w:lang w:val="fr-CH"/>
        </w:rPr>
        <w:sym w:font="Symbol" w:char="F06C"/>
      </w:r>
      <w:r>
        <w:rPr>
          <w:rtl/>
          <w:lang w:val="fr-CH"/>
        </w:rPr>
        <w:t xml:space="preserve"> إلى طول الموجة </w:t>
      </w:r>
      <w:r>
        <w:t>(m)</w:t>
      </w:r>
      <w:r>
        <w:rPr>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7B7" w:rsidRDefault="00A677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9733171"/>
      <w:docPartObj>
        <w:docPartGallery w:val="Page Numbers (Top of Page)"/>
        <w:docPartUnique/>
      </w:docPartObj>
    </w:sdtPr>
    <w:sdtEndPr>
      <w:rPr>
        <w:noProof/>
      </w:rPr>
    </w:sdtEndPr>
    <w:sdtContent>
      <w:p w:rsidR="00A677B7" w:rsidRDefault="00A677B7" w:rsidP="00A677B7">
        <w:pPr>
          <w:pStyle w:val="Header"/>
          <w:jc w:val="center"/>
        </w:pPr>
        <w:r>
          <w:rPr>
            <w:sz w:val="18"/>
            <w:szCs w:val="18"/>
          </w:rPr>
          <w:t>-</w:t>
        </w:r>
        <w:r>
          <w:rPr>
            <w:noProof/>
            <w:sz w:val="18"/>
            <w:szCs w:val="18"/>
          </w:rPr>
          <w:t xml:space="preserve"> 2 -</w:t>
        </w:r>
        <w:r>
          <w:rPr>
            <w:noProof/>
          </w:rPr>
          <w:t xml:space="preserve">   </w:t>
        </w:r>
      </w:p>
    </w:sdtContent>
  </w:sdt>
  <w:p w:rsidR="00A677B7" w:rsidRDefault="00A677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7B7" w:rsidRDefault="00A677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7B7"/>
    <w:rsid w:val="008D0FF6"/>
    <w:rsid w:val="00A677B7"/>
    <w:rsid w:val="00CC001C"/>
    <w:rsid w:val="00EB21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F59820B-C9AC-4014-BD78-CFD30798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7B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bidi/>
      <w:spacing w:before="120" w:line="192" w:lineRule="auto"/>
      <w:jc w:val="both"/>
    </w:pPr>
    <w:rPr>
      <w:rFonts w:ascii="Calibri" w:hAnsi="Calibri" w:cs="Traditional Arabic"/>
      <w:szCs w:val="3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A677B7"/>
    <w:pPr>
      <w:keepNext/>
      <w:spacing w:after="120"/>
      <w:jc w:val="right"/>
    </w:pPr>
  </w:style>
  <w:style w:type="character" w:customStyle="1" w:styleId="DateChar">
    <w:name w:val="Date Char"/>
    <w:basedOn w:val="DefaultParagraphFont"/>
    <w:link w:val="Date"/>
    <w:uiPriority w:val="99"/>
    <w:semiHidden/>
    <w:rsid w:val="00A677B7"/>
    <w:rPr>
      <w:rFonts w:ascii="Calibri" w:hAnsi="Calibri" w:cs="Traditional Arabic"/>
      <w:szCs w:val="30"/>
      <w:lang w:val="en-US"/>
    </w:rPr>
  </w:style>
  <w:style w:type="paragraph" w:customStyle="1" w:styleId="Call">
    <w:name w:val="Call"/>
    <w:basedOn w:val="Normal"/>
    <w:qFormat/>
    <w:rsid w:val="00A677B7"/>
    <w:pPr>
      <w:keepNext/>
      <w:spacing w:before="160"/>
      <w:ind w:left="1588" w:hanging="794"/>
    </w:pPr>
    <w:rPr>
      <w:i/>
      <w:iCs/>
    </w:rPr>
  </w:style>
  <w:style w:type="paragraph" w:customStyle="1" w:styleId="Normalaftertitle">
    <w:name w:val="Normal after title"/>
    <w:basedOn w:val="Normal"/>
    <w:qFormat/>
    <w:rsid w:val="00A677B7"/>
    <w:pPr>
      <w:keepNext/>
      <w:spacing w:before="360"/>
    </w:pPr>
    <w:rPr>
      <w:lang w:bidi="ar-SY"/>
    </w:rPr>
  </w:style>
  <w:style w:type="paragraph" w:customStyle="1" w:styleId="Footnotetexte">
    <w:name w:val="Footnote texte"/>
    <w:basedOn w:val="Normal"/>
    <w:qFormat/>
    <w:rsid w:val="00A677B7"/>
    <w:pPr>
      <w:tabs>
        <w:tab w:val="left" w:pos="397"/>
        <w:tab w:val="left" w:pos="567"/>
      </w:tabs>
      <w:spacing w:before="60" w:line="168" w:lineRule="auto"/>
    </w:pPr>
    <w:rPr>
      <w:sz w:val="20"/>
      <w:szCs w:val="26"/>
      <w:lang w:bidi="ar-SY"/>
    </w:rPr>
  </w:style>
  <w:style w:type="paragraph" w:customStyle="1" w:styleId="Questionno">
    <w:name w:val="Question_no"/>
    <w:basedOn w:val="Normal"/>
    <w:qFormat/>
    <w:rsid w:val="00A677B7"/>
    <w:pPr>
      <w:keepNext/>
      <w:keepLines/>
      <w:spacing w:before="360" w:after="120"/>
      <w:jc w:val="center"/>
    </w:pPr>
    <w:rPr>
      <w:sz w:val="26"/>
      <w:szCs w:val="36"/>
      <w:lang w:bidi="ar-SY"/>
    </w:rPr>
  </w:style>
  <w:style w:type="paragraph" w:customStyle="1" w:styleId="Questiontitle">
    <w:name w:val="Question_title"/>
    <w:basedOn w:val="Normal"/>
    <w:qFormat/>
    <w:rsid w:val="00A677B7"/>
    <w:pPr>
      <w:keepNext/>
      <w:keepLines/>
      <w:spacing w:after="360"/>
      <w:jc w:val="center"/>
    </w:pPr>
    <w:rPr>
      <w:b/>
      <w:bCs/>
      <w:sz w:val="28"/>
      <w:szCs w:val="40"/>
    </w:rPr>
  </w:style>
  <w:style w:type="character" w:styleId="FootnoteReference">
    <w:name w:val="footnote reference"/>
    <w:basedOn w:val="DefaultParagraphFont"/>
    <w:uiPriority w:val="99"/>
    <w:semiHidden/>
    <w:unhideWhenUsed/>
    <w:qFormat/>
    <w:rsid w:val="00A677B7"/>
    <w:rPr>
      <w:rFonts w:ascii="Calibri" w:hAnsi="Calibri" w:cs="Calibri" w:hint="default"/>
      <w:b w:val="0"/>
      <w:bCs w:val="0"/>
      <w:i w:val="0"/>
      <w:iCs w:val="0"/>
      <w:caps w:val="0"/>
      <w:smallCaps w:val="0"/>
      <w:strike w:val="0"/>
      <w:dstrike w:val="0"/>
      <w:vanish w:val="0"/>
      <w:webHidden w:val="0"/>
      <w:spacing w:val="0"/>
      <w:w w:val="100"/>
      <w:position w:val="6"/>
      <w:sz w:val="18"/>
      <w:szCs w:val="18"/>
      <w:u w:val="none"/>
      <w:effect w:val="none"/>
      <w:vertAlign w:val="baseline"/>
      <w:specVanish w:val="0"/>
    </w:rPr>
  </w:style>
  <w:style w:type="paragraph" w:styleId="Header">
    <w:name w:val="header"/>
    <w:basedOn w:val="Normal"/>
    <w:link w:val="HeaderChar"/>
    <w:uiPriority w:val="99"/>
    <w:unhideWhenUsed/>
    <w:rsid w:val="00A677B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513"/>
        <w:tab w:val="right" w:pos="9026"/>
      </w:tabs>
      <w:spacing w:before="0" w:line="240" w:lineRule="auto"/>
    </w:pPr>
  </w:style>
  <w:style w:type="character" w:customStyle="1" w:styleId="HeaderChar">
    <w:name w:val="Header Char"/>
    <w:basedOn w:val="DefaultParagraphFont"/>
    <w:link w:val="Header"/>
    <w:uiPriority w:val="99"/>
    <w:rsid w:val="00A677B7"/>
    <w:rPr>
      <w:rFonts w:ascii="Calibri" w:hAnsi="Calibri" w:cs="Traditional Arabic"/>
      <w:szCs w:val="30"/>
      <w:lang w:val="en-US"/>
    </w:rPr>
  </w:style>
  <w:style w:type="paragraph" w:styleId="Footer">
    <w:name w:val="footer"/>
    <w:basedOn w:val="Normal"/>
    <w:link w:val="FooterChar"/>
    <w:uiPriority w:val="99"/>
    <w:unhideWhenUsed/>
    <w:rsid w:val="00A677B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513"/>
        <w:tab w:val="right" w:pos="9026"/>
      </w:tabs>
      <w:spacing w:before="0" w:line="240" w:lineRule="auto"/>
    </w:pPr>
  </w:style>
  <w:style w:type="character" w:customStyle="1" w:styleId="FooterChar">
    <w:name w:val="Footer Char"/>
    <w:basedOn w:val="DefaultParagraphFont"/>
    <w:link w:val="Footer"/>
    <w:uiPriority w:val="99"/>
    <w:rsid w:val="00A677B7"/>
    <w:rPr>
      <w:rFonts w:ascii="Calibri" w:hAnsi="Calibri" w:cs="Traditional Arabic"/>
      <w:szCs w:val="3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13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508</Words>
  <Characters>2896</Characters>
  <Application>Microsoft Office Word</Application>
  <DocSecurity>0</DocSecurity>
  <Lines>24</Lines>
  <Paragraphs>6</Paragraphs>
  <ScaleCrop>false</ScaleCrop>
  <Company>ITU</Company>
  <LinksUpToDate>false</LinksUpToDate>
  <CharactersWithSpaces>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 Bosson, Ana</dc:creator>
  <cp:keywords/>
  <dc:description/>
  <cp:lastModifiedBy>Sir Bosson, Ana</cp:lastModifiedBy>
  <cp:revision>3</cp:revision>
  <dcterms:created xsi:type="dcterms:W3CDTF">2015-09-21T14:29:00Z</dcterms:created>
  <dcterms:modified xsi:type="dcterms:W3CDTF">2019-09-17T07:43:00Z</dcterms:modified>
</cp:coreProperties>
</file>