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572F" w14:textId="77777777" w:rsidR="008D185F" w:rsidRPr="00071629" w:rsidRDefault="008D185F" w:rsidP="00141FB7">
      <w:pPr>
        <w:pStyle w:val="Title1"/>
        <w:rPr>
          <w:rFonts w:asciiTheme="majorBidi" w:hAnsiTheme="majorBidi" w:cstheme="majorBidi"/>
          <w:lang w:val="es-ES"/>
        </w:rPr>
      </w:pPr>
      <w:r w:rsidRPr="00071629">
        <w:rPr>
          <w:rFonts w:asciiTheme="majorBidi" w:hAnsiTheme="majorBidi" w:cstheme="majorBidi"/>
          <w:lang w:val="es-ES"/>
        </w:rPr>
        <w:t xml:space="preserve">CUESTIÓN UIT-R </w:t>
      </w:r>
      <w:r>
        <w:rPr>
          <w:rFonts w:asciiTheme="majorBidi" w:hAnsiTheme="majorBidi" w:cstheme="majorBidi"/>
          <w:bCs/>
        </w:rPr>
        <w:t>291</w:t>
      </w:r>
      <w:r w:rsidRPr="00B77C05">
        <w:rPr>
          <w:rFonts w:asciiTheme="majorBidi" w:hAnsiTheme="majorBidi" w:cstheme="majorBidi"/>
          <w:bCs/>
        </w:rPr>
        <w:t>/4</w:t>
      </w:r>
    </w:p>
    <w:p w14:paraId="0DF867F1" w14:textId="77777777" w:rsidR="008D185F" w:rsidRPr="00071629" w:rsidRDefault="008D185F" w:rsidP="00141FB7">
      <w:pPr>
        <w:pStyle w:val="Questiontitle"/>
        <w:rPr>
          <w:rFonts w:asciiTheme="majorBidi" w:hAnsiTheme="majorBidi" w:cstheme="majorBidi"/>
          <w:lang w:val="es-ES"/>
        </w:rPr>
      </w:pPr>
      <w:r w:rsidRPr="00071629">
        <w:rPr>
          <w:rFonts w:asciiTheme="majorBidi" w:hAnsiTheme="majorBidi" w:cstheme="majorBidi"/>
          <w:lang w:val="es-ES"/>
        </w:rPr>
        <w:t xml:space="preserve">Arquitectura de sistema y aspectos de calidad de funcionamiento </w:t>
      </w:r>
      <w:r w:rsidRPr="00071629">
        <w:rPr>
          <w:rFonts w:asciiTheme="majorBidi" w:hAnsiTheme="majorBidi" w:cstheme="majorBidi"/>
          <w:lang w:val="es-ES"/>
        </w:rPr>
        <w:br/>
        <w:t>en los sistemas integrados del SMS</w:t>
      </w:r>
    </w:p>
    <w:p w14:paraId="0DB82F11" w14:textId="77777777" w:rsidR="008D185F" w:rsidRPr="006F4BE3" w:rsidRDefault="008D185F" w:rsidP="00141FB7">
      <w:pPr>
        <w:pStyle w:val="QuestionTitleDate"/>
        <w:rPr>
          <w:sz w:val="24"/>
          <w:szCs w:val="24"/>
          <w:lang w:val="es-ES"/>
        </w:rPr>
      </w:pPr>
      <w:r w:rsidRPr="006F4BE3">
        <w:rPr>
          <w:sz w:val="24"/>
          <w:szCs w:val="24"/>
          <w:lang w:val="es-ES"/>
        </w:rPr>
        <w:t>(2014)</w:t>
      </w:r>
    </w:p>
    <w:p w14:paraId="06704A4A" w14:textId="77777777" w:rsidR="008D185F" w:rsidRPr="008C2C41" w:rsidRDefault="008D185F" w:rsidP="00141FB7">
      <w:pPr>
        <w:pStyle w:val="Normalaftertitle"/>
        <w:jc w:val="both"/>
        <w:rPr>
          <w:rFonts w:asciiTheme="majorBidi" w:hAnsiTheme="majorBidi" w:cstheme="majorBidi"/>
          <w:szCs w:val="24"/>
          <w:lang w:val="es-ES"/>
        </w:rPr>
      </w:pPr>
      <w:r w:rsidRPr="008C2C41">
        <w:rPr>
          <w:rFonts w:asciiTheme="majorBidi" w:hAnsiTheme="majorBidi" w:cstheme="majorBidi"/>
          <w:szCs w:val="24"/>
          <w:lang w:val="es-ES"/>
        </w:rPr>
        <w:t>La Asamblea Mundial de Radiocomunicaciones de la UIT,</w:t>
      </w:r>
    </w:p>
    <w:p w14:paraId="1CDEACA9" w14:textId="77777777" w:rsidR="008D185F" w:rsidRPr="008C2C41" w:rsidRDefault="008D185F" w:rsidP="00141FB7">
      <w:pPr>
        <w:pStyle w:val="Call"/>
        <w:jc w:val="both"/>
        <w:rPr>
          <w:rFonts w:asciiTheme="majorBidi" w:hAnsiTheme="majorBidi" w:cstheme="majorBidi"/>
          <w:szCs w:val="24"/>
          <w:lang w:val="es-ES"/>
        </w:rPr>
      </w:pPr>
      <w:r w:rsidRPr="008C2C41">
        <w:rPr>
          <w:rFonts w:asciiTheme="majorBidi" w:hAnsiTheme="majorBidi" w:cstheme="majorBidi"/>
          <w:szCs w:val="24"/>
          <w:lang w:val="es-ES"/>
        </w:rPr>
        <w:t>considerando</w:t>
      </w:r>
    </w:p>
    <w:p w14:paraId="25929694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i/>
          <w:iCs/>
          <w:sz w:val="24"/>
          <w:szCs w:val="24"/>
          <w:lang w:val="es-ES"/>
        </w:rPr>
        <w:t>a)</w:t>
      </w:r>
      <w:r w:rsidRPr="008C2C41"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>que los sistemas integrados del servicio móvil por satélite (SMS) serían infraestructuras espaciales/terrenales con un alto grado de utilización del espectro y dotadas de capacidad para ofrecer diversos beneficios que sirven al interés público, incluido el servicio multimedios de banda ancha a terminales telefónicos o portátiles y soluciones de protección pública y ayuda en caso de catástrofe;</w:t>
      </w:r>
    </w:p>
    <w:p w14:paraId="03A774AD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i/>
          <w:iCs/>
          <w:sz w:val="24"/>
          <w:szCs w:val="24"/>
          <w:lang w:val="es-ES"/>
        </w:rPr>
        <w:t>b)</w:t>
      </w:r>
      <w:r w:rsidRPr="008C2C41">
        <w:rPr>
          <w:rFonts w:asciiTheme="majorBidi" w:hAnsiTheme="majorBidi" w:cstheme="majorBidi"/>
          <w:i/>
          <w:iCs/>
          <w:sz w:val="24"/>
          <w:szCs w:val="24"/>
          <w:lang w:val="es-ES"/>
        </w:rPr>
        <w:tab/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>que ya se han tomado en consideración algunos ejemplos de sistemas integrados del SMS tales como un sistema de radiodifusión multimedios digital por satélite con estaciones de base terrenales complementarias, y que se espera que tales ejemplos de sistemas SMS integrados sigan aumentando;</w:t>
      </w:r>
    </w:p>
    <w:p w14:paraId="4A33BA35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i/>
          <w:iCs/>
          <w:sz w:val="24"/>
          <w:szCs w:val="24"/>
          <w:lang w:val="es-ES"/>
        </w:rPr>
        <w:t>c)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que, en los sistemas integrados del SMS, la componente terrenal controlada por el satélite y el sistema de gestión de la red utiliza las mismas porciones de las bandas de frecuencias del SMS que el sistema móvil por satélite asociado en explotación;</w:t>
      </w:r>
    </w:p>
    <w:p w14:paraId="3D7B6749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i/>
          <w:iCs/>
          <w:sz w:val="24"/>
          <w:szCs w:val="24"/>
          <w:lang w:val="es-ES"/>
        </w:rPr>
        <w:t>d)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 xml:space="preserve">que la reutilización de frecuencias entre el satélite y las componentes terrenales complementarias (CTC) implicará inevitablemente interferencias </w:t>
      </w:r>
      <w:proofErr w:type="spellStart"/>
      <w:r w:rsidRPr="008C2C41">
        <w:rPr>
          <w:rFonts w:asciiTheme="majorBidi" w:hAnsiTheme="majorBidi" w:cstheme="majorBidi"/>
          <w:sz w:val="24"/>
          <w:szCs w:val="24"/>
          <w:lang w:val="es-ES"/>
        </w:rPr>
        <w:t>cocanal</w:t>
      </w:r>
      <w:proofErr w:type="spellEnd"/>
      <w:r w:rsidRPr="008C2C41">
        <w:rPr>
          <w:rFonts w:asciiTheme="majorBidi" w:hAnsiTheme="majorBidi" w:cstheme="majorBidi"/>
          <w:sz w:val="24"/>
          <w:szCs w:val="24"/>
          <w:lang w:val="es-ES"/>
        </w:rPr>
        <w:t xml:space="preserve"> que podrían ocasionar una degradación de la calidad de funcionamiento del sistema del SMS. Este asunto se trata como una interferencia dentro del sistema que hay que superar;</w:t>
      </w:r>
    </w:p>
    <w:p w14:paraId="423621CD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i/>
          <w:iCs/>
          <w:sz w:val="24"/>
          <w:szCs w:val="24"/>
          <w:lang w:val="es-ES"/>
        </w:rPr>
        <w:t>e)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 xml:space="preserve">que se han adoptado o se está estudiando la adopción de muchas tecnologías avanzadas para aumentar la calidad de funcionamiento y mejorar la eficiencia </w:t>
      </w:r>
      <w:proofErr w:type="gramStart"/>
      <w:r w:rsidRPr="008C2C41">
        <w:rPr>
          <w:rFonts w:asciiTheme="majorBidi" w:hAnsiTheme="majorBidi" w:cstheme="majorBidi"/>
          <w:sz w:val="24"/>
          <w:szCs w:val="24"/>
          <w:lang w:val="es-ES"/>
        </w:rPr>
        <w:t>espectral  en</w:t>
      </w:r>
      <w:proofErr w:type="gramEnd"/>
      <w:r w:rsidRPr="008C2C41">
        <w:rPr>
          <w:rFonts w:asciiTheme="majorBidi" w:hAnsiTheme="majorBidi" w:cstheme="majorBidi"/>
          <w:sz w:val="24"/>
          <w:szCs w:val="24"/>
          <w:lang w:val="es-ES"/>
        </w:rPr>
        <w:t xml:space="preserve"> muchas normas de sistemas terrenales para su futura aplicación;</w:t>
      </w:r>
    </w:p>
    <w:p w14:paraId="31BB9DD9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i/>
          <w:iCs/>
          <w:sz w:val="24"/>
          <w:szCs w:val="24"/>
          <w:lang w:val="es-ES"/>
        </w:rPr>
        <w:t>f)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que, con el fin de garantizar la utilización eficiente del espectro de frecuencia y las órbitas, puede ser conveniente determinar los aspectos de arquitectura de sistema y calidad de funcionamiento óptimos;</w:t>
      </w:r>
    </w:p>
    <w:p w14:paraId="05A368A6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i/>
          <w:iCs/>
          <w:sz w:val="24"/>
          <w:szCs w:val="24"/>
          <w:lang w:val="es-ES"/>
        </w:rPr>
        <w:t>g)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que podría ser conveniente recomendar ciertas características de sistema,</w:t>
      </w:r>
    </w:p>
    <w:p w14:paraId="68F26179" w14:textId="77777777" w:rsidR="008D185F" w:rsidRPr="008C2C41" w:rsidRDefault="008D185F" w:rsidP="00141FB7">
      <w:pPr>
        <w:pStyle w:val="Call"/>
        <w:jc w:val="both"/>
        <w:rPr>
          <w:rFonts w:asciiTheme="majorBidi" w:hAnsiTheme="majorBidi" w:cstheme="majorBidi"/>
          <w:szCs w:val="24"/>
          <w:lang w:val="es-ES"/>
        </w:rPr>
      </w:pPr>
      <w:r w:rsidRPr="008C2C41">
        <w:rPr>
          <w:rFonts w:asciiTheme="majorBidi" w:hAnsiTheme="majorBidi" w:cstheme="majorBidi"/>
          <w:iCs/>
          <w:szCs w:val="24"/>
          <w:lang w:val="es-ES"/>
        </w:rPr>
        <w:t>decide</w:t>
      </w:r>
      <w:r w:rsidRPr="008C2C41">
        <w:rPr>
          <w:rFonts w:asciiTheme="majorBidi" w:hAnsiTheme="majorBidi" w:cstheme="majorBidi"/>
          <w:szCs w:val="24"/>
          <w:lang w:val="es-ES"/>
        </w:rPr>
        <w:t xml:space="preserve"> </w:t>
      </w:r>
      <w:r w:rsidRPr="00071629">
        <w:rPr>
          <w:rFonts w:asciiTheme="majorBidi" w:hAnsiTheme="majorBidi" w:cstheme="majorBidi"/>
          <w:i w:val="0"/>
          <w:iCs/>
          <w:szCs w:val="24"/>
          <w:lang w:val="es-ES"/>
        </w:rPr>
        <w:t>que deberían estudiarse las Cuestiones siguientes</w:t>
      </w:r>
    </w:p>
    <w:p w14:paraId="35924F80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 xml:space="preserve">¿qué escenarios de servicio y arquitecturas de red son preferibles para los sistemas integrados del SMS a fin de dar soporte a una amplia gama de </w:t>
      </w:r>
      <w:proofErr w:type="gramStart"/>
      <w:r w:rsidRPr="008C2C41">
        <w:rPr>
          <w:rFonts w:asciiTheme="majorBidi" w:hAnsiTheme="majorBidi" w:cstheme="majorBidi"/>
          <w:sz w:val="24"/>
          <w:szCs w:val="24"/>
          <w:lang w:val="es-ES"/>
        </w:rPr>
        <w:t>aplicaciones</w:t>
      </w:r>
      <w:proofErr w:type="gramEnd"/>
      <w:r w:rsidRPr="008C2C41">
        <w:rPr>
          <w:rFonts w:asciiTheme="majorBidi" w:hAnsiTheme="majorBidi" w:cstheme="majorBidi"/>
          <w:sz w:val="24"/>
          <w:szCs w:val="24"/>
          <w:lang w:val="es-ES"/>
        </w:rPr>
        <w:t xml:space="preserve"> así como a velocidades de transmisión de datos incluyendo las comunicaciones máquina-máquina y las futuras comunicaciones móviles de banda ancha?</w:t>
      </w:r>
    </w:p>
    <w:p w14:paraId="4900B498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¿qué escenarios de servicio y arquitecturas de red son preferibles desde el punto de vista de la eficacia global en función de los costes, teniendo en cuenta lo indicado en el § 1?</w:t>
      </w:r>
    </w:p>
    <w:p w14:paraId="3B1D15EB" w14:textId="77777777" w:rsidR="008D185F" w:rsidRPr="008C2C41" w:rsidRDefault="008D185F" w:rsidP="00141FB7">
      <w:pPr>
        <w:keepLines/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sz w:val="24"/>
          <w:szCs w:val="24"/>
          <w:lang w:val="es-ES"/>
        </w:rPr>
        <w:lastRenderedPageBreak/>
        <w:t>3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 xml:space="preserve">¿cuáles son los requisitos preferidos a efectos de la calidad de funcionamiento y la disponibilidad en los enlaces de satélite y de la componente terrenal para los sistemas integrados del SMS, por </w:t>
      </w:r>
      <w:proofErr w:type="gramStart"/>
      <w:r w:rsidRPr="008C2C41">
        <w:rPr>
          <w:rFonts w:asciiTheme="majorBidi" w:hAnsiTheme="majorBidi" w:cstheme="majorBidi"/>
          <w:sz w:val="24"/>
          <w:szCs w:val="24"/>
          <w:lang w:val="es-ES"/>
        </w:rPr>
        <w:t>ejemplo</w:t>
      </w:r>
      <w:proofErr w:type="gramEnd"/>
      <w:r w:rsidRPr="008C2C41">
        <w:rPr>
          <w:rFonts w:asciiTheme="majorBidi" w:hAnsiTheme="majorBidi" w:cstheme="majorBidi"/>
          <w:sz w:val="24"/>
          <w:szCs w:val="24"/>
          <w:lang w:val="es-ES"/>
        </w:rPr>
        <w:t xml:space="preserve"> enlaces de satélite IMT-Avanzadas con enlaces terrenales complementarios IMT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noBreakHyphen/>
        <w:t xml:space="preserve">Avanzadas? </w:t>
      </w:r>
    </w:p>
    <w:p w14:paraId="65DEA505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sz w:val="24"/>
          <w:szCs w:val="24"/>
          <w:lang w:val="es-ES"/>
        </w:rPr>
        <w:t>4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¿cuáles son los factores que caracterizan las topologías de red, arquitecturas de sistema y protocolos de control de enlaces alternativos?</w:t>
      </w:r>
    </w:p>
    <w:p w14:paraId="296DAA0D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sz w:val="24"/>
          <w:szCs w:val="24"/>
          <w:lang w:val="es-ES"/>
        </w:rPr>
        <w:t>5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¿cuál es la repercusión de los requisitos de red en las características de las estaciones terrenas?</w:t>
      </w:r>
    </w:p>
    <w:p w14:paraId="6F218A83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sz w:val="24"/>
          <w:szCs w:val="24"/>
          <w:lang w:val="es-ES"/>
        </w:rPr>
        <w:t>6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¿cuáles son las interfaces digitales usuario/</w:t>
      </w:r>
      <w:proofErr w:type="gramStart"/>
      <w:r w:rsidRPr="008C2C41">
        <w:rPr>
          <w:rFonts w:asciiTheme="majorBidi" w:hAnsiTheme="majorBidi" w:cstheme="majorBidi"/>
          <w:sz w:val="24"/>
          <w:szCs w:val="24"/>
          <w:lang w:val="es-ES"/>
        </w:rPr>
        <w:t>red especializadas</w:t>
      </w:r>
      <w:proofErr w:type="gramEnd"/>
      <w:r w:rsidRPr="008C2C41">
        <w:rPr>
          <w:rFonts w:asciiTheme="majorBidi" w:hAnsiTheme="majorBidi" w:cstheme="majorBidi"/>
          <w:sz w:val="24"/>
          <w:szCs w:val="24"/>
          <w:lang w:val="es-ES"/>
        </w:rPr>
        <w:t xml:space="preserve"> normalizadas que se deben recomendar?</w:t>
      </w:r>
    </w:p>
    <w:p w14:paraId="74CBC2F7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sz w:val="24"/>
          <w:szCs w:val="24"/>
          <w:lang w:val="es-ES"/>
        </w:rPr>
        <w:t>7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¿cuáles son las tecnologías habilitadoras que aumentan la calidad de funcionamiento y mejoran la eficiencia espectral para los sistemas integrados del SMS?</w:t>
      </w:r>
    </w:p>
    <w:p w14:paraId="480375D7" w14:textId="77777777" w:rsidR="008D185F" w:rsidRPr="008C2C41" w:rsidRDefault="008D185F" w:rsidP="00141FB7">
      <w:pPr>
        <w:pStyle w:val="Call"/>
        <w:jc w:val="both"/>
        <w:rPr>
          <w:rFonts w:asciiTheme="majorBidi" w:hAnsiTheme="majorBidi" w:cstheme="majorBidi"/>
          <w:szCs w:val="24"/>
          <w:lang w:val="es-ES"/>
        </w:rPr>
      </w:pPr>
      <w:proofErr w:type="gramStart"/>
      <w:r w:rsidRPr="008C2C41">
        <w:rPr>
          <w:rFonts w:asciiTheme="majorBidi" w:hAnsiTheme="majorBidi" w:cstheme="majorBidi"/>
          <w:szCs w:val="24"/>
          <w:lang w:val="es-ES"/>
        </w:rPr>
        <w:t>decide</w:t>
      </w:r>
      <w:proofErr w:type="gramEnd"/>
      <w:r w:rsidRPr="008C2C41">
        <w:rPr>
          <w:rFonts w:asciiTheme="majorBidi" w:hAnsiTheme="majorBidi" w:cstheme="majorBidi"/>
          <w:szCs w:val="24"/>
          <w:lang w:val="es-ES"/>
        </w:rPr>
        <w:t xml:space="preserve"> además</w:t>
      </w:r>
    </w:p>
    <w:p w14:paraId="47CC998A" w14:textId="77777777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sz w:val="24"/>
          <w:szCs w:val="24"/>
          <w:lang w:val="es-ES"/>
        </w:rPr>
        <w:t>1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que los resultados de estos estudios se incluyan en Recomendaciones y/o Informes apropiados;</w:t>
      </w:r>
    </w:p>
    <w:p w14:paraId="0F2B1435" w14:textId="1630AA26" w:rsidR="008D185F" w:rsidRPr="008C2C41" w:rsidRDefault="008D185F" w:rsidP="00141FB7">
      <w:pPr>
        <w:rPr>
          <w:rFonts w:asciiTheme="majorBidi" w:hAnsiTheme="majorBidi" w:cstheme="majorBidi"/>
          <w:sz w:val="24"/>
          <w:szCs w:val="24"/>
          <w:lang w:val="es-ES"/>
        </w:rPr>
      </w:pPr>
      <w:r w:rsidRPr="008C2C41">
        <w:rPr>
          <w:rFonts w:asciiTheme="majorBidi" w:hAnsiTheme="majorBidi" w:cstheme="majorBidi"/>
          <w:sz w:val="24"/>
          <w:szCs w:val="24"/>
          <w:lang w:val="es-ES"/>
        </w:rPr>
        <w:t>2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ab/>
        <w:t>que los estud</w:t>
      </w:r>
      <w:r>
        <w:rPr>
          <w:rFonts w:asciiTheme="majorBidi" w:hAnsiTheme="majorBidi" w:cstheme="majorBidi"/>
          <w:sz w:val="24"/>
          <w:szCs w:val="24"/>
          <w:lang w:val="es-ES"/>
        </w:rPr>
        <w:t>ios citados se completen en 202</w:t>
      </w:r>
      <w:r w:rsidR="00141FB7">
        <w:rPr>
          <w:rFonts w:asciiTheme="majorBidi" w:hAnsiTheme="majorBidi" w:cstheme="majorBidi"/>
          <w:sz w:val="24"/>
          <w:szCs w:val="24"/>
          <w:lang w:val="es-ES"/>
        </w:rPr>
        <w:t>7</w:t>
      </w:r>
      <w:r w:rsidRPr="008C2C41">
        <w:rPr>
          <w:rFonts w:asciiTheme="majorBidi" w:hAnsiTheme="majorBidi" w:cstheme="majorBidi"/>
          <w:sz w:val="24"/>
          <w:szCs w:val="24"/>
          <w:lang w:val="es-ES"/>
        </w:rPr>
        <w:t>.</w:t>
      </w:r>
    </w:p>
    <w:p w14:paraId="27AABC2C" w14:textId="77777777" w:rsidR="008D185F" w:rsidRPr="008C2C41" w:rsidRDefault="008D185F" w:rsidP="00141FB7">
      <w:pPr>
        <w:pStyle w:val="Reasons"/>
        <w:spacing w:before="360"/>
        <w:jc w:val="both"/>
        <w:rPr>
          <w:rFonts w:asciiTheme="majorBidi" w:hAnsiTheme="majorBidi" w:cstheme="majorBidi"/>
          <w:szCs w:val="24"/>
        </w:rPr>
      </w:pPr>
      <w:r w:rsidRPr="008C2C41">
        <w:rPr>
          <w:rFonts w:asciiTheme="majorBidi" w:hAnsiTheme="majorBidi" w:cstheme="majorBidi"/>
          <w:szCs w:val="24"/>
          <w:lang w:val="es-ES"/>
        </w:rPr>
        <w:t>Categoría: S2</w:t>
      </w:r>
    </w:p>
    <w:sectPr w:rsidR="008D185F" w:rsidRPr="008C2C41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141FB7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B13A4"/>
    <w:rsid w:val="00860893"/>
    <w:rsid w:val="008D185F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8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 w:line="240" w:lineRule="auto"/>
      <w:ind w:left="794" w:hanging="794"/>
      <w:jc w:val="left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ArtNo">
    <w:name w:val="Art_No"/>
    <w:basedOn w:val="Normal"/>
    <w:next w:val="Arttitl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 w:cs="Times New Roman"/>
      <w:b/>
      <w:noProof/>
      <w:sz w:val="20"/>
      <w:szCs w:val="20"/>
    </w:rPr>
  </w:style>
  <w:style w:type="paragraph" w:customStyle="1" w:styleId="Call">
    <w:name w:val="Call"/>
    <w:basedOn w:val="Normal"/>
    <w:next w:val="Normal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 w:val="24"/>
      <w:szCs w:val="20"/>
    </w:rPr>
  </w:style>
  <w:style w:type="paragraph" w:customStyle="1" w:styleId="ChapNo">
    <w:name w:val="Chap_No"/>
    <w:basedOn w:val="Normal"/>
    <w:next w:val="Chaptitl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 w:line="240" w:lineRule="auto"/>
      <w:ind w:left="794" w:hanging="794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spacing w:before="120"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 w:line="240" w:lineRule="auto"/>
      <w:ind w:left="1985" w:hanging="1985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rFonts w:ascii="Times New Roman" w:hAnsi="Times New Roman" w:cs="Times New Roman"/>
      <w:b/>
      <w:szCs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 w:line="240" w:lineRule="auto"/>
      <w:jc w:val="left"/>
    </w:pPr>
    <w:rPr>
      <w:rFonts w:ascii="Times New Roman" w:hAnsi="Times New Roman" w:cs="Times New Roman"/>
      <w:caps/>
      <w:noProof/>
      <w:sz w:val="16"/>
      <w:szCs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auto"/>
      <w:jc w:val="left"/>
    </w:pPr>
    <w:rPr>
      <w:rFonts w:ascii="Times New Roman" w:hAnsi="Times New Roman" w:cs="Times New Roman"/>
      <w:szCs w:val="2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center"/>
    </w:pPr>
    <w:rPr>
      <w:rFonts w:ascii="Times New Roman" w:hAnsi="Times New Roman" w:cs="Times New Roman"/>
      <w:sz w:val="18"/>
      <w:szCs w:val="20"/>
    </w:rPr>
  </w:style>
  <w:style w:type="paragraph" w:customStyle="1" w:styleId="Headingb">
    <w:name w:val="Heading_b"/>
    <w:basedOn w:val="Normal"/>
    <w:next w:val="Normal"/>
    <w:pPr>
      <w:keepNext/>
      <w:spacing w:line="240" w:lineRule="auto"/>
      <w:jc w:val="left"/>
    </w:pPr>
    <w:rPr>
      <w:rFonts w:ascii="Times New Roman" w:hAnsi="Times New Roman" w:cs="Times New Roman"/>
      <w:b/>
      <w:sz w:val="24"/>
      <w:szCs w:val="20"/>
    </w:rPr>
  </w:style>
  <w:style w:type="paragraph" w:customStyle="1" w:styleId="Headingi">
    <w:name w:val="Heading_i"/>
    <w:basedOn w:val="Normal"/>
    <w:next w:val="Normal"/>
    <w:pPr>
      <w:keepNext/>
      <w:spacing w:line="240" w:lineRule="auto"/>
      <w:jc w:val="left"/>
    </w:pPr>
    <w:rPr>
      <w:rFonts w:ascii="Times New Roman" w:hAnsi="Times New Roman" w:cs="Times New Roman"/>
      <w:i/>
      <w:sz w:val="24"/>
      <w:szCs w:val="20"/>
    </w:rPr>
  </w:style>
  <w:style w:type="paragraph" w:styleId="Index1">
    <w:name w:val="index 1"/>
    <w:basedOn w:val="Normal"/>
    <w:next w:val="Normal"/>
    <w:pPr>
      <w:spacing w:before="120" w:line="240" w:lineRule="auto"/>
      <w:jc w:val="left"/>
    </w:pPr>
    <w:rPr>
      <w:rFonts w:ascii="Times New Roman" w:hAnsi="Times New Roman" w:cs="Times New Roman"/>
      <w:sz w:val="24"/>
      <w:szCs w:val="20"/>
    </w:rPr>
  </w:style>
  <w:style w:type="paragraph" w:styleId="Index2">
    <w:name w:val="index 2"/>
    <w:basedOn w:val="Normal"/>
    <w:next w:val="Normal"/>
    <w:pPr>
      <w:spacing w:before="120" w:line="240" w:lineRule="auto"/>
      <w:ind w:left="283"/>
      <w:jc w:val="left"/>
    </w:pPr>
    <w:rPr>
      <w:rFonts w:ascii="Times New Roman" w:hAnsi="Times New Roman" w:cs="Times New Roman"/>
      <w:sz w:val="24"/>
      <w:szCs w:val="20"/>
    </w:rPr>
  </w:style>
  <w:style w:type="paragraph" w:styleId="Index3">
    <w:name w:val="index 3"/>
    <w:basedOn w:val="Normal"/>
    <w:next w:val="Normal"/>
    <w:pPr>
      <w:spacing w:before="120" w:line="240" w:lineRule="auto"/>
      <w:ind w:left="566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Partref">
    <w:name w:val="Part_ref"/>
    <w:basedOn w:val="Normal"/>
    <w:next w:val="Parttitle"/>
    <w:pPr>
      <w:keepNext/>
      <w:keepLines/>
      <w:spacing w:before="28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RecNo">
    <w:name w:val="Rec_No"/>
    <w:basedOn w:val="Normal"/>
    <w:next w:val="Rectitl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20" w:line="240" w:lineRule="auto"/>
      <w:jc w:val="right"/>
    </w:pPr>
    <w:rPr>
      <w:rFonts w:ascii="Times New Roman" w:hAnsi="Times New Roman" w:cs="Times New Roman"/>
      <w:szCs w:val="20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spacing w:before="120" w:line="240" w:lineRule="auto"/>
      <w:ind w:left="794" w:hanging="794"/>
      <w:jc w:val="left"/>
    </w:pPr>
    <w:rPr>
      <w:rFonts w:ascii="Times New Roman" w:hAnsi="Times New Roman" w:cs="Times New Roman"/>
      <w:szCs w:val="20"/>
    </w:rPr>
  </w:style>
  <w:style w:type="paragraph" w:customStyle="1" w:styleId="Reftitle">
    <w:name w:val="Ref_title"/>
    <w:basedOn w:val="Normal"/>
    <w:next w:val="Reftext"/>
    <w:pPr>
      <w:spacing w:before="480" w:line="240" w:lineRule="auto"/>
      <w:jc w:val="center"/>
    </w:pPr>
    <w:rPr>
      <w:rFonts w:ascii="Times New Roman Bold" w:hAnsi="Times New Roman Bold" w:cs="Times New Roman"/>
      <w:b/>
      <w:sz w:val="28"/>
      <w:szCs w:val="20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Source">
    <w:name w:val="Source"/>
    <w:basedOn w:val="Normal"/>
    <w:next w:val="Normalaftertitle"/>
    <w:pPr>
      <w:spacing w:before="840" w:after="20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TableNo">
    <w:name w:val="Table_No"/>
    <w:basedOn w:val="Normal"/>
    <w:next w:val="Tabletitle"/>
    <w:pPr>
      <w:keepNext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</w:rPr>
  </w:style>
  <w:style w:type="paragraph" w:customStyle="1" w:styleId="Tableref">
    <w:name w:val="Table_ref"/>
    <w:basedOn w:val="Normal"/>
    <w:next w:val="Tabletitle"/>
    <w:pPr>
      <w:keepNext/>
      <w:spacing w:before="0" w:after="12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  <w:spacing w:before="120" w:line="240" w:lineRule="auto"/>
      <w:jc w:val="left"/>
    </w:pPr>
    <w:rPr>
      <w:rFonts w:ascii="Times New Roman" w:hAnsi="Times New Roman" w:cs="Times New Roman"/>
      <w:b/>
      <w:sz w:val="24"/>
      <w:szCs w:val="20"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 w:line="240" w:lineRule="auto"/>
      <w:ind w:left="680" w:right="851" w:hanging="680"/>
      <w:jc w:val="left"/>
    </w:pPr>
    <w:rPr>
      <w:rFonts w:ascii="Times New Roman" w:hAnsi="Times New Roman" w:cs="Times New Roman"/>
      <w:sz w:val="24"/>
      <w:szCs w:val="20"/>
    </w:r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 w:line="24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 w:line="240" w:lineRule="auto"/>
      <w:jc w:val="center"/>
    </w:pPr>
    <w:rPr>
      <w:rFonts w:ascii="Times New Roman" w:hAnsi="Times New Roman" w:cs="Times New Roman"/>
      <w:i/>
      <w:sz w:val="24"/>
      <w:szCs w:val="20"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 w:line="240" w:lineRule="auto"/>
      <w:jc w:val="center"/>
    </w:pPr>
    <w:rPr>
      <w:rFonts w:ascii="Times New Roman" w:hAnsi="Times New Roman" w:cs="Times New Roman"/>
      <w:caps/>
      <w:sz w:val="24"/>
      <w:szCs w:val="20"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after="28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 w:cs="Times New Roman"/>
      <w:b/>
      <w:sz w:val="28"/>
      <w:szCs w:val="20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Reasons">
    <w:name w:val="Reasons"/>
    <w:basedOn w:val="Normal"/>
    <w:qFormat/>
    <w:rsid w:val="008D18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8D185F"/>
    <w:rPr>
      <w:rFonts w:ascii="Times New Roman" w:hAnsi="Times New Roman"/>
      <w:sz w:val="24"/>
      <w:lang w:val="es-ES_tradnl" w:eastAsia="en-US"/>
    </w:rPr>
  </w:style>
  <w:style w:type="paragraph" w:customStyle="1" w:styleId="QuestionTitleDate">
    <w:name w:val="Question_Title/Date"/>
    <w:basedOn w:val="Normal"/>
    <w:next w:val="Normal"/>
    <w:rsid w:val="008D185F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 w:line="240" w:lineRule="auto"/>
      <w:jc w:val="right"/>
      <w:textAlignment w:val="auto"/>
    </w:pPr>
    <w:rPr>
      <w:rFonts w:ascii="Times New Roman" w:eastAsia="SimSu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2</Pages>
  <Words>531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Author</cp:lastModifiedBy>
  <cp:revision>3</cp:revision>
  <cp:lastPrinted>2008-02-21T14:04:00Z</cp:lastPrinted>
  <dcterms:created xsi:type="dcterms:W3CDTF">2024-02-01T08:29:00Z</dcterms:created>
  <dcterms:modified xsi:type="dcterms:W3CDTF">2024-02-01T08:29:00Z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