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1F5E" w14:textId="77777777" w:rsidR="00F477D4" w:rsidRPr="00F477D4" w:rsidRDefault="00F477D4" w:rsidP="00417153">
      <w:pPr>
        <w:pStyle w:val="QuestionNoBR"/>
        <w:rPr>
          <w:lang w:val="en-GB" w:eastAsia="zh-CN"/>
        </w:rPr>
      </w:pPr>
      <w:r w:rsidRPr="00F477D4">
        <w:rPr>
          <w:lang w:val="en-GB"/>
        </w:rPr>
        <w:t>question ITU-R 280/4</w:t>
      </w:r>
    </w:p>
    <w:p w14:paraId="79122952" w14:textId="77777777" w:rsidR="00F477D4" w:rsidRPr="00841316" w:rsidRDefault="00F477D4">
      <w:pPr>
        <w:pStyle w:val="Questiontitle"/>
        <w:rPr>
          <w:lang w:eastAsia="zh-CN"/>
        </w:rPr>
      </w:pPr>
      <w:r w:rsidRPr="00841316">
        <w:t xml:space="preserve">Receiving </w:t>
      </w:r>
      <w:r>
        <w:t>earth station antennas for the broadcasting-</w:t>
      </w:r>
      <w:r w:rsidRPr="00841316">
        <w:t>satellite service</w:t>
      </w:r>
    </w:p>
    <w:p w14:paraId="48C81644" w14:textId="77777777" w:rsidR="00F477D4" w:rsidRDefault="00F477D4">
      <w:pPr>
        <w:pStyle w:val="Questiondate"/>
      </w:pPr>
      <w:r>
        <w:t>(2009)</w:t>
      </w:r>
    </w:p>
    <w:p w14:paraId="3F0B02B3" w14:textId="77777777" w:rsidR="00F477D4" w:rsidRDefault="00F477D4" w:rsidP="00CD20CE">
      <w:pPr>
        <w:pStyle w:val="Questiondate"/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The ITU Radiocommunication Assembly,</w:t>
      </w:r>
    </w:p>
    <w:p w14:paraId="24735842" w14:textId="77777777" w:rsidR="00F477D4" w:rsidRPr="00841316" w:rsidRDefault="00F477D4" w:rsidP="00CD20CE">
      <w:pPr>
        <w:pStyle w:val="Call"/>
        <w:jc w:val="both"/>
      </w:pPr>
      <w:r w:rsidRPr="00841316">
        <w:t>considering</w:t>
      </w:r>
    </w:p>
    <w:p w14:paraId="780D9D89" w14:textId="77777777" w:rsidR="00F477D4" w:rsidRPr="00841316" w:rsidRDefault="00F477D4" w:rsidP="00CD20CE">
      <w:pPr>
        <w:jc w:val="both"/>
      </w:pPr>
      <w:r w:rsidRPr="00986AD2">
        <w:rPr>
          <w:i/>
          <w:iCs/>
        </w:rPr>
        <w:t>a)</w:t>
      </w:r>
      <w:r w:rsidRPr="00841316">
        <w:tab/>
        <w:t>the need for detailed information on co</w:t>
      </w:r>
      <w:r w:rsidRPr="00841316">
        <w:noBreakHyphen/>
        <w:t>polar and cross</w:t>
      </w:r>
      <w:r w:rsidRPr="00841316">
        <w:noBreakHyphen/>
        <w:t>polar patterns of receiving earth station antennas for the planning and coordination of systems in the broadcasting</w:t>
      </w:r>
      <w:r w:rsidRPr="00841316">
        <w:noBreakHyphen/>
        <w:t>satellite service (BSS);</w:t>
      </w:r>
    </w:p>
    <w:p w14:paraId="3D618E80" w14:textId="77777777" w:rsidR="00F477D4" w:rsidRPr="00841316" w:rsidRDefault="00F477D4" w:rsidP="00CD20CE">
      <w:pPr>
        <w:jc w:val="both"/>
      </w:pPr>
      <w:r w:rsidRPr="00986AD2">
        <w:rPr>
          <w:i/>
          <w:iCs/>
          <w:snapToGrid w:val="0"/>
        </w:rPr>
        <w:t>b)</w:t>
      </w:r>
      <w:r w:rsidRPr="00841316">
        <w:rPr>
          <w:snapToGrid w:val="0"/>
        </w:rPr>
        <w:tab/>
        <w:t xml:space="preserve">that the determination of coordination requirements </w:t>
      </w:r>
      <w:r w:rsidRPr="00841316">
        <w:t>and/or interference assessments between geostationary</w:t>
      </w:r>
      <w:r w:rsidRPr="00841316">
        <w:noBreakHyphen/>
        <w:t>satellite systems belonging to the BSS and/or to the fixed</w:t>
      </w:r>
      <w:r w:rsidRPr="00841316">
        <w:noBreakHyphen/>
        <w:t>satellite service (FSS), as well as between BSS earth stations and other services sharing the same frequency band, significantly depends on the accuracy of reference antenna patterns used in analysis;</w:t>
      </w:r>
    </w:p>
    <w:p w14:paraId="62A4968B" w14:textId="1787B6E5" w:rsidR="00F477D4" w:rsidRPr="00841316" w:rsidRDefault="00F477D4" w:rsidP="00CD20CE">
      <w:pPr>
        <w:jc w:val="both"/>
        <w:rPr>
          <w:snapToGrid w:val="0"/>
        </w:rPr>
      </w:pPr>
      <w:r w:rsidRPr="00986AD2">
        <w:rPr>
          <w:i/>
          <w:iCs/>
          <w:snapToGrid w:val="0"/>
        </w:rPr>
        <w:t>c)</w:t>
      </w:r>
      <w:r w:rsidRPr="00841316">
        <w:rPr>
          <w:snapToGrid w:val="0"/>
        </w:rPr>
        <w:tab/>
        <w:t>that the range of applicability of antenna patterns needs to be precisely defined (i.e.</w:t>
      </w:r>
      <w:r w:rsidR="00CD20CE">
        <w:rPr>
          <w:snapToGrid w:val="0"/>
        </w:rPr>
        <w:t xml:space="preserve"> </w:t>
      </w:r>
      <w:r w:rsidRPr="00841316">
        <w:rPr>
          <w:snapToGrid w:val="0"/>
        </w:rPr>
        <w:t>the applicable range of input parameters, the applicable frequency bands, etc.);</w:t>
      </w:r>
    </w:p>
    <w:p w14:paraId="5F304EBA" w14:textId="4C804057" w:rsidR="00F477D4" w:rsidRPr="00841316" w:rsidRDefault="00F477D4" w:rsidP="00CD20CE">
      <w:pPr>
        <w:jc w:val="both"/>
        <w:rPr>
          <w:snapToGrid w:val="0"/>
        </w:rPr>
      </w:pPr>
      <w:r w:rsidRPr="00CD20CE">
        <w:rPr>
          <w:i/>
          <w:iCs/>
          <w:snapToGrid w:val="0"/>
        </w:rPr>
        <w:t>d)</w:t>
      </w:r>
      <w:r w:rsidRPr="00841316">
        <w:rPr>
          <w:snapToGrid w:val="0"/>
        </w:rPr>
        <w:tab/>
        <w:t>that the definition of both antenna patterns and their associated range of applicability needs to be based on measurements, rather than on theoretical analysis;</w:t>
      </w:r>
    </w:p>
    <w:p w14:paraId="5B49158D" w14:textId="6F311894" w:rsidR="00F477D4" w:rsidRPr="00841316" w:rsidRDefault="00F477D4" w:rsidP="00CD20CE">
      <w:pPr>
        <w:jc w:val="both"/>
        <w:rPr>
          <w:snapToGrid w:val="0"/>
        </w:rPr>
      </w:pPr>
      <w:r w:rsidRPr="00CD20CE">
        <w:rPr>
          <w:i/>
          <w:iCs/>
          <w:snapToGrid w:val="0"/>
        </w:rPr>
        <w:t>e)</w:t>
      </w:r>
      <w:r w:rsidRPr="00841316">
        <w:rPr>
          <w:snapToGrid w:val="0"/>
        </w:rPr>
        <w:tab/>
        <w:t xml:space="preserve">that new </w:t>
      </w:r>
      <w:r w:rsidRPr="00841316">
        <w:t>antenna technologies (e.g. multiple</w:t>
      </w:r>
      <w:r w:rsidRPr="00841316">
        <w:noBreakHyphen/>
        <w:t>feed antennas, non</w:t>
      </w:r>
      <w:r w:rsidRPr="00841316">
        <w:noBreakHyphen/>
        <w:t>circular reflectors) are being widely deployed;</w:t>
      </w:r>
    </w:p>
    <w:p w14:paraId="1DCCB637" w14:textId="77777777" w:rsidR="00F477D4" w:rsidRPr="00841316" w:rsidRDefault="00F477D4" w:rsidP="00CD20CE">
      <w:pPr>
        <w:jc w:val="both"/>
        <w:rPr>
          <w:snapToGrid w:val="0"/>
        </w:rPr>
      </w:pPr>
      <w:r w:rsidRPr="00986AD2">
        <w:rPr>
          <w:i/>
          <w:iCs/>
          <w:snapToGrid w:val="0"/>
        </w:rPr>
        <w:t>f)</w:t>
      </w:r>
      <w:r w:rsidRPr="00841316">
        <w:rPr>
          <w:snapToGrid w:val="0"/>
        </w:rPr>
        <w:tab/>
        <w:t>that the ITU Radiocommunication Bureau has developed an antenna pattern software library to be used in</w:t>
      </w:r>
      <w:r w:rsidRPr="00841316">
        <w:t xml:space="preserve"> conjunction with all software used in the application of the relevant procedures of the Radio Regulations</w:t>
      </w:r>
      <w:r w:rsidRPr="00841316">
        <w:rPr>
          <w:snapToGrid w:val="0"/>
        </w:rPr>
        <w:t xml:space="preserve">, </w:t>
      </w:r>
    </w:p>
    <w:p w14:paraId="51771659" w14:textId="77777777" w:rsidR="00F477D4" w:rsidRPr="00841316" w:rsidRDefault="00F477D4" w:rsidP="00CD20CE">
      <w:pPr>
        <w:pStyle w:val="Call"/>
        <w:jc w:val="both"/>
      </w:pPr>
      <w:r w:rsidRPr="00841316">
        <w:t>noting</w:t>
      </w:r>
    </w:p>
    <w:p w14:paraId="60A14147" w14:textId="626D94E3" w:rsidR="00F477D4" w:rsidRPr="00841316" w:rsidRDefault="00F477D4" w:rsidP="00CD20CE">
      <w:pPr>
        <w:jc w:val="both"/>
      </w:pPr>
      <w:r w:rsidRPr="00986AD2">
        <w:rPr>
          <w:i/>
          <w:iCs/>
        </w:rPr>
        <w:t>a)</w:t>
      </w:r>
      <w:r w:rsidRPr="00841316">
        <w:tab/>
        <w:t>that extensive studies and measurements were conducted to appropriately describe the patterns of antennas in the 12 GHz frequency range, which led to the adoption of Recommendations ITU</w:t>
      </w:r>
      <w:r w:rsidRPr="00841316">
        <w:noBreakHyphen/>
        <w:t>R</w:t>
      </w:r>
      <w:r w:rsidR="00CD20CE">
        <w:t xml:space="preserve"> </w:t>
      </w:r>
      <w:r w:rsidRPr="00841316">
        <w:t>BO.1213 and ITU</w:t>
      </w:r>
      <w:r w:rsidRPr="00841316">
        <w:noBreakHyphen/>
        <w:t>R</w:t>
      </w:r>
      <w:r w:rsidR="00CD20CE">
        <w:t xml:space="preserve"> </w:t>
      </w:r>
      <w:r w:rsidRPr="00841316">
        <w:t>BO.1443 as well as Report ITU</w:t>
      </w:r>
      <w:r w:rsidRPr="00841316">
        <w:noBreakHyphen/>
        <w:t>R</w:t>
      </w:r>
      <w:r w:rsidR="00CD20CE">
        <w:t xml:space="preserve"> </w:t>
      </w:r>
      <w:r w:rsidRPr="00841316">
        <w:t>BO.2029;</w:t>
      </w:r>
    </w:p>
    <w:p w14:paraId="25521EAE" w14:textId="47409DAB" w:rsidR="00F477D4" w:rsidRPr="00841316" w:rsidRDefault="00F477D4" w:rsidP="00CD20CE">
      <w:pPr>
        <w:jc w:val="both"/>
      </w:pPr>
      <w:r w:rsidRPr="00986AD2">
        <w:rPr>
          <w:i/>
          <w:iCs/>
        </w:rPr>
        <w:t>b)</w:t>
      </w:r>
      <w:r w:rsidRPr="00841316">
        <w:tab/>
        <w:t>that BSS feeder links are implemented in frequency bands allocated to the FSS (Earth</w:t>
      </w:r>
      <w:r w:rsidR="00CD20CE">
        <w:noBreakHyphen/>
      </w:r>
      <w:r w:rsidRPr="00841316">
        <w:t>to</w:t>
      </w:r>
      <w:r w:rsidRPr="00841316">
        <w:noBreakHyphen/>
        <w:t>space), and are using antennas that are compliant with the relevant Recommendations of the ITU</w:t>
      </w:r>
      <w:r w:rsidRPr="00841316">
        <w:noBreakHyphen/>
        <w:t>R S</w:t>
      </w:r>
      <w:r w:rsidRPr="00841316">
        <w:noBreakHyphen/>
        <w:t>series;</w:t>
      </w:r>
    </w:p>
    <w:p w14:paraId="5A6FC38A" w14:textId="77777777" w:rsidR="00F477D4" w:rsidRPr="00841316" w:rsidRDefault="00F477D4" w:rsidP="00CD20CE">
      <w:pPr>
        <w:jc w:val="both"/>
      </w:pPr>
      <w:r w:rsidRPr="00986AD2">
        <w:rPr>
          <w:i/>
          <w:iCs/>
        </w:rPr>
        <w:t>c)</w:t>
      </w:r>
      <w:r w:rsidRPr="00841316">
        <w:tab/>
        <w:t>that, in order to achieve better performance, BSS space stations employ shaped beams specific to each BSS satellite for both transmitting and receiving,</w:t>
      </w:r>
    </w:p>
    <w:p w14:paraId="0CAD662B" w14:textId="77777777" w:rsidR="00F477D4" w:rsidRPr="00841316" w:rsidRDefault="00F477D4" w:rsidP="00CD20CE">
      <w:pPr>
        <w:pStyle w:val="Call"/>
        <w:jc w:val="both"/>
      </w:pPr>
      <w:r w:rsidRPr="00841316">
        <w:t>decides</w:t>
      </w:r>
      <w:r w:rsidRPr="00841316">
        <w:rPr>
          <w:i w:val="0"/>
          <w:iCs/>
        </w:rPr>
        <w:t xml:space="preserve"> that the following Questions should be studied</w:t>
      </w:r>
    </w:p>
    <w:p w14:paraId="73353BB6" w14:textId="77777777" w:rsidR="00F477D4" w:rsidRPr="00841316" w:rsidRDefault="00F477D4" w:rsidP="00CD20CE">
      <w:pPr>
        <w:jc w:val="both"/>
      </w:pPr>
      <w:r w:rsidRPr="00986AD2">
        <w:rPr>
          <w:bCs/>
        </w:rPr>
        <w:t>1</w:t>
      </w:r>
      <w:r w:rsidRPr="00841316">
        <w:tab/>
        <w:t>What are the measured co</w:t>
      </w:r>
      <w:r w:rsidRPr="00841316">
        <w:noBreakHyphen/>
        <w:t>polar and cross</w:t>
      </w:r>
      <w:r w:rsidRPr="00841316">
        <w:noBreakHyphen/>
        <w:t>polar radiation characteristics of BSS receiving earth station antennas (for both individual and community reception)?</w:t>
      </w:r>
    </w:p>
    <w:p w14:paraId="5C40A8E1" w14:textId="14ED80A4" w:rsidR="00F477D4" w:rsidRPr="00841316" w:rsidRDefault="00F477D4" w:rsidP="00CD20CE">
      <w:pPr>
        <w:jc w:val="both"/>
      </w:pPr>
      <w:r w:rsidRPr="00986AD2">
        <w:rPr>
          <w:bCs/>
        </w:rPr>
        <w:t>2</w:t>
      </w:r>
      <w:r w:rsidRPr="00841316">
        <w:tab/>
        <w:t>What are the reference patterns for the co</w:t>
      </w:r>
      <w:r w:rsidRPr="00841316">
        <w:noBreakHyphen/>
        <w:t>polar and cross</w:t>
      </w:r>
      <w:r w:rsidRPr="00841316">
        <w:noBreakHyphen/>
        <w:t>polar components applicable to receiving earth station antennas for the BSS (for both individual and community reception)?</w:t>
      </w:r>
    </w:p>
    <w:p w14:paraId="379BB201" w14:textId="77777777" w:rsidR="00F477D4" w:rsidRPr="00841316" w:rsidRDefault="00F477D4" w:rsidP="00CD20CE">
      <w:pPr>
        <w:jc w:val="both"/>
      </w:pPr>
      <w:r w:rsidRPr="00986AD2">
        <w:rPr>
          <w:snapToGrid w:val="0"/>
        </w:rPr>
        <w:t>3</w:t>
      </w:r>
      <w:r w:rsidRPr="00841316">
        <w:rPr>
          <w:snapToGrid w:val="0"/>
        </w:rPr>
        <w:tab/>
        <w:t>What is the range of applicability of each antenna pattern (frequency bands, antenna diameter values, etc.)?</w:t>
      </w:r>
    </w:p>
    <w:p w14:paraId="6B08AA46" w14:textId="77777777" w:rsidR="00F477D4" w:rsidRPr="00841316" w:rsidRDefault="00F477D4" w:rsidP="00CD20CE">
      <w:pPr>
        <w:jc w:val="both"/>
      </w:pPr>
      <w:r w:rsidRPr="00986AD2">
        <w:rPr>
          <w:bCs/>
        </w:rPr>
        <w:lastRenderedPageBreak/>
        <w:t>4</w:t>
      </w:r>
      <w:r w:rsidRPr="00841316">
        <w:tab/>
        <w:t>What are the necessary parameters to implement reference antenna patterns in software tools</w:t>
      </w:r>
      <w:r>
        <w:t xml:space="preserve"> developed by the </w:t>
      </w:r>
      <w:r w:rsidRPr="00841316">
        <w:rPr>
          <w:snapToGrid w:val="0"/>
        </w:rPr>
        <w:t>ITU Radiocommunication Bureau</w:t>
      </w:r>
      <w:r w:rsidRPr="00841316">
        <w:t>?</w:t>
      </w:r>
    </w:p>
    <w:p w14:paraId="46793E6F" w14:textId="77777777" w:rsidR="00F477D4" w:rsidRPr="00A82CEA" w:rsidRDefault="00F477D4" w:rsidP="00CD20CE">
      <w:pPr>
        <w:jc w:val="both"/>
        <w:rPr>
          <w:szCs w:val="24"/>
        </w:rPr>
      </w:pPr>
      <w:r>
        <w:rPr>
          <w:szCs w:val="24"/>
        </w:rPr>
        <w:t>NOTE</w:t>
      </w:r>
      <w:r w:rsidRPr="00A82CEA">
        <w:rPr>
          <w:szCs w:val="24"/>
        </w:rPr>
        <w:t> – Further study under this Question should be aimed at covering the types of antennas needed for the 17 GHz and 21 GHz BSS bands and above,</w:t>
      </w:r>
    </w:p>
    <w:p w14:paraId="345CFDAB" w14:textId="77777777" w:rsidR="00F477D4" w:rsidRPr="00841316" w:rsidRDefault="00F477D4" w:rsidP="00CD20CE">
      <w:pPr>
        <w:pStyle w:val="Call"/>
        <w:jc w:val="both"/>
      </w:pPr>
      <w:r w:rsidRPr="00841316">
        <w:t>further decides</w:t>
      </w:r>
    </w:p>
    <w:p w14:paraId="6E7C5EB0" w14:textId="77777777" w:rsidR="00F477D4" w:rsidRPr="00841316" w:rsidRDefault="00F477D4" w:rsidP="00CD20CE">
      <w:pPr>
        <w:jc w:val="both"/>
      </w:pPr>
      <w:r w:rsidRPr="00986AD2">
        <w:rPr>
          <w:bCs/>
        </w:rPr>
        <w:t>1</w:t>
      </w:r>
      <w:r w:rsidRPr="00841316">
        <w:tab/>
        <w:t>that the results of the above studies should be</w:t>
      </w:r>
      <w:r>
        <w:t xml:space="preserve"> included in </w:t>
      </w:r>
      <w:r w:rsidRPr="00AB254B">
        <w:t xml:space="preserve">appropriate </w:t>
      </w:r>
      <w:r w:rsidRPr="00841316">
        <w:t>Recommendations</w:t>
      </w:r>
      <w:r>
        <w:t xml:space="preserve"> and/or Reports</w:t>
      </w:r>
      <w:r w:rsidRPr="00841316">
        <w:t>;</w:t>
      </w:r>
    </w:p>
    <w:p w14:paraId="34497069" w14:textId="1F962AA4" w:rsidR="00F477D4" w:rsidRPr="00841316" w:rsidRDefault="00F477D4" w:rsidP="00CD20CE">
      <w:pPr>
        <w:jc w:val="both"/>
      </w:pPr>
      <w:r w:rsidRPr="00986AD2">
        <w:rPr>
          <w:bCs/>
        </w:rPr>
        <w:t>2</w:t>
      </w:r>
      <w:r w:rsidRPr="00841316">
        <w:rPr>
          <w:b/>
        </w:rPr>
        <w:tab/>
      </w:r>
      <w:r w:rsidRPr="00841316">
        <w:t>that the above st</w:t>
      </w:r>
      <w:r>
        <w:t>udies should be completed by 202</w:t>
      </w:r>
      <w:bookmarkStart w:id="0" w:name="_GoBack"/>
      <w:bookmarkEnd w:id="0"/>
      <w:r w:rsidR="00CD20CE">
        <w:t>5</w:t>
      </w:r>
      <w:r w:rsidRPr="00841316">
        <w:t>.</w:t>
      </w:r>
    </w:p>
    <w:p w14:paraId="006A4A55" w14:textId="77777777" w:rsidR="00F477D4" w:rsidRPr="00841316" w:rsidRDefault="00F477D4"/>
    <w:p w14:paraId="08B25EB9" w14:textId="77777777" w:rsidR="00F477D4" w:rsidRPr="00841316" w:rsidRDefault="00F477D4">
      <w:r w:rsidRPr="00841316">
        <w:t>Category: S1</w:t>
      </w:r>
    </w:p>
    <w:p w14:paraId="3DE88965" w14:textId="77777777" w:rsidR="00F477D4" w:rsidRDefault="00F477D4">
      <w:pPr>
        <w:rPr>
          <w:lang w:val="en-US"/>
        </w:rPr>
      </w:pPr>
    </w:p>
    <w:sectPr w:rsidR="00F477D4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D20CE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477D4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35</TotalTime>
  <Pages>2</Pages>
  <Words>438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2024-01-30T13:52:00Z</dcterms:created>
  <dcterms:modified xsi:type="dcterms:W3CDTF">2024-01-30T14:27:00Z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