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385A" w14:textId="23051095" w:rsidR="004E58A6" w:rsidRDefault="004E58A6" w:rsidP="004E58A6">
      <w:pPr>
        <w:pStyle w:val="Title1"/>
        <w:tabs>
          <w:tab w:val="clear" w:pos="567"/>
          <w:tab w:val="clear" w:pos="1134"/>
          <w:tab w:val="clear" w:pos="1701"/>
          <w:tab w:val="clear" w:pos="1871"/>
          <w:tab w:val="clear" w:pos="2268"/>
          <w:tab w:val="clear" w:pos="2835"/>
        </w:tabs>
        <w:ind w:left="108"/>
        <w:rPr>
          <w:lang w:eastAsia="zh-CN"/>
        </w:rPr>
      </w:pPr>
      <w:bookmarkStart w:id="0" w:name="drec" w:colFirst="0" w:colLast="0"/>
      <w:r>
        <w:rPr>
          <w:caps w:val="0"/>
          <w:lang w:val="en-US"/>
        </w:rPr>
        <w:t>QUESTION ITU-R 278/4</w:t>
      </w:r>
      <w:r w:rsidRPr="004E58A6">
        <w:rPr>
          <w:rStyle w:val="FootnoteReference"/>
          <w:caps w:val="0"/>
          <w:lang w:val="en-US"/>
        </w:rPr>
        <w:footnoteReference w:customMarkFollows="1" w:id="1"/>
        <w:sym w:font="Symbol" w:char="F02A"/>
      </w:r>
    </w:p>
    <w:p w14:paraId="54E98D31" w14:textId="36B02815" w:rsidR="004E58A6" w:rsidRDefault="004E58A6" w:rsidP="004E58A6">
      <w:pPr>
        <w:pStyle w:val="Title4"/>
        <w:tabs>
          <w:tab w:val="clear" w:pos="1134"/>
          <w:tab w:val="clear" w:pos="1871"/>
          <w:tab w:val="clear" w:pos="2268"/>
        </w:tabs>
        <w:ind w:left="108"/>
        <w:rPr>
          <w:lang w:eastAsia="zh-CN"/>
        </w:rPr>
      </w:pPr>
      <w:bookmarkStart w:id="1" w:name="dtitle1" w:colFirst="0" w:colLast="0"/>
      <w:bookmarkEnd w:id="0"/>
      <w:r w:rsidRPr="00E239D2">
        <w:t xml:space="preserve">Use of operational </w:t>
      </w:r>
      <w:r>
        <w:t xml:space="preserve">measures </w:t>
      </w:r>
      <w:r w:rsidRPr="00E239D2">
        <w:t>to meet power</w:t>
      </w:r>
      <w:r>
        <w:t xml:space="preserve"> flux-density limitation </w:t>
      </w:r>
      <w:r>
        <w:br/>
        <w:t xml:space="preserve">under </w:t>
      </w:r>
      <w:r w:rsidRPr="00E239D2">
        <w:t>Article 21 of the Radio Regulations</w:t>
      </w:r>
    </w:p>
    <w:p w14:paraId="59427252" w14:textId="366B3B41" w:rsidR="00282BEB" w:rsidRDefault="00282BEB" w:rsidP="00282BEB">
      <w:pPr>
        <w:pStyle w:val="Questiondate"/>
      </w:pPr>
      <w:bookmarkStart w:id="2" w:name="dbreak"/>
      <w:bookmarkEnd w:id="2"/>
      <w:bookmarkEnd w:id="1"/>
      <w:r>
        <w:t>(2009)</w:t>
      </w:r>
    </w:p>
    <w:p w14:paraId="65289F29" w14:textId="77777777" w:rsidR="00282BEB" w:rsidRPr="00E239D2" w:rsidRDefault="00282BEB" w:rsidP="00282BEB">
      <w:pPr>
        <w:pStyle w:val="Normalaftertitle"/>
        <w:spacing w:before="480"/>
      </w:pPr>
      <w:r w:rsidRPr="00E239D2">
        <w:t>The ITU Radiocommunication Assembly,</w:t>
      </w:r>
    </w:p>
    <w:p w14:paraId="626ECCE5" w14:textId="77777777" w:rsidR="00282BEB" w:rsidRPr="00E239D2" w:rsidRDefault="00282BEB" w:rsidP="00282BEB">
      <w:pPr>
        <w:pStyle w:val="Call"/>
      </w:pPr>
      <w:r w:rsidRPr="00E239D2">
        <w:t>considering</w:t>
      </w:r>
    </w:p>
    <w:p w14:paraId="4FB767B3" w14:textId="24F63FE6" w:rsidR="00282BEB" w:rsidRPr="00E239D2" w:rsidRDefault="00282BEB" w:rsidP="00282BEB">
      <w:r w:rsidRPr="00986AD2">
        <w:rPr>
          <w:i/>
          <w:iCs/>
        </w:rPr>
        <w:t>a)</w:t>
      </w:r>
      <w:r w:rsidRPr="00E239D2">
        <w:tab/>
        <w:t xml:space="preserve">that </w:t>
      </w:r>
      <w:r>
        <w:t>No.</w:t>
      </w:r>
      <w:r w:rsidRPr="00E239D2">
        <w:t xml:space="preserve"> </w:t>
      </w:r>
      <w:proofErr w:type="gramStart"/>
      <w:r w:rsidRPr="00110C51">
        <w:rPr>
          <w:b/>
          <w:bCs/>
        </w:rPr>
        <w:t>11.31</w:t>
      </w:r>
      <w:r w:rsidRPr="00E239D2">
        <w:t xml:space="preserve">  of</w:t>
      </w:r>
      <w:proofErr w:type="gramEnd"/>
      <w:r w:rsidRPr="00E239D2">
        <w:t xml:space="preserve"> the Radio Regulations (RR) requires the Radiocommunication Bureau (BR) to examine the notified frequency assignments under Article </w:t>
      </w:r>
      <w:r w:rsidRPr="00282BEB">
        <w:rPr>
          <w:b/>
          <w:bCs/>
        </w:rPr>
        <w:t>11</w:t>
      </w:r>
      <w:r w:rsidRPr="00E239D2">
        <w:t xml:space="preserve"> of the RR, </w:t>
      </w:r>
      <w:r w:rsidRPr="00E239D2">
        <w:rPr>
          <w:i/>
        </w:rPr>
        <w:t>inter alia</w:t>
      </w:r>
      <w:r w:rsidRPr="00E239D2">
        <w:t>, with respect to its conformity with Article 21 (power-flux-density limits);</w:t>
      </w:r>
    </w:p>
    <w:p w14:paraId="4A121731" w14:textId="77777777" w:rsidR="00282BEB" w:rsidRPr="00E239D2" w:rsidRDefault="00282BEB" w:rsidP="00282BEB">
      <w:r w:rsidRPr="00986AD2">
        <w:rPr>
          <w:i/>
          <w:iCs/>
        </w:rPr>
        <w:t>b)</w:t>
      </w:r>
      <w:r w:rsidRPr="00E239D2">
        <w:tab/>
        <w:t xml:space="preserve">that the BR received in the past and is still receiving submissions from administrations for which the power flux-density examinations show an excess initially varying from 0 to 9 dB, and recently up to 10 dB or more, within a certain range of elevation angles of </w:t>
      </w:r>
      <w:proofErr w:type="gramStart"/>
      <w:r w:rsidRPr="00E239D2">
        <w:t>arrival;</w:t>
      </w:r>
      <w:proofErr w:type="gramEnd"/>
    </w:p>
    <w:p w14:paraId="3310927C" w14:textId="77777777" w:rsidR="00282BEB" w:rsidRPr="00E239D2" w:rsidRDefault="00282BEB" w:rsidP="00282BEB">
      <w:r w:rsidRPr="00986AD2">
        <w:rPr>
          <w:i/>
          <w:iCs/>
        </w:rPr>
        <w:t>c)</w:t>
      </w:r>
      <w:r w:rsidRPr="00E239D2">
        <w:tab/>
        <w:t xml:space="preserve">that after consultation with the notifying administrations the BR was informed that with the application of technical means such as energy dispersal and backoff control the power-flux density could be adjusted to the level specified in the </w:t>
      </w:r>
      <w:proofErr w:type="gramStart"/>
      <w:r w:rsidRPr="00E239D2">
        <w:t>RR;</w:t>
      </w:r>
      <w:proofErr w:type="gramEnd"/>
      <w:r w:rsidRPr="00E239D2">
        <w:t xml:space="preserve"> </w:t>
      </w:r>
    </w:p>
    <w:p w14:paraId="1DD0772A" w14:textId="244F79DA" w:rsidR="00282BEB" w:rsidRPr="00E239D2" w:rsidRDefault="00282BEB" w:rsidP="00282BEB">
      <w:r w:rsidRPr="00986AD2">
        <w:rPr>
          <w:i/>
          <w:iCs/>
        </w:rPr>
        <w:t>d)</w:t>
      </w:r>
      <w:r w:rsidRPr="00E239D2">
        <w:tab/>
        <w:t xml:space="preserve">that, in examining these cases, the BR had given a favourable </w:t>
      </w:r>
      <w:r>
        <w:t>f</w:t>
      </w:r>
      <w:r w:rsidRPr="00E239D2">
        <w:t>inding</w:t>
      </w:r>
      <w:r>
        <w:t xml:space="preserve"> under No. </w:t>
      </w:r>
      <w:r w:rsidRPr="00110C51">
        <w:rPr>
          <w:b/>
          <w:bCs/>
        </w:rPr>
        <w:t>11.31</w:t>
      </w:r>
      <w:r w:rsidRPr="00E239D2">
        <w:t xml:space="preserve"> for the submissions mentioned in </w:t>
      </w:r>
      <w:r w:rsidRPr="00D879E6">
        <w:rPr>
          <w:i/>
          <w:iCs/>
        </w:rPr>
        <w:t>b)</w:t>
      </w:r>
      <w:r w:rsidRPr="00E239D2">
        <w:t xml:space="preserve"> above when the subject notice contained details of the operational/technical </w:t>
      </w:r>
      <w:r>
        <w:t>measures</w:t>
      </w:r>
      <w:r w:rsidRPr="00E239D2">
        <w:t xml:space="preserve"> to ensure power flux-density conformance to the mandatory RR Article 21 </w:t>
      </w:r>
      <w:proofErr w:type="gramStart"/>
      <w:r w:rsidRPr="00E239D2">
        <w:t>limits;</w:t>
      </w:r>
      <w:proofErr w:type="gramEnd"/>
    </w:p>
    <w:p w14:paraId="6178511C" w14:textId="77777777" w:rsidR="00282BEB" w:rsidRPr="00E239D2" w:rsidRDefault="00282BEB" w:rsidP="00282BEB">
      <w:r w:rsidRPr="00986AD2">
        <w:rPr>
          <w:i/>
          <w:iCs/>
        </w:rPr>
        <w:t>e)</w:t>
      </w:r>
      <w:r w:rsidRPr="00E239D2">
        <w:tab/>
        <w:t xml:space="preserve">that the BR, in performing its mandatory tasks relating to the application of the above-mentioned provisions, is concerned with the extent to which the application of such operational measures to the space services could be accepted without hampering other services sharing the same frequency </w:t>
      </w:r>
      <w:proofErr w:type="gramStart"/>
      <w:r w:rsidRPr="00E239D2">
        <w:t>bands;</w:t>
      </w:r>
      <w:proofErr w:type="gramEnd"/>
    </w:p>
    <w:p w14:paraId="5FCC8A9E" w14:textId="77777777" w:rsidR="00282BEB" w:rsidRPr="00E239D2" w:rsidRDefault="00282BEB" w:rsidP="00282BEB">
      <w:r w:rsidRPr="00986AD2">
        <w:rPr>
          <w:i/>
          <w:iCs/>
        </w:rPr>
        <w:t>f)</w:t>
      </w:r>
      <w:r w:rsidRPr="00E239D2">
        <w:tab/>
        <w:t xml:space="preserve">that Article 21 contains no power flux-density limits for any frequency bands above 50.2 GHz, and that there are higher frequency bands which have co-primary allocations </w:t>
      </w:r>
      <w:r>
        <w:t>of</w:t>
      </w:r>
      <w:r w:rsidRPr="00E239D2">
        <w:t xml:space="preserve"> broadcasting</w:t>
      </w:r>
      <w:r>
        <w:t>-satellite</w:t>
      </w:r>
      <w:r w:rsidRPr="00E239D2">
        <w:t xml:space="preserve"> and fixed-satellite services (space-to-Earth) </w:t>
      </w:r>
      <w:r>
        <w:t xml:space="preserve">with terrestrial services </w:t>
      </w:r>
      <w:r w:rsidRPr="00E239D2">
        <w:t>for which no regula</w:t>
      </w:r>
      <w:r>
        <w:t>tory sharing mechanisms exist,</w:t>
      </w:r>
    </w:p>
    <w:p w14:paraId="44EEBB5F" w14:textId="77777777" w:rsidR="00282BEB" w:rsidRPr="00E239D2" w:rsidRDefault="00282BEB" w:rsidP="00282BEB">
      <w:pPr>
        <w:pStyle w:val="Call"/>
      </w:pPr>
      <w:r w:rsidRPr="00E239D2">
        <w:t xml:space="preserve">decides </w:t>
      </w:r>
      <w:r w:rsidRPr="00E239D2">
        <w:rPr>
          <w:i w:val="0"/>
        </w:rPr>
        <w:t xml:space="preserve">that the following Questions should be </w:t>
      </w:r>
      <w:proofErr w:type="gramStart"/>
      <w:r w:rsidRPr="00E239D2">
        <w:rPr>
          <w:i w:val="0"/>
        </w:rPr>
        <w:t>studied</w:t>
      </w:r>
      <w:proofErr w:type="gramEnd"/>
    </w:p>
    <w:p w14:paraId="1596FB8A" w14:textId="180277CA" w:rsidR="00282BEB" w:rsidRPr="00E239D2" w:rsidRDefault="00282BEB" w:rsidP="00282BEB">
      <w:r w:rsidRPr="00986AD2">
        <w:rPr>
          <w:bCs/>
        </w:rPr>
        <w:t>1</w:t>
      </w:r>
      <w:r w:rsidRPr="00E239D2">
        <w:tab/>
        <w:t xml:space="preserve">What are the actual design capabilities of space systems regarding the use of operational </w:t>
      </w:r>
      <w:r>
        <w:t>measures</w:t>
      </w:r>
      <w:r w:rsidRPr="00E239D2">
        <w:t xml:space="preserve"> such as energy dispersal, back-off </w:t>
      </w:r>
      <w:proofErr w:type="gramStart"/>
      <w:r w:rsidRPr="00E239D2">
        <w:t>control</w:t>
      </w:r>
      <w:proofErr w:type="gramEnd"/>
      <w:r w:rsidRPr="00E239D2">
        <w:t xml:space="preserve"> and other techniques for the adjustment of power flux-density levels?</w:t>
      </w:r>
    </w:p>
    <w:p w14:paraId="5C3C904F" w14:textId="51559A38" w:rsidR="00282BEB" w:rsidRPr="00E239D2" w:rsidRDefault="00282BEB" w:rsidP="00282BEB">
      <w:r w:rsidRPr="00986AD2">
        <w:rPr>
          <w:bCs/>
        </w:rPr>
        <w:t>2</w:t>
      </w:r>
      <w:r w:rsidRPr="00E239D2">
        <w:tab/>
        <w:t xml:space="preserve">What are the limits beyond which the use of such power adjustment </w:t>
      </w:r>
      <w:r>
        <w:t>measures</w:t>
      </w:r>
      <w:r w:rsidRPr="00E239D2">
        <w:t xml:space="preserve"> </w:t>
      </w:r>
      <w:proofErr w:type="gramStart"/>
      <w:r w:rsidRPr="00E239D2">
        <w:t>are</w:t>
      </w:r>
      <w:proofErr w:type="gramEnd"/>
      <w:r w:rsidRPr="00E239D2">
        <w:t xml:space="preserve"> no longer feasible?</w:t>
      </w:r>
    </w:p>
    <w:p w14:paraId="1A7902DD" w14:textId="5C0A3FB1" w:rsidR="00282BEB" w:rsidRPr="00E239D2" w:rsidRDefault="00282BEB" w:rsidP="00282BEB">
      <w:r w:rsidRPr="00986AD2">
        <w:rPr>
          <w:bCs/>
        </w:rPr>
        <w:t>3</w:t>
      </w:r>
      <w:r w:rsidRPr="00E239D2">
        <w:tab/>
        <w:t xml:space="preserve">What are the technical means by which such </w:t>
      </w:r>
      <w:r>
        <w:t>measures</w:t>
      </w:r>
      <w:r w:rsidRPr="00E239D2">
        <w:t xml:space="preserve"> could be used </w:t>
      </w:r>
      <w:proofErr w:type="gramStart"/>
      <w:r w:rsidRPr="00E239D2">
        <w:t>in a given</w:t>
      </w:r>
      <w:proofErr w:type="gramEnd"/>
      <w:r w:rsidRPr="00E239D2">
        <w:t xml:space="preserve"> service area and within a certain range of angles of arrival?</w:t>
      </w:r>
    </w:p>
    <w:p w14:paraId="2F6F9BCC" w14:textId="77777777" w:rsidR="00282BEB" w:rsidRPr="00E239D2" w:rsidRDefault="00282BEB" w:rsidP="00282BEB">
      <w:r w:rsidRPr="00986AD2">
        <w:rPr>
          <w:bCs/>
        </w:rPr>
        <w:lastRenderedPageBreak/>
        <w:t>4</w:t>
      </w:r>
      <w:r w:rsidRPr="00E239D2">
        <w:tab/>
        <w:t>How would these operational measures (such as the increase in the back-off to overcome the power flux-density excess) affect the performance of the subject satellite networks in the concerned service area?</w:t>
      </w:r>
    </w:p>
    <w:p w14:paraId="67B8ADD5" w14:textId="0340E484" w:rsidR="00282BEB" w:rsidRPr="00E239D2" w:rsidRDefault="00D879E6" w:rsidP="00282BEB">
      <w:pPr>
        <w:pStyle w:val="Call"/>
      </w:pPr>
      <w:r w:rsidRPr="00E239D2">
        <w:t xml:space="preserve">further </w:t>
      </w:r>
      <w:proofErr w:type="gramStart"/>
      <w:r w:rsidR="00282BEB" w:rsidRPr="00E239D2">
        <w:t>decides</w:t>
      </w:r>
      <w:proofErr w:type="gramEnd"/>
    </w:p>
    <w:p w14:paraId="32F1C495" w14:textId="77777777" w:rsidR="00282BEB" w:rsidRPr="00E239D2" w:rsidRDefault="00282BEB" w:rsidP="00282BEB">
      <w:r w:rsidRPr="00986AD2">
        <w:rPr>
          <w:bCs/>
        </w:rPr>
        <w:t>1</w:t>
      </w:r>
      <w:r w:rsidRPr="00E239D2">
        <w:tab/>
        <w:t xml:space="preserve">that the </w:t>
      </w:r>
      <w:r>
        <w:rPr>
          <w:szCs w:val="24"/>
        </w:rPr>
        <w:t xml:space="preserve">results of the </w:t>
      </w:r>
      <w:r w:rsidRPr="00E239D2">
        <w:t xml:space="preserve">above studies should </w:t>
      </w:r>
      <w:r w:rsidRPr="000C4505">
        <w:t>be included in</w:t>
      </w:r>
      <w:r>
        <w:rPr>
          <w:szCs w:val="24"/>
        </w:rPr>
        <w:t xml:space="preserve"> appropriate</w:t>
      </w:r>
      <w:r w:rsidRPr="003E5577">
        <w:t xml:space="preserve"> </w:t>
      </w:r>
      <w:r>
        <w:rPr>
          <w:szCs w:val="24"/>
        </w:rPr>
        <w:t>Recommendations</w:t>
      </w:r>
      <w:r>
        <w:t xml:space="preserve"> and/or </w:t>
      </w:r>
      <w:proofErr w:type="gramStart"/>
      <w:r>
        <w:t>Reports</w:t>
      </w:r>
      <w:r w:rsidRPr="000C4505">
        <w:t>;</w:t>
      </w:r>
      <w:proofErr w:type="gramEnd"/>
    </w:p>
    <w:p w14:paraId="000F59CE" w14:textId="103A51FB" w:rsidR="00282BEB" w:rsidRDefault="00282BEB" w:rsidP="00282BEB">
      <w:pPr>
        <w:rPr>
          <w:lang w:eastAsia="ja-JP"/>
        </w:rPr>
      </w:pPr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2025</w:t>
      </w:r>
      <w:r>
        <w:t>.</w:t>
      </w:r>
    </w:p>
    <w:p w14:paraId="67F4E6DC" w14:textId="77777777" w:rsidR="00282BEB" w:rsidRDefault="00282BEB" w:rsidP="00282BEB"/>
    <w:p w14:paraId="39497A83" w14:textId="77777777" w:rsidR="00282BEB" w:rsidRDefault="00282BEB" w:rsidP="00282BEB">
      <w:r>
        <w:rPr>
          <w:szCs w:val="24"/>
        </w:rPr>
        <w:t>Category: S1</w:t>
      </w:r>
    </w:p>
    <w:sectPr w:rsidR="00282BEB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09D6" w14:textId="77777777" w:rsidR="00280850" w:rsidRDefault="00280850">
      <w:r>
        <w:separator/>
      </w:r>
    </w:p>
  </w:endnote>
  <w:endnote w:type="continuationSeparator" w:id="0">
    <w:p w14:paraId="244DABB8" w14:textId="77777777" w:rsidR="00280850" w:rsidRDefault="002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B43C" w14:textId="77777777" w:rsidR="00280850" w:rsidRDefault="00280850">
      <w:r>
        <w:t>____________________</w:t>
      </w:r>
    </w:p>
  </w:footnote>
  <w:footnote w:type="continuationSeparator" w:id="0">
    <w:p w14:paraId="51CBA36D" w14:textId="77777777" w:rsidR="00280850" w:rsidRDefault="00280850">
      <w:r>
        <w:continuationSeparator/>
      </w:r>
    </w:p>
  </w:footnote>
  <w:footnote w:id="1">
    <w:p w14:paraId="1459F6A1" w14:textId="38756288" w:rsidR="004E58A6" w:rsidRPr="00110C51" w:rsidRDefault="004E58A6">
      <w:pPr>
        <w:pStyle w:val="FootnoteText"/>
        <w:rPr>
          <w:lang w:val="en-US"/>
        </w:rPr>
      </w:pPr>
      <w:r w:rsidRPr="004E58A6">
        <w:rPr>
          <w:rStyle w:val="FootnoteReference"/>
        </w:rPr>
        <w:sym w:font="Symbol" w:char="F02A"/>
      </w:r>
      <w:r>
        <w:t xml:space="preserve"> </w:t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04D6" w14:textId="35FB166A" w:rsidR="00161587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 w:rsidR="004E58A6"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5"/>
    <w:rsid w:val="00002217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10C51"/>
    <w:rsid w:val="0012744F"/>
    <w:rsid w:val="00131178"/>
    <w:rsid w:val="00156F66"/>
    <w:rsid w:val="00161587"/>
    <w:rsid w:val="00163271"/>
    <w:rsid w:val="00172122"/>
    <w:rsid w:val="00182528"/>
    <w:rsid w:val="0018500B"/>
    <w:rsid w:val="00196A19"/>
    <w:rsid w:val="001A7104"/>
    <w:rsid w:val="00202DC1"/>
    <w:rsid w:val="002116EE"/>
    <w:rsid w:val="002309D8"/>
    <w:rsid w:val="00274E60"/>
    <w:rsid w:val="00280850"/>
    <w:rsid w:val="00282BEB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E58A6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A09BB"/>
    <w:rsid w:val="0080538C"/>
    <w:rsid w:val="00814E0A"/>
    <w:rsid w:val="00822581"/>
    <w:rsid w:val="008309DD"/>
    <w:rsid w:val="0083227A"/>
    <w:rsid w:val="00866900"/>
    <w:rsid w:val="00876A8A"/>
    <w:rsid w:val="00881BA1"/>
    <w:rsid w:val="00892EA3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B7BB1"/>
    <w:rsid w:val="00AD2345"/>
    <w:rsid w:val="00AF173A"/>
    <w:rsid w:val="00B066A4"/>
    <w:rsid w:val="00B07A13"/>
    <w:rsid w:val="00B4279B"/>
    <w:rsid w:val="00B45FC9"/>
    <w:rsid w:val="00B7685E"/>
    <w:rsid w:val="00B76F35"/>
    <w:rsid w:val="00B81138"/>
    <w:rsid w:val="00BC7CCF"/>
    <w:rsid w:val="00BE470B"/>
    <w:rsid w:val="00C57A91"/>
    <w:rsid w:val="00CC01C2"/>
    <w:rsid w:val="00CD4D4A"/>
    <w:rsid w:val="00CF21F2"/>
    <w:rsid w:val="00D02712"/>
    <w:rsid w:val="00D046A7"/>
    <w:rsid w:val="00D214D0"/>
    <w:rsid w:val="00D329F1"/>
    <w:rsid w:val="00D6546B"/>
    <w:rsid w:val="00D879E6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62A55"/>
    <w:rsid w:val="00F743C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9E0F6"/>
  <w15:docId w15:val="{315E2A25-7C98-46F3-BE2A-D5747AA2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rsid w:val="00282BEB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rsid w:val="00282BEB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282BEB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6158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19</TotalTime>
  <Pages>2</Pages>
  <Words>431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BRSGD</cp:lastModifiedBy>
  <cp:revision>6</cp:revision>
  <cp:lastPrinted>2023-07-06T12:11:00Z</cp:lastPrinted>
  <dcterms:created xsi:type="dcterms:W3CDTF">2023-07-06T12:01:00Z</dcterms:created>
  <dcterms:modified xsi:type="dcterms:W3CDTF">2023-09-29T09:48:00Z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