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8A9ED" w14:textId="77777777" w:rsidR="00FE6709" w:rsidRDefault="00FE6709">
      <w:pPr>
        <w:tabs>
          <w:tab w:val="clear" w:pos="794"/>
        </w:tabs>
        <w:bidi w:val="0"/>
        <w:spacing w:before="0" w:line="240" w:lineRule="auto"/>
        <w:jc w:val="left"/>
        <w:rPr>
          <w:bCs/>
          <w:noProof/>
          <w:lang w:val="fr-FR"/>
        </w:rPr>
      </w:pPr>
    </w:p>
    <w:p w14:paraId="5D5BB0A7" w14:textId="77777777" w:rsidR="00FE6709" w:rsidRDefault="00FE6709" w:rsidP="004302E3">
      <w:pPr>
        <w:jc w:val="center"/>
        <w:rPr>
          <w:sz w:val="26"/>
          <w:szCs w:val="36"/>
          <w:rtl/>
        </w:rPr>
      </w:pPr>
      <w:r>
        <w:rPr>
          <w:rFonts w:hint="cs"/>
          <w:sz w:val="26"/>
          <w:szCs w:val="36"/>
          <w:rtl/>
        </w:rPr>
        <w:t xml:space="preserve">المسألة </w:t>
      </w:r>
      <w:r w:rsidRPr="00FE6709">
        <w:rPr>
          <w:sz w:val="26"/>
          <w:szCs w:val="26"/>
          <w:lang w:val="fr-FR" w:bidi="ar-EG"/>
        </w:rPr>
        <w:t>ITU-R 272/4</w:t>
      </w:r>
      <w:r>
        <w:rPr>
          <w:rStyle w:val="FootnoteReference"/>
          <w:rtl/>
        </w:rPr>
        <w:footnoteReference w:customMarkFollows="1" w:id="1"/>
        <w:t>*</w:t>
      </w:r>
    </w:p>
    <w:p w14:paraId="2194E26B" w14:textId="77777777" w:rsidR="00FE6709" w:rsidRPr="00FE6709" w:rsidRDefault="00FE6709" w:rsidP="004302E3">
      <w:pPr>
        <w:jc w:val="center"/>
        <w:rPr>
          <w:rFonts w:ascii="Times New Roman Bold" w:hAnsi="Times New Roman Bold"/>
          <w:b/>
          <w:bCs/>
          <w:sz w:val="24"/>
          <w:szCs w:val="32"/>
          <w:lang w:val="fr-FR"/>
        </w:rPr>
      </w:pPr>
      <w:r>
        <w:rPr>
          <w:rFonts w:ascii="Times New Roman Bold" w:hAnsi="Times New Roman Bold" w:hint="cs"/>
          <w:b/>
          <w:bCs/>
          <w:sz w:val="24"/>
          <w:szCs w:val="32"/>
          <w:rtl/>
        </w:rPr>
        <w:t xml:space="preserve">تقاسم الترددات بين الخدمة الثابتة </w:t>
      </w:r>
      <w:proofErr w:type="spellStart"/>
      <w:r>
        <w:rPr>
          <w:rFonts w:ascii="Times New Roman Bold" w:hAnsi="Times New Roman Bold" w:hint="cs"/>
          <w:b/>
          <w:bCs/>
          <w:sz w:val="24"/>
          <w:szCs w:val="32"/>
          <w:rtl/>
        </w:rPr>
        <w:t>الساتلية</w:t>
      </w:r>
      <w:proofErr w:type="spellEnd"/>
      <w:r>
        <w:rPr>
          <w:rFonts w:ascii="Times New Roman Bold" w:hAnsi="Times New Roman Bold" w:hint="cs"/>
          <w:b/>
          <w:bCs/>
          <w:sz w:val="24"/>
          <w:szCs w:val="32"/>
          <w:rtl/>
        </w:rPr>
        <w:t xml:space="preserve"> وخدمة البحوث الفضائية</w:t>
      </w:r>
      <w:r>
        <w:rPr>
          <w:rFonts w:ascii="Times New Roman Bold" w:hAnsi="Times New Roman Bold"/>
          <w:b/>
          <w:bCs/>
          <w:sz w:val="24"/>
          <w:szCs w:val="32"/>
          <w:rtl/>
        </w:rPr>
        <w:br/>
      </w:r>
      <w:r>
        <w:rPr>
          <w:rFonts w:ascii="Times New Roman Bold" w:hAnsi="Times New Roman Bold" w:hint="cs"/>
          <w:b/>
          <w:bCs/>
          <w:sz w:val="24"/>
          <w:szCs w:val="32"/>
          <w:rtl/>
        </w:rPr>
        <w:t xml:space="preserve">في النطاقين </w:t>
      </w:r>
      <w:r w:rsidRPr="00FE6709">
        <w:rPr>
          <w:rFonts w:ascii="Times New Roman Bold" w:hAnsi="Times New Roman Bold"/>
          <w:b/>
          <w:bCs/>
          <w:sz w:val="24"/>
          <w:szCs w:val="32"/>
          <w:lang w:val="fr-FR"/>
        </w:rPr>
        <w:t>GHz 38-37,5</w:t>
      </w:r>
      <w:r>
        <w:rPr>
          <w:rFonts w:ascii="Times New Roman Bold" w:hAnsi="Times New Roman Bold" w:hint="cs"/>
          <w:b/>
          <w:bCs/>
          <w:sz w:val="24"/>
          <w:szCs w:val="32"/>
          <w:rtl/>
        </w:rPr>
        <w:t xml:space="preserve"> و</w:t>
      </w:r>
      <w:r w:rsidRPr="00FE6709">
        <w:rPr>
          <w:rFonts w:ascii="Times New Roman Bold" w:hAnsi="Times New Roman Bold"/>
          <w:b/>
          <w:bCs/>
          <w:sz w:val="24"/>
          <w:szCs w:val="32"/>
          <w:lang w:val="fr-FR"/>
        </w:rPr>
        <w:t>GHz 40,5-40</w:t>
      </w:r>
    </w:p>
    <w:p w14:paraId="67BEDDFD" w14:textId="77777777" w:rsidR="00FE6709" w:rsidRPr="00FE6709" w:rsidRDefault="00FE6709" w:rsidP="004302E3">
      <w:pPr>
        <w:jc w:val="right"/>
        <w:rPr>
          <w:lang w:val="fr-FR"/>
        </w:rPr>
      </w:pPr>
      <w:r w:rsidRPr="00FE6709">
        <w:rPr>
          <w:lang w:val="fr-FR"/>
        </w:rPr>
        <w:t>(2005)</w:t>
      </w:r>
    </w:p>
    <w:p w14:paraId="205718D1" w14:textId="77777777" w:rsidR="00FE6709" w:rsidRDefault="00FE6709" w:rsidP="004302E3">
      <w:pPr>
        <w:rPr>
          <w:rtl/>
        </w:rPr>
      </w:pPr>
      <w:r>
        <w:rPr>
          <w:rFonts w:hint="cs"/>
          <w:rtl/>
        </w:rPr>
        <w:t xml:space="preserve">إن جمعية الاتصالات الراديوية في </w:t>
      </w:r>
      <w:r>
        <w:rPr>
          <w:rFonts w:hint="cs"/>
          <w:rtl/>
          <w:lang w:bidi="ar-EG"/>
        </w:rPr>
        <w:t>الاتحاد الدولي للاتصالات</w:t>
      </w:r>
      <w:r>
        <w:rPr>
          <w:rFonts w:hint="cs"/>
          <w:rtl/>
        </w:rPr>
        <w:t>،</w:t>
      </w:r>
    </w:p>
    <w:p w14:paraId="485FBE9A" w14:textId="77777777" w:rsidR="00FE6709" w:rsidRDefault="00FE6709" w:rsidP="004302E3">
      <w:pPr>
        <w:ind w:left="720"/>
        <w:rPr>
          <w:i/>
          <w:iCs/>
          <w:rtl/>
        </w:rPr>
      </w:pPr>
      <w:r>
        <w:rPr>
          <w:rFonts w:hint="cs"/>
          <w:i/>
          <w:iCs/>
          <w:rtl/>
        </w:rPr>
        <w:t>إذ تضع في اعتبارها</w:t>
      </w:r>
    </w:p>
    <w:p w14:paraId="1C1FE806" w14:textId="77777777" w:rsidR="00FE6709" w:rsidRDefault="00FE6709" w:rsidP="004302E3">
      <w:pPr>
        <w:rPr>
          <w:rtl/>
        </w:rPr>
      </w:pPr>
      <w:r w:rsidRPr="004302E3">
        <w:rPr>
          <w:rFonts w:hint="cs"/>
          <w:i/>
          <w:iCs/>
          <w:rtl/>
        </w:rPr>
        <w:t xml:space="preserve"> أ )</w:t>
      </w:r>
      <w:r>
        <w:rPr>
          <w:rFonts w:hint="cs"/>
          <w:rtl/>
        </w:rPr>
        <w:tab/>
        <w:t xml:space="preserve">أن النطاقين </w:t>
      </w:r>
      <w:r>
        <w:t>GHz 38-37,5</w:t>
      </w:r>
      <w:r>
        <w:rPr>
          <w:rFonts w:hint="cs"/>
          <w:rtl/>
        </w:rPr>
        <w:t xml:space="preserve"> و</w:t>
      </w:r>
      <w:r>
        <w:t>GHz 40,5-40</w:t>
      </w:r>
      <w:r>
        <w:rPr>
          <w:rFonts w:hint="cs"/>
          <w:rtl/>
        </w:rPr>
        <w:t xml:space="preserve"> موزعان على الخدمة الثابتة الساتلية؛</w:t>
      </w:r>
    </w:p>
    <w:p w14:paraId="0F14EC00" w14:textId="77777777" w:rsidR="00FE6709" w:rsidRDefault="00FE6709" w:rsidP="004302E3">
      <w:pPr>
        <w:rPr>
          <w:rtl/>
        </w:rPr>
      </w:pPr>
      <w:r w:rsidRPr="004302E3">
        <w:rPr>
          <w:rFonts w:hint="cs"/>
          <w:i/>
          <w:iCs/>
          <w:rtl/>
        </w:rPr>
        <w:t>ب)</w:t>
      </w:r>
      <w:r>
        <w:rPr>
          <w:rFonts w:hint="cs"/>
          <w:rtl/>
        </w:rPr>
        <w:tab/>
        <w:t>أن النطاقين، أو أجزاء منهما، موزعان أيضاً على خدمات بحوث الفضاء والخدمات الثابتة والخدمات المتنقلة والخدمات الساتلية لاستكشاف الأرض والخدمات الساتلية المتنقلة؛</w:t>
      </w:r>
    </w:p>
    <w:p w14:paraId="30AE69DB" w14:textId="77777777" w:rsidR="00FE6709" w:rsidRDefault="00FE6709" w:rsidP="004302E3">
      <w:pPr>
        <w:rPr>
          <w:rtl/>
        </w:rPr>
      </w:pPr>
      <w:r w:rsidRPr="004302E3">
        <w:rPr>
          <w:rFonts w:hint="cs"/>
          <w:i/>
          <w:iCs/>
          <w:rtl/>
        </w:rPr>
        <w:t>ج )</w:t>
      </w:r>
      <w:r>
        <w:rPr>
          <w:rFonts w:hint="cs"/>
          <w:rtl/>
        </w:rPr>
        <w:tab/>
        <w:t xml:space="preserve">أن النطاق </w:t>
      </w:r>
      <w:r>
        <w:t>GHz 38-37,5</w:t>
      </w:r>
      <w:r>
        <w:rPr>
          <w:rFonts w:hint="cs"/>
          <w:rtl/>
        </w:rPr>
        <w:t xml:space="preserve"> تتقاسمه أطراف من بينها الخدمة الثابتة الساتلية (من الأرض إلى الفضاء) والخدمة الثابتة الساتلية (من الفضاء إلى الأرض) بصفة أساسية؛</w:t>
      </w:r>
    </w:p>
    <w:p w14:paraId="2E1FD6B1" w14:textId="77777777" w:rsidR="00FE6709" w:rsidRDefault="00FE6709" w:rsidP="004302E3">
      <w:pPr>
        <w:rPr>
          <w:rtl/>
        </w:rPr>
      </w:pPr>
      <w:r w:rsidRPr="004302E3">
        <w:rPr>
          <w:rFonts w:hint="cs"/>
          <w:i/>
          <w:iCs/>
          <w:rtl/>
        </w:rPr>
        <w:t>د )</w:t>
      </w:r>
      <w:r>
        <w:rPr>
          <w:rFonts w:hint="cs"/>
          <w:rtl/>
        </w:rPr>
        <w:tab/>
        <w:t xml:space="preserve">أن النطاق </w:t>
      </w:r>
      <w:r>
        <w:t>GHz 40,5-40,0</w:t>
      </w:r>
      <w:r>
        <w:rPr>
          <w:rFonts w:hint="cs"/>
          <w:rtl/>
        </w:rPr>
        <w:t xml:space="preserve"> تتقاسمه أطراف من بينها خدمة البحوث الفضائية (من الأرض إلى الفضاء) والخدمة الثابتة الساتلية (من الفضاء إلى الأرض) بصفة أساسية؛</w:t>
      </w:r>
    </w:p>
    <w:p w14:paraId="167C1FDE" w14:textId="77777777" w:rsidR="00FE6709" w:rsidRDefault="00FE6709" w:rsidP="004302E3">
      <w:pPr>
        <w:rPr>
          <w:rtl/>
        </w:rPr>
      </w:pPr>
      <w:r w:rsidRPr="004302E3">
        <w:rPr>
          <w:i/>
          <w:iCs/>
          <w:rtl/>
        </w:rPr>
        <w:t>ﻫ )</w:t>
      </w:r>
      <w:r>
        <w:rPr>
          <w:rtl/>
        </w:rPr>
        <w:tab/>
        <w:t xml:space="preserve">أن </w:t>
      </w:r>
      <w:r>
        <w:rPr>
          <w:rFonts w:hint="cs"/>
          <w:rtl/>
        </w:rPr>
        <w:t xml:space="preserve">استخدام خدمة البحوث الفضائية للنطاق </w:t>
      </w:r>
      <w:r>
        <w:t>GHz 38-37,5</w:t>
      </w:r>
      <w:r>
        <w:rPr>
          <w:rFonts w:hint="cs"/>
          <w:rtl/>
        </w:rPr>
        <w:t xml:space="preserve"> قد يتضمن استقبال إشارات في المحطات الأرضية من محطات مسكونة على سطح القمر ومحطات مسكونة على سطح كوكب، ومن سواتل القياس الفضائي بالتداخل ذي خط الأساس الطويل جداً؛</w:t>
      </w:r>
    </w:p>
    <w:p w14:paraId="32DF39C7" w14:textId="77777777" w:rsidR="00FE6709" w:rsidRDefault="00FE6709" w:rsidP="004302E3">
      <w:pPr>
        <w:rPr>
          <w:rtl/>
        </w:rPr>
      </w:pPr>
      <w:r w:rsidRPr="004302E3">
        <w:rPr>
          <w:rFonts w:hint="cs"/>
          <w:i/>
          <w:iCs/>
          <w:rtl/>
        </w:rPr>
        <w:t>و )</w:t>
      </w:r>
      <w:r>
        <w:rPr>
          <w:rFonts w:hint="cs"/>
          <w:rtl/>
        </w:rPr>
        <w:tab/>
        <w:t xml:space="preserve">أن استخدام خدمة البحوث الفضائية للنطاق </w:t>
      </w:r>
      <w:r>
        <w:t>GHz 40,5-40</w:t>
      </w:r>
      <w:r>
        <w:rPr>
          <w:rFonts w:hint="cs"/>
          <w:rtl/>
        </w:rPr>
        <w:t xml:space="preserve"> قد يتضمن إرسال إشارات من المحطات الأرضية لتستقبلها محطات مسكونة على سطح القمر ومحطات مسكونة على سطح كوكب، وإشارات التحكم من بعد والإشارات المرجعية الدقيقة التي تستخدم من أجل سواتل القياس الفضائي بالتداخل ذي خط الأساس الطويل جداً؛</w:t>
      </w:r>
    </w:p>
    <w:p w14:paraId="38B84EA0" w14:textId="77777777" w:rsidR="00FE6709" w:rsidRDefault="00FE6709" w:rsidP="004302E3">
      <w:pPr>
        <w:rPr>
          <w:rtl/>
        </w:rPr>
      </w:pPr>
      <w:r w:rsidRPr="004302E3">
        <w:rPr>
          <w:rFonts w:hint="cs"/>
          <w:i/>
          <w:iCs/>
          <w:rtl/>
        </w:rPr>
        <w:t>ز )</w:t>
      </w:r>
      <w:r>
        <w:rPr>
          <w:rFonts w:hint="cs"/>
          <w:rtl/>
        </w:rPr>
        <w:tab/>
        <w:t xml:space="preserve">أن من المتوقع إدخال أنظمة سواتل الخدمة الثابتة الساتلية المستقرة بالنسبة إلى الأرض وغير المستقرة بالنسبة إلى الأرض في النطاقين </w:t>
      </w:r>
      <w:r>
        <w:t>GHz 38-37,5</w:t>
      </w:r>
      <w:r>
        <w:rPr>
          <w:rFonts w:hint="cs"/>
          <w:rtl/>
        </w:rPr>
        <w:t xml:space="preserve"> و</w:t>
      </w:r>
      <w:r>
        <w:t>GHz 40,5-40</w:t>
      </w:r>
      <w:r>
        <w:rPr>
          <w:rFonts w:hint="cs"/>
          <w:rtl/>
        </w:rPr>
        <w:t>،</w:t>
      </w:r>
    </w:p>
    <w:p w14:paraId="11AD26F8" w14:textId="77777777" w:rsidR="00FE6709" w:rsidRDefault="00FE6709" w:rsidP="004302E3">
      <w:pPr>
        <w:ind w:left="720"/>
        <w:rPr>
          <w:i/>
          <w:iCs/>
          <w:rtl/>
        </w:rPr>
      </w:pPr>
      <w:r>
        <w:rPr>
          <w:rFonts w:hint="cs"/>
          <w:i/>
          <w:iCs/>
          <w:rtl/>
        </w:rPr>
        <w:t>تقرر</w:t>
      </w:r>
      <w:r>
        <w:rPr>
          <w:rFonts w:hint="cs"/>
          <w:rtl/>
        </w:rPr>
        <w:t xml:space="preserve"> دراسة المسألة التالية</w:t>
      </w:r>
    </w:p>
    <w:p w14:paraId="3ABCBF93" w14:textId="77777777" w:rsidR="00FE6709" w:rsidRDefault="00FE6709" w:rsidP="004302E3">
      <w:pPr>
        <w:rPr>
          <w:rtl/>
        </w:rPr>
      </w:pPr>
      <w:r>
        <w:rPr>
          <w:rFonts w:hint="cs"/>
          <w:rtl/>
        </w:rPr>
        <w:t xml:space="preserve">ما هي المعايير والتقنيات اللازمة لتسهيل التقاسم بين أنظمة تعمل في خدمة البحوث الفضائية والخدمة الثابتة الساتلية في النطاقين </w:t>
      </w:r>
      <w:r>
        <w:t>GHz 38-37,5</w:t>
      </w:r>
      <w:r>
        <w:rPr>
          <w:rFonts w:hint="cs"/>
          <w:rtl/>
        </w:rPr>
        <w:t xml:space="preserve"> و</w:t>
      </w:r>
      <w:r>
        <w:t>GHz 40,5-40</w:t>
      </w:r>
      <w:r>
        <w:rPr>
          <w:rFonts w:hint="cs"/>
          <w:rtl/>
        </w:rPr>
        <w:t>؟</w:t>
      </w:r>
    </w:p>
    <w:p w14:paraId="760E4F2E" w14:textId="77777777" w:rsidR="00FE6709" w:rsidRDefault="00FE6709" w:rsidP="004302E3">
      <w:pPr>
        <w:ind w:left="720"/>
        <w:rPr>
          <w:i/>
          <w:iCs/>
          <w:rtl/>
        </w:rPr>
      </w:pPr>
      <w:r>
        <w:rPr>
          <w:rFonts w:hint="cs"/>
          <w:i/>
          <w:iCs/>
          <w:rtl/>
        </w:rPr>
        <w:t>وتقرر أيضاً</w:t>
      </w:r>
    </w:p>
    <w:p w14:paraId="1E007D51" w14:textId="77777777" w:rsidR="00FE6709" w:rsidRDefault="00FE6709" w:rsidP="004302E3">
      <w:pPr>
        <w:rPr>
          <w:rtl/>
          <w:lang w:bidi="ar-EG"/>
        </w:rPr>
      </w:pPr>
      <w:r>
        <w:rPr>
          <w:lang w:bidi="ar-EG"/>
        </w:rPr>
        <w:t>1</w:t>
      </w:r>
      <w:r>
        <w:rPr>
          <w:rtl/>
          <w:lang w:bidi="ar-EG"/>
        </w:rPr>
        <w:tab/>
        <w:t>أن تدرج نتائج الدراسات سالفة الذكر في توصيات و/أو تقارير مناسبة؛</w:t>
      </w:r>
    </w:p>
    <w:p w14:paraId="13D44B98" w14:textId="3CCD7866" w:rsidR="00FE6709" w:rsidRDefault="00FE6709" w:rsidP="00162810">
      <w:pPr>
        <w:rPr>
          <w:rtl/>
        </w:rPr>
      </w:pPr>
      <w:r>
        <w:rPr>
          <w:lang w:bidi="ar-EG"/>
        </w:rPr>
        <w:t>2</w:t>
      </w:r>
      <w:r>
        <w:rPr>
          <w:rtl/>
          <w:lang w:bidi="ar-EG"/>
        </w:rPr>
        <w:tab/>
        <w:t xml:space="preserve">أنه ينبغي إنجاز الدراسات سالفة الذكر بحلول عام </w:t>
      </w:r>
      <w:r>
        <w:rPr>
          <w:lang w:bidi="ar-EG"/>
        </w:rPr>
        <w:t>202</w:t>
      </w:r>
      <w:bookmarkStart w:id="0" w:name="_GoBack"/>
      <w:bookmarkEnd w:id="0"/>
      <w:r w:rsidR="00247437">
        <w:rPr>
          <w:lang w:bidi="ar-EG"/>
        </w:rPr>
        <w:t>7</w:t>
      </w:r>
      <w:r>
        <w:rPr>
          <w:rtl/>
          <w:lang w:bidi="ar-EG"/>
        </w:rPr>
        <w:t>.</w:t>
      </w:r>
    </w:p>
    <w:p w14:paraId="5264BE6A" w14:textId="77777777" w:rsidR="00FE6709" w:rsidRDefault="00FE6709" w:rsidP="004302E3">
      <w:pPr>
        <w:spacing w:before="240"/>
      </w:pPr>
      <w:r>
        <w:rPr>
          <w:rFonts w:hint="cs"/>
          <w:rtl/>
        </w:rPr>
        <w:t xml:space="preserve">الفئة: </w:t>
      </w:r>
      <w:r>
        <w:t>S2</w:t>
      </w:r>
    </w:p>
    <w:p w14:paraId="67195573" w14:textId="77777777" w:rsidR="00F925E0" w:rsidRPr="00D84A3F" w:rsidRDefault="00F925E0" w:rsidP="00D84A3F"/>
    <w:sectPr w:rsidR="00F925E0" w:rsidRPr="00D84A3F" w:rsidSect="006C3242">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611E1" w14:textId="77777777" w:rsidR="00A12A36" w:rsidRDefault="00A12A36" w:rsidP="006C3242">
      <w:pPr>
        <w:spacing w:before="0" w:line="240" w:lineRule="auto"/>
      </w:pPr>
      <w:r>
        <w:separator/>
      </w:r>
    </w:p>
  </w:endnote>
  <w:endnote w:type="continuationSeparator" w:id="0">
    <w:p w14:paraId="6DA4C314" w14:textId="77777777" w:rsidR="00A12A36" w:rsidRDefault="00A12A36"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24365" w14:textId="77777777" w:rsidR="00716F73" w:rsidRDefault="00716F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13ADF" w14:textId="77777777" w:rsidR="00716F73" w:rsidRDefault="00716F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039EF" w14:textId="77777777" w:rsidR="00716F73" w:rsidRDefault="00716F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C6F12" w14:textId="77777777" w:rsidR="00A12A36" w:rsidRDefault="00A12A36" w:rsidP="006C3242">
      <w:pPr>
        <w:spacing w:before="0" w:line="240" w:lineRule="auto"/>
      </w:pPr>
      <w:r>
        <w:separator/>
      </w:r>
    </w:p>
  </w:footnote>
  <w:footnote w:type="continuationSeparator" w:id="0">
    <w:p w14:paraId="019D5171" w14:textId="77777777" w:rsidR="00A12A36" w:rsidRDefault="00A12A36" w:rsidP="006C3242">
      <w:pPr>
        <w:spacing w:before="0" w:line="240" w:lineRule="auto"/>
      </w:pPr>
      <w:r>
        <w:continuationSeparator/>
      </w:r>
    </w:p>
  </w:footnote>
  <w:footnote w:id="1">
    <w:p w14:paraId="0D24D2BF" w14:textId="77777777" w:rsidR="00FE6709" w:rsidRDefault="00FE6709" w:rsidP="004302E3">
      <w:pPr>
        <w:pStyle w:val="FootnoteText"/>
        <w:ind w:left="340"/>
        <w:rPr>
          <w:rtl/>
        </w:rPr>
      </w:pPr>
      <w:r>
        <w:rPr>
          <w:rStyle w:val="FootnoteReference"/>
          <w:lang w:bidi="ar-EG"/>
        </w:rPr>
        <w:t>*</w:t>
      </w:r>
      <w:r>
        <w:rPr>
          <w:lang w:bidi="ar-EG"/>
        </w:rPr>
        <w:t xml:space="preserve"> </w:t>
      </w:r>
      <w:r>
        <w:rPr>
          <w:rFonts w:hint="cs"/>
          <w:rtl/>
        </w:rPr>
        <w:tab/>
        <w:t xml:space="preserve">ينبغي عرض هذه المسألة على لجان الدراسات </w:t>
      </w:r>
      <w:r>
        <w:rPr>
          <w:lang w:bidi="ar-EG"/>
        </w:rPr>
        <w:t>5</w:t>
      </w:r>
      <w:r>
        <w:rPr>
          <w:rFonts w:hint="cs"/>
          <w:rtl/>
        </w:rPr>
        <w:t xml:space="preserve"> و</w:t>
      </w:r>
      <w:r>
        <w:rPr>
          <w:lang w:bidi="ar-EG"/>
        </w:rPr>
        <w:t>7</w:t>
      </w:r>
      <w:r>
        <w:rPr>
          <w:rFonts w:hint="cs"/>
          <w:rtl/>
        </w:rPr>
        <w:t xml:space="preserve"> للاتصالات الراديوية.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2AF0F" w14:textId="77777777" w:rsidR="00716F73" w:rsidRDefault="00716F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CCF69" w14:textId="03DABE8A" w:rsidR="00447F32" w:rsidRPr="00447F32" w:rsidRDefault="00716F73" w:rsidP="0026373E">
    <w:pPr>
      <w:pStyle w:val="Header"/>
      <w:bidi w:val="0"/>
      <w:spacing w:before="120" w:after="240" w:line="192" w:lineRule="auto"/>
      <w:jc w:val="center"/>
      <w:rPr>
        <w:rFonts w:cs="Calibri"/>
        <w:sz w:val="20"/>
        <w:szCs w:val="20"/>
      </w:rPr>
    </w:pPr>
    <w:r>
      <w:t>-</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Pr>
            <w:rFonts w:cs="Calibri"/>
            <w:noProof/>
            <w:sz w:val="20"/>
            <w:szCs w:val="20"/>
          </w:rPr>
          <w:t>-</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027AB" w14:textId="77777777" w:rsidR="00716F73" w:rsidRDefault="00716F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5E0"/>
    <w:rsid w:val="0006468A"/>
    <w:rsid w:val="00090574"/>
    <w:rsid w:val="000C1C0E"/>
    <w:rsid w:val="000C548A"/>
    <w:rsid w:val="00156F48"/>
    <w:rsid w:val="001B5269"/>
    <w:rsid w:val="001C0169"/>
    <w:rsid w:val="001D1D50"/>
    <w:rsid w:val="001D6745"/>
    <w:rsid w:val="001E02A3"/>
    <w:rsid w:val="001E446E"/>
    <w:rsid w:val="002154EE"/>
    <w:rsid w:val="002276D2"/>
    <w:rsid w:val="0023283D"/>
    <w:rsid w:val="00241F62"/>
    <w:rsid w:val="00247437"/>
    <w:rsid w:val="0026373E"/>
    <w:rsid w:val="00271C43"/>
    <w:rsid w:val="00290728"/>
    <w:rsid w:val="002978F4"/>
    <w:rsid w:val="002B028D"/>
    <w:rsid w:val="002E6541"/>
    <w:rsid w:val="00334924"/>
    <w:rsid w:val="003409BC"/>
    <w:rsid w:val="00357185"/>
    <w:rsid w:val="00383829"/>
    <w:rsid w:val="003F4B29"/>
    <w:rsid w:val="0042686F"/>
    <w:rsid w:val="004317D8"/>
    <w:rsid w:val="00434183"/>
    <w:rsid w:val="00443869"/>
    <w:rsid w:val="00447F32"/>
    <w:rsid w:val="004E11DC"/>
    <w:rsid w:val="00525DDD"/>
    <w:rsid w:val="005409AC"/>
    <w:rsid w:val="0055516A"/>
    <w:rsid w:val="0058491B"/>
    <w:rsid w:val="00592EA5"/>
    <w:rsid w:val="00596822"/>
    <w:rsid w:val="005A3170"/>
    <w:rsid w:val="0066792E"/>
    <w:rsid w:val="00677396"/>
    <w:rsid w:val="0069200F"/>
    <w:rsid w:val="006A65CB"/>
    <w:rsid w:val="006C3242"/>
    <w:rsid w:val="006C7CC0"/>
    <w:rsid w:val="006F63F7"/>
    <w:rsid w:val="007025C7"/>
    <w:rsid w:val="00706D7A"/>
    <w:rsid w:val="00716F73"/>
    <w:rsid w:val="00722F0D"/>
    <w:rsid w:val="0074420E"/>
    <w:rsid w:val="00772253"/>
    <w:rsid w:val="00783E26"/>
    <w:rsid w:val="007C26C9"/>
    <w:rsid w:val="007C3BC7"/>
    <w:rsid w:val="007C3BCD"/>
    <w:rsid w:val="007D4ACF"/>
    <w:rsid w:val="007F0787"/>
    <w:rsid w:val="00806DD9"/>
    <w:rsid w:val="00810B7B"/>
    <w:rsid w:val="0082358A"/>
    <w:rsid w:val="008235CD"/>
    <w:rsid w:val="008247DE"/>
    <w:rsid w:val="008339C0"/>
    <w:rsid w:val="00840B10"/>
    <w:rsid w:val="008513CB"/>
    <w:rsid w:val="008A7F84"/>
    <w:rsid w:val="0091702E"/>
    <w:rsid w:val="00923B0C"/>
    <w:rsid w:val="0094021C"/>
    <w:rsid w:val="00952F86"/>
    <w:rsid w:val="00982B28"/>
    <w:rsid w:val="00991F70"/>
    <w:rsid w:val="009D313F"/>
    <w:rsid w:val="00A12A36"/>
    <w:rsid w:val="00A47A5A"/>
    <w:rsid w:val="00A6683B"/>
    <w:rsid w:val="00A703C0"/>
    <w:rsid w:val="00A97F94"/>
    <w:rsid w:val="00AA7EA2"/>
    <w:rsid w:val="00AF0607"/>
    <w:rsid w:val="00B03099"/>
    <w:rsid w:val="00B05BC8"/>
    <w:rsid w:val="00B64B47"/>
    <w:rsid w:val="00C002DE"/>
    <w:rsid w:val="00C53BF8"/>
    <w:rsid w:val="00C66157"/>
    <w:rsid w:val="00C674FE"/>
    <w:rsid w:val="00C67501"/>
    <w:rsid w:val="00C75633"/>
    <w:rsid w:val="00C913BB"/>
    <w:rsid w:val="00CE2EE1"/>
    <w:rsid w:val="00CE3349"/>
    <w:rsid w:val="00CE36E5"/>
    <w:rsid w:val="00CF27F5"/>
    <w:rsid w:val="00CF3FFD"/>
    <w:rsid w:val="00D10CCF"/>
    <w:rsid w:val="00D77D0F"/>
    <w:rsid w:val="00D84A3F"/>
    <w:rsid w:val="00DA1CF0"/>
    <w:rsid w:val="00DC1E02"/>
    <w:rsid w:val="00DC24B4"/>
    <w:rsid w:val="00DC5FB0"/>
    <w:rsid w:val="00DD76F0"/>
    <w:rsid w:val="00DF16DC"/>
    <w:rsid w:val="00E45211"/>
    <w:rsid w:val="00E473C5"/>
    <w:rsid w:val="00E61BE8"/>
    <w:rsid w:val="00E92863"/>
    <w:rsid w:val="00EB796D"/>
    <w:rsid w:val="00F058DC"/>
    <w:rsid w:val="00F24FC4"/>
    <w:rsid w:val="00F2676C"/>
    <w:rsid w:val="00F84366"/>
    <w:rsid w:val="00F85089"/>
    <w:rsid w:val="00F925E0"/>
    <w:rsid w:val="00F974C5"/>
    <w:rsid w:val="00FA6F46"/>
    <w:rsid w:val="00FC4592"/>
    <w:rsid w:val="00FE5872"/>
    <w:rsid w:val="00FE6709"/>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DA317"/>
  <w15:chartTrackingRefBased/>
  <w15:docId w15:val="{BAAE3736-94F5-4C77-A4E7-314F323F2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AF0607"/>
    <w:rPr>
      <w:sz w:val="28"/>
      <w:szCs w:val="28"/>
    </w:rPr>
  </w:style>
  <w:style w:type="paragraph" w:customStyle="1" w:styleId="Annextitle">
    <w:name w:val="Annex title"/>
    <w:basedOn w:val="AnnexNo"/>
    <w:qFormat/>
    <w:rsid w:val="00F974C5"/>
    <w:pPr>
      <w:keepNext/>
      <w:keepLines/>
      <w:spacing w:before="120" w:after="360"/>
    </w:pPr>
    <w:rPr>
      <w:b/>
      <w:bCs/>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nhideWhenUsed/>
    <w:qFormat/>
    <w:rsid w:val="002E6541"/>
    <w:pPr>
      <w:spacing w:before="60" w:line="168" w:lineRule="auto"/>
    </w:pPr>
    <w:rPr>
      <w:sz w:val="20"/>
      <w:szCs w:val="26"/>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nhideWhenUsed/>
    <w:qFormat/>
    <w:rsid w:val="00F925E0"/>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806DD9"/>
    <w:pPr>
      <w:tabs>
        <w:tab w:val="clear" w:pos="794"/>
        <w:tab w:val="left" w:pos="397"/>
      </w:tabs>
      <w:spacing w:before="60" w:line="168" w:lineRule="auto"/>
      <w:ind w:left="397" w:hanging="397"/>
    </w:pPr>
    <w:rPr>
      <w:sz w:val="18"/>
      <w:szCs w:val="18"/>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QuestionNo">
    <w:name w:val="Question_No"/>
    <w:basedOn w:val="AnnexNo"/>
    <w:qFormat/>
    <w:rsid w:val="00AF0607"/>
    <w:rPr>
      <w:lang w:bidi="ar-EG"/>
    </w:rPr>
  </w:style>
  <w:style w:type="paragraph" w:customStyle="1" w:styleId="Questiontitle">
    <w:name w:val="Question_title"/>
    <w:basedOn w:val="Annextitle"/>
    <w:link w:val="QuestiontitleChar"/>
    <w:qFormat/>
    <w:rsid w:val="00F925E0"/>
  </w:style>
  <w:style w:type="paragraph" w:customStyle="1" w:styleId="Questiondate">
    <w:name w:val="Question_date"/>
    <w:basedOn w:val="Normal"/>
    <w:qFormat/>
    <w:rsid w:val="00772253"/>
    <w:pPr>
      <w:jc w:val="right"/>
    </w:pPr>
  </w:style>
  <w:style w:type="paragraph" w:customStyle="1" w:styleId="Normalaftertitle0">
    <w:name w:val="Normal_after_title"/>
    <w:basedOn w:val="Normal"/>
    <w:next w:val="Normal"/>
    <w:rsid w:val="00F925E0"/>
    <w:pPr>
      <w:tabs>
        <w:tab w:val="left" w:pos="1191"/>
        <w:tab w:val="left" w:pos="1588"/>
        <w:tab w:val="left" w:pos="1985"/>
      </w:tabs>
      <w:overflowPunct w:val="0"/>
      <w:autoSpaceDE w:val="0"/>
      <w:autoSpaceDN w:val="0"/>
      <w:adjustRightInd w:val="0"/>
      <w:spacing w:before="360"/>
      <w:textAlignment w:val="baseline"/>
    </w:pPr>
    <w:rPr>
      <w:rFonts w:ascii="Times New Roman" w:eastAsia="Times New Roman" w:hAnsi="Times New Roman" w:cs="Traditional Arabic"/>
      <w:szCs w:val="30"/>
      <w:lang w:val="en-GB" w:eastAsia="en-US"/>
    </w:rPr>
  </w:style>
  <w:style w:type="character" w:customStyle="1" w:styleId="CallChar">
    <w:name w:val="Call Char"/>
    <w:basedOn w:val="DefaultParagraphFont"/>
    <w:link w:val="Call"/>
    <w:rsid w:val="00F925E0"/>
    <w:rPr>
      <w:rFonts w:ascii="Dubai" w:hAnsi="Dubai" w:cs="Dubai"/>
      <w:i/>
      <w:iCs/>
    </w:rPr>
  </w:style>
  <w:style w:type="character" w:customStyle="1" w:styleId="QuestiontitleChar">
    <w:name w:val="Question_title Char"/>
    <w:basedOn w:val="DefaultParagraphFont"/>
    <w:link w:val="Questiontitle"/>
    <w:uiPriority w:val="99"/>
    <w:rsid w:val="00F925E0"/>
    <w:rPr>
      <w:rFonts w:ascii="Dubai" w:hAnsi="Dubai" w:cs="Dubai"/>
      <w:b/>
      <w:bCs/>
      <w:sz w:val="28"/>
      <w:szCs w:val="28"/>
      <w:lang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3\PA_Clean%20Template%20(Dubai%20fo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PA_Clean Template (Dubai font).dotx</Template>
  <TotalTime>1</TotalTime>
  <Pages>1</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Arabic_GE</dc:creator>
  <cp:keywords/>
  <dc:description/>
  <cp:lastModifiedBy>Fernandez Jimenez, Virginia</cp:lastModifiedBy>
  <cp:revision>3</cp:revision>
  <dcterms:created xsi:type="dcterms:W3CDTF">2024-01-29T15:30:00Z</dcterms:created>
  <dcterms:modified xsi:type="dcterms:W3CDTF">2024-01-29T15:31:00Z</dcterms:modified>
</cp:coreProperties>
</file>