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0BAC" w14:textId="77777777" w:rsidR="00F83F88" w:rsidRDefault="00F83F88" w:rsidP="00D2543D">
      <w:pPr>
        <w:pStyle w:val="RecNo"/>
      </w:pPr>
      <w:r>
        <w:t>cuestión uit-r 271/4</w:t>
      </w:r>
    </w:p>
    <w:p w14:paraId="7B58A850" w14:textId="77777777" w:rsidR="00F83F88" w:rsidRDefault="00F83F88" w:rsidP="00D2543D">
      <w:pPr>
        <w:pStyle w:val="Rectitle"/>
      </w:pPr>
      <w:r>
        <w:t xml:space="preserve">Interferencia entre portadoras del servicio de periodismo electrónico </w:t>
      </w:r>
      <w:r>
        <w:br/>
        <w:t>por satélite (</w:t>
      </w:r>
      <w:proofErr w:type="spellStart"/>
      <w:r>
        <w:t>SNG</w:t>
      </w:r>
      <w:proofErr w:type="spellEnd"/>
      <w:r>
        <w:t>) a causa de acceso involuntario</w:t>
      </w:r>
    </w:p>
    <w:p w14:paraId="133DF54F" w14:textId="77777777" w:rsidR="00F83F88" w:rsidRPr="00D2543D" w:rsidRDefault="00F83F88" w:rsidP="00D2543D">
      <w:pPr>
        <w:pStyle w:val="QuestionTitleDate"/>
        <w:rPr>
          <w:sz w:val="22"/>
          <w:lang w:val="es-ES_tradnl"/>
        </w:rPr>
      </w:pPr>
      <w:r w:rsidRPr="00D2543D">
        <w:rPr>
          <w:sz w:val="22"/>
          <w:lang w:val="es-ES_tradnl"/>
        </w:rPr>
        <w:t>(2005)</w:t>
      </w:r>
    </w:p>
    <w:p w14:paraId="4AF88F12" w14:textId="77777777" w:rsidR="00F83F88" w:rsidRDefault="00F83F88" w:rsidP="0093579F">
      <w:pPr>
        <w:pStyle w:val="Normalaftertitle"/>
        <w:jc w:val="both"/>
      </w:pPr>
      <w:r>
        <w:t>La Asamblea de Radiocomunicaciones,</w:t>
      </w:r>
    </w:p>
    <w:p w14:paraId="3C95884C" w14:textId="77777777" w:rsidR="00F83F88" w:rsidRDefault="00F83F88" w:rsidP="0093579F">
      <w:pPr>
        <w:pStyle w:val="Call"/>
        <w:jc w:val="both"/>
      </w:pPr>
      <w:r>
        <w:t>considerando</w:t>
      </w:r>
    </w:p>
    <w:p w14:paraId="4F9A8E85" w14:textId="77777777" w:rsidR="00F83F88" w:rsidRDefault="00F83F88" w:rsidP="0093579F">
      <w:pPr>
        <w:jc w:val="both"/>
      </w:pPr>
      <w:bookmarkStart w:id="0" w:name="_GoBack"/>
      <w:r w:rsidRPr="00D2543D">
        <w:rPr>
          <w:i/>
          <w:iCs/>
        </w:rPr>
        <w:t>a)</w:t>
      </w:r>
      <w:r>
        <w:tab/>
        <w:t>que se ofrecen servicios de periodismo electrónico por satélite (</w:t>
      </w:r>
      <w:proofErr w:type="spellStart"/>
      <w:r>
        <w:t>SNG</w:t>
      </w:r>
      <w:proofErr w:type="spellEnd"/>
      <w:r>
        <w:t>) a través de varios satélites de radiocomunicaciones;</w:t>
      </w:r>
    </w:p>
    <w:p w14:paraId="775A6605" w14:textId="77777777" w:rsidR="00F83F88" w:rsidRDefault="00F83F88" w:rsidP="0093579F">
      <w:pPr>
        <w:jc w:val="both"/>
      </w:pPr>
      <w:r w:rsidRPr="00D2543D">
        <w:rPr>
          <w:i/>
          <w:iCs/>
        </w:rPr>
        <w:t>b)</w:t>
      </w:r>
      <w:r>
        <w:tab/>
        <w:t>que la utilización del periodismo electrónico por satélite se está extendiendo en todo el mundo;</w:t>
      </w:r>
    </w:p>
    <w:p w14:paraId="6208C89F" w14:textId="77777777" w:rsidR="00F83F88" w:rsidRDefault="00F83F88" w:rsidP="0093579F">
      <w:pPr>
        <w:jc w:val="both"/>
      </w:pPr>
      <w:r w:rsidRPr="00D2543D">
        <w:rPr>
          <w:i/>
          <w:iCs/>
        </w:rPr>
        <w:t>c)</w:t>
      </w:r>
      <w:r>
        <w:tab/>
        <w:t>que la proliferación del uso de estaciones de </w:t>
      </w:r>
      <w:proofErr w:type="spellStart"/>
      <w:r>
        <w:t>SNG</w:t>
      </w:r>
      <w:proofErr w:type="spellEnd"/>
      <w:r>
        <w:t xml:space="preserve"> ha provocado un aumento de interferencia involuntaria causada a otros usuarios de satélites;</w:t>
      </w:r>
    </w:p>
    <w:p w14:paraId="060570E1" w14:textId="77777777" w:rsidR="00F83F88" w:rsidRDefault="00F83F88" w:rsidP="0093579F">
      <w:pPr>
        <w:jc w:val="both"/>
      </w:pPr>
      <w:r w:rsidRPr="00D2543D">
        <w:rPr>
          <w:i/>
          <w:iCs/>
        </w:rPr>
        <w:t>d)</w:t>
      </w:r>
      <w:r>
        <w:tab/>
        <w:t>que no todos los operadores de </w:t>
      </w:r>
      <w:proofErr w:type="spellStart"/>
      <w:r>
        <w:t>SNG</w:t>
      </w:r>
      <w:proofErr w:type="spellEnd"/>
      <w:r>
        <w:t xml:space="preserve"> aplican los mismos procedimientos para acceder al satélite;</w:t>
      </w:r>
    </w:p>
    <w:p w14:paraId="19C8178C" w14:textId="77777777" w:rsidR="00F83F88" w:rsidRDefault="00F83F88" w:rsidP="0093579F">
      <w:pPr>
        <w:jc w:val="both"/>
      </w:pPr>
      <w:r w:rsidRPr="00D2543D">
        <w:rPr>
          <w:i/>
          <w:iCs/>
        </w:rPr>
        <w:t>e)</w:t>
      </w:r>
      <w:r>
        <w:tab/>
        <w:t xml:space="preserve">el origen de las portadoras interferentes del servicio de </w:t>
      </w:r>
      <w:proofErr w:type="spellStart"/>
      <w:r>
        <w:t>SNG</w:t>
      </w:r>
      <w:proofErr w:type="spellEnd"/>
      <w:r>
        <w:t xml:space="preserve"> es difícil de identificar,</w:t>
      </w:r>
    </w:p>
    <w:p w14:paraId="2C3C04FE" w14:textId="77777777" w:rsidR="00F83F88" w:rsidRDefault="00F83F88" w:rsidP="0093579F">
      <w:pPr>
        <w:pStyle w:val="Call"/>
        <w:jc w:val="both"/>
        <w:rPr>
          <w:i w:val="0"/>
        </w:rPr>
      </w:pPr>
      <w:r>
        <w:t xml:space="preserve">decide </w:t>
      </w:r>
      <w:r>
        <w:rPr>
          <w:i w:val="0"/>
        </w:rPr>
        <w:t>poner a estudio las siguientes Cuestiones</w:t>
      </w:r>
    </w:p>
    <w:p w14:paraId="1598416B" w14:textId="77777777" w:rsidR="00F83F88" w:rsidRDefault="00F83F88" w:rsidP="0093579F">
      <w:pPr>
        <w:jc w:val="both"/>
      </w:pPr>
      <w:r w:rsidRPr="00D2543D">
        <w:rPr>
          <w:bCs/>
        </w:rPr>
        <w:t>1</w:t>
      </w:r>
      <w:r>
        <w:tab/>
        <w:t>¿Qué conjunto de procedimientos de acceso recomendados pueden utilizar los operadores de </w:t>
      </w:r>
      <w:proofErr w:type="spellStart"/>
      <w:r>
        <w:t>SNG</w:t>
      </w:r>
      <w:proofErr w:type="spellEnd"/>
      <w:r>
        <w:t>?</w:t>
      </w:r>
    </w:p>
    <w:p w14:paraId="0D1261BE" w14:textId="77777777" w:rsidR="00F83F88" w:rsidRDefault="00F83F88" w:rsidP="0093579F">
      <w:pPr>
        <w:jc w:val="both"/>
      </w:pPr>
      <w:r w:rsidRPr="00D2543D">
        <w:rPr>
          <w:bCs/>
        </w:rPr>
        <w:t>2</w:t>
      </w:r>
      <w:r>
        <w:tab/>
        <w:t>¿Qué tipo de identificación de portadora puede incorporarse de manera económica a la portadora digital?</w:t>
      </w:r>
    </w:p>
    <w:p w14:paraId="153C6E86" w14:textId="20D5E5D9" w:rsidR="00F83F88" w:rsidRDefault="00F83F88" w:rsidP="0093579F">
      <w:pPr>
        <w:jc w:val="both"/>
      </w:pPr>
      <w:r w:rsidRPr="00D2543D">
        <w:rPr>
          <w:bCs/>
        </w:rPr>
        <w:t>3</w:t>
      </w:r>
      <w:r>
        <w:tab/>
        <w:t>¿Qué cursillo o material de capacitación sería adecuado para los operadores de</w:t>
      </w:r>
      <w:r w:rsidR="0093579F">
        <w:t xml:space="preserve"> </w:t>
      </w:r>
      <w:proofErr w:type="spellStart"/>
      <w:r>
        <w:t>SNG</w:t>
      </w:r>
      <w:proofErr w:type="spellEnd"/>
      <w:r>
        <w:t>?</w:t>
      </w:r>
    </w:p>
    <w:p w14:paraId="4A68BC82" w14:textId="77777777" w:rsidR="00F83F88" w:rsidRDefault="00F83F88" w:rsidP="0093579F">
      <w:pPr>
        <w:pStyle w:val="Call"/>
        <w:jc w:val="both"/>
      </w:pPr>
      <w:r>
        <w:t>decide también</w:t>
      </w:r>
    </w:p>
    <w:p w14:paraId="2F14990D" w14:textId="77777777" w:rsidR="00F83F88" w:rsidRDefault="00F83F88" w:rsidP="0093579F">
      <w:pPr>
        <w:jc w:val="both"/>
      </w:pPr>
      <w:r w:rsidRPr="00250D17">
        <w:rPr>
          <w:bCs/>
        </w:rPr>
        <w:t>1</w:t>
      </w:r>
      <w:r>
        <w:tab/>
        <w:t>que los resultados de estos estudios se incluyan en Recomendaciones y/o Informes apropiados;</w:t>
      </w:r>
    </w:p>
    <w:p w14:paraId="444048B0" w14:textId="005E5DD6" w:rsidR="00F83F88" w:rsidRDefault="00F83F88" w:rsidP="0093579F">
      <w:pPr>
        <w:jc w:val="both"/>
      </w:pPr>
      <w:r w:rsidRPr="00250D17">
        <w:rPr>
          <w:bCs/>
        </w:rPr>
        <w:t>2</w:t>
      </w:r>
      <w:r>
        <w:rPr>
          <w:b/>
        </w:rPr>
        <w:tab/>
      </w:r>
      <w:r>
        <w:t>que dichos estudios se terminen en 202</w:t>
      </w:r>
      <w:r w:rsidR="0093579F">
        <w:t>5</w:t>
      </w:r>
      <w:r>
        <w:t xml:space="preserve"> como muy tarde.</w:t>
      </w:r>
    </w:p>
    <w:p w14:paraId="71314DEB" w14:textId="77777777" w:rsidR="00F83F88" w:rsidRDefault="00F83F88" w:rsidP="0093579F">
      <w:pPr>
        <w:pStyle w:val="Normalaftertitle"/>
        <w:jc w:val="both"/>
      </w:pPr>
      <w:r>
        <w:t xml:space="preserve">Categoría: </w:t>
      </w:r>
      <w:proofErr w:type="spellStart"/>
      <w:r>
        <w:t>S1</w:t>
      </w:r>
      <w:proofErr w:type="spellEnd"/>
    </w:p>
    <w:bookmarkEnd w:id="0"/>
    <w:p w14:paraId="3E945FE3" w14:textId="77777777" w:rsidR="00860893" w:rsidRDefault="00860893" w:rsidP="00572779"/>
    <w:sectPr w:rsidR="00860893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105A36"/>
    <w:rsid w:val="00134DE9"/>
    <w:rsid w:val="00344C92"/>
    <w:rsid w:val="004649CF"/>
    <w:rsid w:val="005036A8"/>
    <w:rsid w:val="00516A17"/>
    <w:rsid w:val="00525CEE"/>
    <w:rsid w:val="00572779"/>
    <w:rsid w:val="005A42D2"/>
    <w:rsid w:val="005B70A0"/>
    <w:rsid w:val="005D4A50"/>
    <w:rsid w:val="00667028"/>
    <w:rsid w:val="00677A46"/>
    <w:rsid w:val="006F778B"/>
    <w:rsid w:val="007B13A4"/>
    <w:rsid w:val="00860893"/>
    <w:rsid w:val="0093579F"/>
    <w:rsid w:val="009D1DC3"/>
    <w:rsid w:val="009E2590"/>
    <w:rsid w:val="00A127AD"/>
    <w:rsid w:val="00A31D52"/>
    <w:rsid w:val="00B966F9"/>
    <w:rsid w:val="00C049E0"/>
    <w:rsid w:val="00D33365"/>
    <w:rsid w:val="00E302E3"/>
    <w:rsid w:val="00F83F88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character" w:customStyle="1" w:styleId="NormalaftertitleChar">
    <w:name w:val="Normal_after_title Char"/>
    <w:basedOn w:val="DefaultParagraphFont"/>
    <w:link w:val="Normalaftertitle"/>
    <w:rsid w:val="00F83F88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F83F88"/>
    <w:rPr>
      <w:rFonts w:ascii="Times New Roman" w:hAnsi="Times New Roman"/>
      <w:i/>
      <w:sz w:val="24"/>
      <w:lang w:val="es-ES_tradnl" w:eastAsia="en-US"/>
    </w:rPr>
  </w:style>
  <w:style w:type="paragraph" w:customStyle="1" w:styleId="QuestionTitleDate">
    <w:name w:val="Question_Title/Date"/>
    <w:basedOn w:val="Normal"/>
    <w:next w:val="Normal"/>
    <w:rsid w:val="00F83F88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1</TotalTime>
  <Pages>1</Pages>
  <Words>193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Fernandez Jimenez, Virginia</cp:lastModifiedBy>
  <cp:revision>3</cp:revision>
  <cp:lastPrinted>2008-02-21T14:04:00Z</cp:lastPrinted>
  <dcterms:created xsi:type="dcterms:W3CDTF">2024-01-29T15:22:00Z</dcterms:created>
  <dcterms:modified xsi:type="dcterms:W3CDTF">2024-01-29T15:22:00Z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