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43D8" w14:textId="77777777" w:rsidR="009F4D27" w:rsidRDefault="009F4D27" w:rsidP="00477A86">
      <w:pPr>
        <w:pStyle w:val="QuestionNoBR"/>
      </w:pPr>
      <w:r>
        <w:t>Cuestión UIT-R 264/4</w:t>
      </w:r>
    </w:p>
    <w:p w14:paraId="3F1598F9" w14:textId="77777777" w:rsidR="009F4D27" w:rsidRDefault="009F4D27" w:rsidP="00477A86">
      <w:pPr>
        <w:pStyle w:val="Questiontitle"/>
      </w:pPr>
      <w:r>
        <w:t>Características técnicas y operacionales de las redes del servicio fijo</w:t>
      </w:r>
      <w:r>
        <w:br/>
        <w:t>por satélite que funcionan por encima de 275 GHz</w:t>
      </w:r>
      <w:r>
        <w:rPr>
          <w:rStyle w:val="FootnoteReference"/>
          <w:caps/>
        </w:rPr>
        <w:footnoteReference w:customMarkFollows="1" w:id="1"/>
        <w:t>*</w:t>
      </w:r>
    </w:p>
    <w:p w14:paraId="3A9A6AB0" w14:textId="77777777" w:rsidR="009F4D27" w:rsidRDefault="009F4D27" w:rsidP="00477A86">
      <w:pPr>
        <w:pStyle w:val="Questiondate"/>
      </w:pPr>
      <w:r>
        <w:t>(2000)</w:t>
      </w:r>
    </w:p>
    <w:p w14:paraId="50FBC0CC" w14:textId="77777777" w:rsidR="009F4D27" w:rsidRDefault="009F4D27" w:rsidP="00F95491">
      <w:pPr>
        <w:pStyle w:val="Normalaftertitle0"/>
        <w:jc w:val="both"/>
      </w:pPr>
      <w:bookmarkStart w:id="0" w:name="dstart"/>
      <w:bookmarkEnd w:id="0"/>
      <w:r>
        <w:t>La Asamblea de Radiocomunicaciones,</w:t>
      </w:r>
    </w:p>
    <w:p w14:paraId="65202A4C" w14:textId="77777777" w:rsidR="009F4D27" w:rsidRDefault="009F4D27" w:rsidP="00F95491">
      <w:pPr>
        <w:pStyle w:val="Call"/>
        <w:jc w:val="both"/>
      </w:pPr>
      <w:r>
        <w:t>considerando</w:t>
      </w:r>
    </w:p>
    <w:p w14:paraId="1E039DCC" w14:textId="77777777" w:rsidR="009F4D27" w:rsidRDefault="009F4D27" w:rsidP="00F95491">
      <w:pPr>
        <w:jc w:val="both"/>
      </w:pPr>
      <w:r w:rsidRPr="00477A86">
        <w:rPr>
          <w:i/>
          <w:iCs/>
        </w:rPr>
        <w:t>a)</w:t>
      </w:r>
      <w:r>
        <w:tab/>
        <w:t>que en muchas bandas de frecuencia el espectro utilizado para las radiocomunicaciones espaciales está cada vez más congestionado y se prevé que este problema se agudice en el futuro;</w:t>
      </w:r>
    </w:p>
    <w:p w14:paraId="0BC95C13" w14:textId="77777777" w:rsidR="009F4D27" w:rsidRDefault="009F4D27" w:rsidP="00F95491">
      <w:pPr>
        <w:jc w:val="both"/>
      </w:pPr>
      <w:r w:rsidRPr="00477A86">
        <w:rPr>
          <w:i/>
          <w:iCs/>
        </w:rPr>
        <w:t>b)</w:t>
      </w:r>
      <w:r>
        <w:tab/>
        <w:t>que se están utilizando enlaces de telecomunicaciones o está planificada su utilización en ciertos sistemas de satélites para las comunicaciones entre satélites en frecuencias superiores a 275 GHz;</w:t>
      </w:r>
    </w:p>
    <w:p w14:paraId="46DE0AE3" w14:textId="77777777" w:rsidR="009F4D27" w:rsidRDefault="009F4D27" w:rsidP="00F95491">
      <w:pPr>
        <w:jc w:val="both"/>
      </w:pPr>
      <w:r w:rsidRPr="00477A86">
        <w:rPr>
          <w:i/>
          <w:iCs/>
        </w:rPr>
        <w:t>c)</w:t>
      </w:r>
      <w:r>
        <w:tab/>
        <w:t>que se está examinando la viabilidad de los enlaces de telecomunicaciones que funcionan por encima de 275 GHz (espacio-Tierra y Tierra-espacio);</w:t>
      </w:r>
    </w:p>
    <w:p w14:paraId="4F5472F7" w14:textId="77777777" w:rsidR="009F4D27" w:rsidRDefault="009F4D27" w:rsidP="00F95491">
      <w:pPr>
        <w:jc w:val="both"/>
      </w:pPr>
      <w:r w:rsidRPr="00477A86">
        <w:rPr>
          <w:i/>
          <w:iCs/>
        </w:rPr>
        <w:t>d)</w:t>
      </w:r>
      <w:r>
        <w:tab/>
        <w:t>que no se excluye la posibilidad de la compartición entre servicios en frecuencias superiores a 275 GHz;</w:t>
      </w:r>
    </w:p>
    <w:p w14:paraId="75CB5906" w14:textId="77777777" w:rsidR="009F4D27" w:rsidRDefault="009F4D27" w:rsidP="00F95491">
      <w:pPr>
        <w:jc w:val="both"/>
      </w:pPr>
      <w:r w:rsidRPr="00477A86">
        <w:rPr>
          <w:i/>
          <w:iCs/>
        </w:rPr>
        <w:t>e)</w:t>
      </w:r>
      <w:r>
        <w:tab/>
        <w:t xml:space="preserve">que la Comisión Electrotécnica Internacional (IEC) y el American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(ANSI) han realizado muchas investigaciones y establecido normas sobre los riesgos de la radiación en frecuencias superiores a 275 GHz, como queda consignado, respectivamente, en las normas IEC 60825-1 y ANSI </w:t>
      </w:r>
      <w:proofErr w:type="spellStart"/>
      <w:r>
        <w:t>Z136.1</w:t>
      </w:r>
      <w:proofErr w:type="spellEnd"/>
      <w:r>
        <w:noBreakHyphen/>
        <w:t>1993;</w:t>
      </w:r>
    </w:p>
    <w:p w14:paraId="15233F95" w14:textId="77777777" w:rsidR="009F4D27" w:rsidRDefault="009F4D27" w:rsidP="00F95491">
      <w:pPr>
        <w:jc w:val="both"/>
      </w:pPr>
      <w:r w:rsidRPr="00477A86">
        <w:rPr>
          <w:i/>
          <w:iCs/>
        </w:rPr>
        <w:t>f)</w:t>
      </w:r>
      <w:r>
        <w:tab/>
        <w:t>que el examen de Cuestiones por parte de las Comisiones de Estudio de Radiocomunicaciones se centra, entre otras cosas, en lo siguiente:</w:t>
      </w:r>
    </w:p>
    <w:p w14:paraId="044AE91C" w14:textId="77777777" w:rsidR="009F4D27" w:rsidRDefault="009F4D27" w:rsidP="00F95491">
      <w:pPr>
        <w:pStyle w:val="enumlev1"/>
        <w:jc w:val="both"/>
      </w:pPr>
      <w:r>
        <w:t>–</w:t>
      </w:r>
      <w:r>
        <w:tab/>
        <w:t>la utilización del espectro de radiofrecuencias en las radiocomunicaciones espaciales;</w:t>
      </w:r>
    </w:p>
    <w:p w14:paraId="48DD9091" w14:textId="77777777" w:rsidR="009F4D27" w:rsidRDefault="009F4D27" w:rsidP="00F95491">
      <w:pPr>
        <w:pStyle w:val="enumlev1"/>
        <w:jc w:val="both"/>
      </w:pPr>
      <w:r>
        <w:t>–</w:t>
      </w:r>
      <w:r>
        <w:tab/>
        <w:t>las características y calidad de funcionamiento de los sistemas radioeléctricos;</w:t>
      </w:r>
    </w:p>
    <w:p w14:paraId="76FFE9C2" w14:textId="77777777" w:rsidR="009F4D27" w:rsidRDefault="009F4D27" w:rsidP="00F95491">
      <w:pPr>
        <w:pStyle w:val="enumlev1"/>
        <w:jc w:val="both"/>
      </w:pPr>
      <w:r>
        <w:t>–</w:t>
      </w:r>
      <w:r>
        <w:tab/>
        <w:t>la explotación de los sistemas radioeléctricos,</w:t>
      </w:r>
    </w:p>
    <w:p w14:paraId="52B7A492" w14:textId="77777777" w:rsidR="009F4D27" w:rsidRDefault="009F4D27" w:rsidP="00F95491">
      <w:pPr>
        <w:pStyle w:val="Call"/>
        <w:jc w:val="both"/>
        <w:rPr>
          <w:i w:val="0"/>
          <w:iCs/>
        </w:rPr>
      </w:pPr>
      <w:r>
        <w:t>decide</w:t>
      </w:r>
      <w:r>
        <w:rPr>
          <w:i w:val="0"/>
          <w:iCs/>
        </w:rPr>
        <w:t xml:space="preserve"> poner en estudio las siguientes Cuestiones</w:t>
      </w:r>
    </w:p>
    <w:p w14:paraId="6A3160DC" w14:textId="77777777" w:rsidR="009F4D27" w:rsidRDefault="009F4D27" w:rsidP="00F95491">
      <w:pPr>
        <w:jc w:val="both"/>
      </w:pPr>
      <w:r w:rsidRPr="00477A86">
        <w:t>1</w:t>
      </w:r>
      <w:r>
        <w:rPr>
          <w:b/>
          <w:bCs/>
        </w:rPr>
        <w:tab/>
      </w:r>
      <w:r>
        <w:t>¿Cuáles son las características técnicas y operacionales de los enlaces Tierra-espacio, espacio-Tierra y espacio</w:t>
      </w:r>
      <w:r>
        <w:noBreakHyphen/>
        <w:t>espacio que funcionan en frecuencias por encima de 275 GHz en las redes del servicio fijo por satélite (</w:t>
      </w:r>
      <w:proofErr w:type="spellStart"/>
      <w:r>
        <w:t>SFS</w:t>
      </w:r>
      <w:proofErr w:type="spellEnd"/>
      <w:r>
        <w:t xml:space="preserve">) </w:t>
      </w:r>
      <w:proofErr w:type="spellStart"/>
      <w:r>
        <w:t>OSG</w:t>
      </w:r>
      <w:proofErr w:type="spellEnd"/>
      <w:r>
        <w:t xml:space="preserve"> y no </w:t>
      </w:r>
      <w:proofErr w:type="spellStart"/>
      <w:r>
        <w:t>OSG</w:t>
      </w:r>
      <w:proofErr w:type="spellEnd"/>
      <w:r>
        <w:t>?</w:t>
      </w:r>
    </w:p>
    <w:p w14:paraId="035DC060" w14:textId="77777777" w:rsidR="009F4D27" w:rsidRDefault="009F4D27" w:rsidP="00F95491">
      <w:pPr>
        <w:jc w:val="both"/>
      </w:pPr>
      <w:r w:rsidRPr="00477A86">
        <w:t>2</w:t>
      </w:r>
      <w:r>
        <w:tab/>
        <w:t>¿Se necesitan estudios de compartición para las redes del servicio fijo por satélite que funcionan en frecuencias por encima de 275 GHz?</w:t>
      </w:r>
    </w:p>
    <w:p w14:paraId="606307E3" w14:textId="77777777" w:rsidR="00F95491" w:rsidRDefault="00F9549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14:paraId="15C1BEA9" w14:textId="24475A61" w:rsidR="009F4D27" w:rsidRDefault="009F4D27" w:rsidP="00F95491">
      <w:pPr>
        <w:pStyle w:val="Call"/>
        <w:jc w:val="both"/>
      </w:pPr>
      <w:r>
        <w:lastRenderedPageBreak/>
        <w:t>decide también</w:t>
      </w:r>
    </w:p>
    <w:p w14:paraId="44BC23F3" w14:textId="77777777" w:rsidR="009F4D27" w:rsidRDefault="009F4D27" w:rsidP="00F95491">
      <w:pPr>
        <w:jc w:val="both"/>
      </w:pPr>
      <w:r w:rsidRPr="00477A86">
        <w:t>1</w:t>
      </w:r>
      <w:r>
        <w:tab/>
        <w:t>que los resultados de los estudios realizados por encima de 275 GHz se señalen a la atención de las demás Comisiones de Estudio;</w:t>
      </w:r>
    </w:p>
    <w:p w14:paraId="00BBF0DB" w14:textId="77777777" w:rsidR="009F4D27" w:rsidRDefault="009F4D27" w:rsidP="00F95491">
      <w:pPr>
        <w:jc w:val="both"/>
      </w:pPr>
      <w:r>
        <w:rPr>
          <w:bCs/>
        </w:rPr>
        <w:t>2</w:t>
      </w:r>
      <w:r>
        <w:tab/>
        <w:t>que los resultados de estos estudios se incluyan en Recomendaciones y/o Informes apropiados;</w:t>
      </w:r>
    </w:p>
    <w:p w14:paraId="4513B14A" w14:textId="3A660B4A" w:rsidR="009F4D27" w:rsidRDefault="009F4D27" w:rsidP="00F95491">
      <w:r>
        <w:rPr>
          <w:bCs/>
        </w:rPr>
        <w:t>3</w:t>
      </w:r>
      <w:r>
        <w:rPr>
          <w:b/>
        </w:rPr>
        <w:tab/>
      </w:r>
      <w:r>
        <w:t>que dichos estudios se terminen en 202</w:t>
      </w:r>
      <w:bookmarkStart w:id="1" w:name="_GoBack"/>
      <w:bookmarkEnd w:id="1"/>
      <w:r w:rsidR="00F95491">
        <w:t>7</w:t>
      </w:r>
      <w:r>
        <w:t xml:space="preserve"> como muy tarde.</w:t>
      </w:r>
    </w:p>
    <w:p w14:paraId="1F853269" w14:textId="77777777" w:rsidR="009F4D27" w:rsidRDefault="009F4D27" w:rsidP="00F95491">
      <w:pPr>
        <w:jc w:val="both"/>
      </w:pPr>
    </w:p>
    <w:p w14:paraId="53EBB2DF" w14:textId="77777777" w:rsidR="009F4D27" w:rsidRDefault="009F4D27" w:rsidP="00F95491">
      <w:pPr>
        <w:jc w:val="both"/>
      </w:pPr>
      <w:r>
        <w:t xml:space="preserve">Categoría: </w:t>
      </w:r>
      <w:proofErr w:type="spellStart"/>
      <w:r>
        <w:t>S2</w:t>
      </w:r>
      <w:proofErr w:type="spellEnd"/>
    </w:p>
    <w:p w14:paraId="3E945FE3" w14:textId="77777777" w:rsidR="00860893" w:rsidRDefault="00860893" w:rsidP="00572779"/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  <w:footnote w:id="1">
    <w:p w14:paraId="0D8CF2DF" w14:textId="77777777" w:rsidR="009F4D27" w:rsidRDefault="009F4D27" w:rsidP="00F95491">
      <w:pPr>
        <w:pStyle w:val="FootnoteText"/>
        <w:ind w:left="0" w:firstLine="0"/>
        <w:jc w:val="both"/>
      </w:pPr>
      <w:r>
        <w:rPr>
          <w:rStyle w:val="FootnoteReference"/>
        </w:rPr>
        <w:t>*</w:t>
      </w:r>
      <w:r>
        <w:t xml:space="preserve"> </w:t>
      </w:r>
      <w:r>
        <w:tab/>
      </w:r>
      <w:r w:rsidRPr="00477A86">
        <w:rPr>
          <w:sz w:val="24"/>
          <w:szCs w:val="24"/>
        </w:rPr>
        <w:t xml:space="preserve">El espectro de frecuencias por encime de 275 GHz no está atribuido actualmente (véase también el número </w:t>
      </w:r>
      <w:r w:rsidRPr="00F95491">
        <w:rPr>
          <w:b/>
          <w:bCs/>
          <w:sz w:val="24"/>
          <w:szCs w:val="24"/>
        </w:rPr>
        <w:t>5.565</w:t>
      </w:r>
      <w:r w:rsidRPr="00477A86">
        <w:rPr>
          <w:sz w:val="24"/>
          <w:szCs w:val="24"/>
        </w:rPr>
        <w:t xml:space="preserve"> del Reglamento de Radiocomunicaciones</w:t>
      </w:r>
      <w:r>
        <w:rPr>
          <w:sz w:val="24"/>
          <w:szCs w:val="24"/>
        </w:rPr>
        <w:t>)</w:t>
      </w:r>
      <w:r w:rsidRPr="00477A86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9D1DC3"/>
    <w:rsid w:val="009E2590"/>
    <w:rsid w:val="009F4D27"/>
    <w:rsid w:val="00A127AD"/>
    <w:rsid w:val="00A31D52"/>
    <w:rsid w:val="00B966F9"/>
    <w:rsid w:val="00C049E0"/>
    <w:rsid w:val="00D33365"/>
    <w:rsid w:val="00E302E3"/>
    <w:rsid w:val="00F95491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character" w:customStyle="1" w:styleId="enumlev1Char">
    <w:name w:val="enumlev1 Char"/>
    <w:basedOn w:val="DefaultParagraphFont"/>
    <w:link w:val="enumlev1"/>
    <w:rsid w:val="009F4D27"/>
    <w:rPr>
      <w:rFonts w:ascii="Times New Roman" w:hAnsi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9F4D27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F4D27"/>
    <w:rPr>
      <w:rFonts w:ascii="Times New Roman" w:hAnsi="Times New Roman"/>
      <w:sz w:val="22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9F4D27"/>
    <w:pPr>
      <w:keepNext/>
      <w:keepLines/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9F4D27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9F4D27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9F4D27"/>
    <w:rPr>
      <w:rFonts w:ascii="Times New Roman" w:hAnsi="Times New Roman"/>
      <w:sz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2</TotalTime>
  <Pages>2</Pages>
  <Words>341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Fernandez Jimenez, Virginia</cp:lastModifiedBy>
  <cp:revision>3</cp:revision>
  <cp:lastPrinted>2008-02-21T14:04:00Z</cp:lastPrinted>
  <dcterms:created xsi:type="dcterms:W3CDTF">2024-01-29T13:47:00Z</dcterms:created>
  <dcterms:modified xsi:type="dcterms:W3CDTF">2024-01-29T13:49:00Z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