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B50B" w14:textId="77777777" w:rsidR="00676E4B" w:rsidRDefault="00676E4B" w:rsidP="00676E4B">
      <w:pPr>
        <w:pStyle w:val="QuestionNoBR"/>
      </w:pPr>
      <w:r>
        <w:t>cuestión uit-R 211-2/4</w:t>
      </w:r>
    </w:p>
    <w:p w14:paraId="78181C91" w14:textId="77777777" w:rsidR="00676E4B" w:rsidRDefault="00676E4B" w:rsidP="00313166">
      <w:pPr>
        <w:pStyle w:val="Questiontitle"/>
      </w:pPr>
      <w:r>
        <w:t>Criterios y métodos de cálculo de la interferencia</w:t>
      </w:r>
      <w:r>
        <w:br/>
        <w:t>para el servicio móvil por satélite</w:t>
      </w:r>
    </w:p>
    <w:p w14:paraId="500CE202" w14:textId="77777777" w:rsidR="00676E4B" w:rsidRDefault="00676E4B" w:rsidP="00676E4B">
      <w:pPr>
        <w:pStyle w:val="Questiondate"/>
      </w:pPr>
      <w:r>
        <w:t>(1995-2003)</w:t>
      </w:r>
    </w:p>
    <w:p w14:paraId="19473FF8" w14:textId="77777777" w:rsidR="00676E4B" w:rsidRDefault="00676E4B" w:rsidP="00313166">
      <w:pPr>
        <w:pStyle w:val="Normalaftertitle0"/>
        <w:spacing w:before="280"/>
      </w:pPr>
      <w:r>
        <w:t>La Asamblea de Radiocomunicaciones de la UIT,</w:t>
      </w:r>
    </w:p>
    <w:p w14:paraId="5D6DCD61" w14:textId="77777777" w:rsidR="00676E4B" w:rsidRDefault="00676E4B" w:rsidP="00676E4B">
      <w:pPr>
        <w:pStyle w:val="Call"/>
      </w:pPr>
      <w:r>
        <w:t>considerando</w:t>
      </w:r>
    </w:p>
    <w:p w14:paraId="586CFC98" w14:textId="77777777" w:rsidR="00676E4B" w:rsidRDefault="00676E4B" w:rsidP="00C00115">
      <w:pPr>
        <w:jc w:val="both"/>
      </w:pPr>
      <w:r w:rsidRPr="00676E4B">
        <w:rPr>
          <w:i/>
          <w:iCs/>
        </w:rPr>
        <w:t>a)</w:t>
      </w:r>
      <w:r>
        <w:tab/>
        <w:t>que en el desempeño de sus funciones descritas en los Artículos </w:t>
      </w:r>
      <w:r w:rsidRPr="00C00115">
        <w:rPr>
          <w:b/>
          <w:bCs/>
        </w:rPr>
        <w:t>9</w:t>
      </w:r>
      <w:r>
        <w:t xml:space="preserve"> y </w:t>
      </w:r>
      <w:r w:rsidRPr="00C00115">
        <w:rPr>
          <w:b/>
          <w:bCs/>
        </w:rPr>
        <w:t>11</w:t>
      </w:r>
      <w:r>
        <w:t xml:space="preserve"> del Reglamento de Radiocomunicaciones (</w:t>
      </w:r>
      <w:proofErr w:type="spellStart"/>
      <w:r>
        <w:t>RR</w:t>
      </w:r>
      <w:proofErr w:type="spellEnd"/>
      <w:r>
        <w:t>), la Oficina de Radiocomunicaciones (BR) debe calcular la interferencia potencial entre redes de todo tipo del servicio por satélite y comparar los resultados de dichos cálculos con los criterios adecuados;</w:t>
      </w:r>
    </w:p>
    <w:p w14:paraId="682344CF" w14:textId="77777777" w:rsidR="00676E4B" w:rsidRDefault="00676E4B" w:rsidP="00C00115">
      <w:pPr>
        <w:jc w:val="both"/>
      </w:pPr>
      <w:r w:rsidRPr="00676E4B">
        <w:rPr>
          <w:i/>
          <w:iCs/>
        </w:rPr>
        <w:t>b)</w:t>
      </w:r>
      <w:r>
        <w:tab/>
        <w:t>que la BR ha solicitado orientaciones a la Comisión de Estudio 8 de Radiocomunicaciones sobre los métodos que deben utilizarse para calcular la interferencia en el servicio móvil por satélite (SMS) y sobre los criterios que deben emplearse;</w:t>
      </w:r>
    </w:p>
    <w:p w14:paraId="2C13A120" w14:textId="77777777" w:rsidR="00676E4B" w:rsidRDefault="00676E4B" w:rsidP="00C00115">
      <w:pPr>
        <w:jc w:val="both"/>
      </w:pPr>
      <w:r w:rsidRPr="00676E4B">
        <w:rPr>
          <w:i/>
          <w:iCs/>
        </w:rPr>
        <w:t>c)</w:t>
      </w:r>
      <w:r>
        <w:tab/>
        <w:t xml:space="preserve">que es necesario disponer de una Recomendación que contenga directrices sobre las circunstancias en las que puede considerarse despreciable la probabilidad de interferencia perjudicial (véanse los números </w:t>
      </w:r>
      <w:proofErr w:type="spellStart"/>
      <w:r w:rsidRPr="00C00115">
        <w:rPr>
          <w:b/>
          <w:bCs/>
        </w:rPr>
        <w:t>11.32A</w:t>
      </w:r>
      <w:proofErr w:type="spellEnd"/>
      <w:r>
        <w:t xml:space="preserve"> y </w:t>
      </w:r>
      <w:r w:rsidRPr="00C00115">
        <w:rPr>
          <w:b/>
          <w:bCs/>
        </w:rPr>
        <w:t>11.33</w:t>
      </w:r>
      <w:r>
        <w:t xml:space="preserve"> del </w:t>
      </w:r>
      <w:proofErr w:type="spellStart"/>
      <w:r>
        <w:t>RR</w:t>
      </w:r>
      <w:proofErr w:type="spellEnd"/>
      <w:r>
        <w:t>) entre portadoras,</w:t>
      </w:r>
    </w:p>
    <w:p w14:paraId="08191FFF" w14:textId="77777777" w:rsidR="00676E4B" w:rsidRPr="00C415CC" w:rsidRDefault="00676E4B" w:rsidP="00C00115">
      <w:pPr>
        <w:pStyle w:val="Call"/>
        <w:jc w:val="both"/>
        <w:rPr>
          <w:i w:val="0"/>
          <w:iCs/>
        </w:rPr>
      </w:pPr>
      <w:r>
        <w:t xml:space="preserve">decide </w:t>
      </w:r>
      <w:r w:rsidRPr="00C415CC">
        <w:rPr>
          <w:i w:val="0"/>
          <w:iCs/>
        </w:rPr>
        <w:t>poner a estudio la</w:t>
      </w:r>
      <w:r>
        <w:rPr>
          <w:i w:val="0"/>
          <w:iCs/>
        </w:rPr>
        <w:t>s</w:t>
      </w:r>
      <w:r w:rsidRPr="00C415CC">
        <w:rPr>
          <w:i w:val="0"/>
          <w:iCs/>
        </w:rPr>
        <w:t xml:space="preserve"> siguiente</w:t>
      </w:r>
      <w:r>
        <w:rPr>
          <w:i w:val="0"/>
          <w:iCs/>
        </w:rPr>
        <w:t>s Cuestio</w:t>
      </w:r>
      <w:r w:rsidRPr="00C415CC">
        <w:rPr>
          <w:i w:val="0"/>
          <w:iCs/>
        </w:rPr>
        <w:t>n</w:t>
      </w:r>
      <w:r>
        <w:rPr>
          <w:i w:val="0"/>
          <w:iCs/>
        </w:rPr>
        <w:t>es</w:t>
      </w:r>
    </w:p>
    <w:p w14:paraId="46ED252C" w14:textId="77777777" w:rsidR="00676E4B" w:rsidRDefault="00676E4B" w:rsidP="00C00115">
      <w:pPr>
        <w:jc w:val="both"/>
      </w:pPr>
      <w:r w:rsidRPr="00676E4B">
        <w:rPr>
          <w:bCs/>
        </w:rPr>
        <w:t>1</w:t>
      </w:r>
      <w:r>
        <w:rPr>
          <w:b/>
        </w:rPr>
        <w:tab/>
      </w:r>
      <w:r>
        <w:t>¿Qué combinaciones de tipos de portadoras interferentes e interferidas se contemplan en textos del UIT</w:t>
      </w:r>
      <w:r>
        <w:noBreakHyphen/>
        <w:t>R sobre métodos de cálculo de la interferencia?</w:t>
      </w:r>
    </w:p>
    <w:p w14:paraId="12B7D0EB" w14:textId="77777777" w:rsidR="00676E4B" w:rsidRDefault="00676E4B" w:rsidP="00C00115">
      <w:pPr>
        <w:jc w:val="both"/>
      </w:pPr>
      <w:r w:rsidRPr="00676E4B">
        <w:rPr>
          <w:bCs/>
        </w:rPr>
        <w:t>2</w:t>
      </w:r>
      <w:r>
        <w:rPr>
          <w:b/>
        </w:rPr>
        <w:tab/>
      </w:r>
      <w:r>
        <w:t>¿Qué combinaciones de portadoras interferentes e interferidas no están contempladas actualmente por los textos de la Comisión de Estudio 8 donde se describen los criterios de interferencia y/o los métodos de cálculo y cuáles son los criterios y métodos de cálculo más adecuados para dichas combinaciones?</w:t>
      </w:r>
    </w:p>
    <w:p w14:paraId="30D6893C" w14:textId="77777777" w:rsidR="00676E4B" w:rsidRDefault="00676E4B" w:rsidP="00C00115">
      <w:pPr>
        <w:jc w:val="both"/>
      </w:pPr>
      <w:r w:rsidRPr="00676E4B">
        <w:rPr>
          <w:bCs/>
        </w:rPr>
        <w:t>3</w:t>
      </w:r>
      <w:r>
        <w:rPr>
          <w:b/>
        </w:rPr>
        <w:tab/>
      </w:r>
      <w:r>
        <w:t>¿En qué circunstancias puede considerarse despreciable la probabilidad de interferencia perjudicial entre portadoras?</w:t>
      </w:r>
    </w:p>
    <w:p w14:paraId="315B8FAD" w14:textId="77777777" w:rsidR="00676E4B" w:rsidRDefault="00676E4B" w:rsidP="00C00115">
      <w:pPr>
        <w:jc w:val="both"/>
      </w:pPr>
      <w:r w:rsidRPr="00676E4B">
        <w:rPr>
          <w:bCs/>
        </w:rPr>
        <w:t>4</w:t>
      </w:r>
      <w:r>
        <w:rPr>
          <w:b/>
        </w:rPr>
        <w:tab/>
      </w:r>
      <w:r>
        <w:t>¿Los estudios mencionados deben tratar también la interferencia entre el SMS y el servicio móvil?</w:t>
      </w:r>
    </w:p>
    <w:p w14:paraId="20A3A143" w14:textId="77777777" w:rsidR="00676E4B" w:rsidRDefault="00676E4B" w:rsidP="00C00115">
      <w:pPr>
        <w:pStyle w:val="Call"/>
        <w:jc w:val="both"/>
      </w:pPr>
      <w:r>
        <w:t>decide también</w:t>
      </w:r>
    </w:p>
    <w:p w14:paraId="406E50C5" w14:textId="77777777" w:rsidR="00676E4B" w:rsidRDefault="00676E4B" w:rsidP="00C00115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631D6FB4" w14:textId="1C38F003" w:rsidR="00676E4B" w:rsidRDefault="00676E4B" w:rsidP="00C00115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A55D77">
        <w:t>hos estudios se terminen en 202</w:t>
      </w:r>
      <w:r w:rsidR="00C00115">
        <w:t>7</w:t>
      </w:r>
      <w:r>
        <w:t xml:space="preserve"> como muy tarde.</w:t>
      </w:r>
    </w:p>
    <w:p w14:paraId="42E27518" w14:textId="77777777" w:rsidR="00676E4B" w:rsidRDefault="00676E4B" w:rsidP="00C00115">
      <w:pPr>
        <w:spacing w:before="360"/>
      </w:pPr>
      <w:r w:rsidRPr="00675EC0">
        <w:rPr>
          <w:lang w:val="es-ES"/>
        </w:rPr>
        <w:t xml:space="preserve">Categoría: </w:t>
      </w:r>
      <w:proofErr w:type="spellStart"/>
      <w:r w:rsidRPr="00675EC0">
        <w:rPr>
          <w:lang w:val="es-ES"/>
        </w:rPr>
        <w:t>S</w:t>
      </w:r>
      <w:r>
        <w:rPr>
          <w:lang w:val="es-ES"/>
        </w:rPr>
        <w:t>2</w:t>
      </w:r>
      <w:proofErr w:type="spellEnd"/>
    </w:p>
    <w:sectPr w:rsidR="00676E4B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202A" w14:textId="77777777" w:rsidR="00C44CD8" w:rsidRDefault="00C44CD8">
      <w:r>
        <w:separator/>
      </w:r>
    </w:p>
  </w:endnote>
  <w:endnote w:type="continuationSeparator" w:id="0">
    <w:p w14:paraId="2DBB4F77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7087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EDCD" w14:textId="77777777" w:rsidR="00C44CD8" w:rsidRDefault="00C44CD8">
      <w:r>
        <w:t>____________________</w:t>
      </w:r>
    </w:p>
  </w:footnote>
  <w:footnote w:type="continuationSeparator" w:id="0">
    <w:p w14:paraId="1F9AF427" w14:textId="77777777"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83C6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36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2270DB6" w14:textId="77777777" w:rsidR="00C44CD8" w:rsidRDefault="002B2B3E" w:rsidP="00506BED">
    <w:pPr>
      <w:pStyle w:val="Header"/>
      <w:rPr>
        <w:lang w:val="en-US"/>
      </w:rPr>
    </w:pPr>
    <w:r>
      <w:rPr>
        <w:lang w:val="en-US"/>
      </w:rPr>
      <w:t>4</w:t>
    </w:r>
    <w:r w:rsidR="00C44CD8">
      <w:rPr>
        <w:lang w:val="en-US"/>
      </w:rPr>
      <w:t>/1-S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1272D"/>
    <w:rsid w:val="000130D7"/>
    <w:rsid w:val="00027FA7"/>
    <w:rsid w:val="00034615"/>
    <w:rsid w:val="000375E0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90B55"/>
    <w:rsid w:val="0019540A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0F73"/>
    <w:rsid w:val="002B2B3E"/>
    <w:rsid w:val="002B6DE8"/>
    <w:rsid w:val="002C08B4"/>
    <w:rsid w:val="002D1F79"/>
    <w:rsid w:val="002D7604"/>
    <w:rsid w:val="002E0CE6"/>
    <w:rsid w:val="002F7AB6"/>
    <w:rsid w:val="002F7E23"/>
    <w:rsid w:val="0031316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C72AC"/>
    <w:rsid w:val="004D30A2"/>
    <w:rsid w:val="005036A8"/>
    <w:rsid w:val="00506BED"/>
    <w:rsid w:val="005117BE"/>
    <w:rsid w:val="0053095E"/>
    <w:rsid w:val="00530F94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5F7698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B5304"/>
    <w:rsid w:val="006C0E1A"/>
    <w:rsid w:val="006C170D"/>
    <w:rsid w:val="006F7F46"/>
    <w:rsid w:val="00703420"/>
    <w:rsid w:val="00730440"/>
    <w:rsid w:val="00741252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36A"/>
    <w:rsid w:val="009249BF"/>
    <w:rsid w:val="00966982"/>
    <w:rsid w:val="0098301B"/>
    <w:rsid w:val="009959CC"/>
    <w:rsid w:val="009E529C"/>
    <w:rsid w:val="009F2090"/>
    <w:rsid w:val="00A022BA"/>
    <w:rsid w:val="00A052BA"/>
    <w:rsid w:val="00A31782"/>
    <w:rsid w:val="00A3205A"/>
    <w:rsid w:val="00A50EBB"/>
    <w:rsid w:val="00A55D77"/>
    <w:rsid w:val="00A602DA"/>
    <w:rsid w:val="00A96F23"/>
    <w:rsid w:val="00AB6B49"/>
    <w:rsid w:val="00AC1214"/>
    <w:rsid w:val="00AC4862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210"/>
    <w:rsid w:val="00BF7CCC"/>
    <w:rsid w:val="00C00115"/>
    <w:rsid w:val="00C41B2B"/>
    <w:rsid w:val="00C44CD8"/>
    <w:rsid w:val="00C706C6"/>
    <w:rsid w:val="00C73011"/>
    <w:rsid w:val="00C76327"/>
    <w:rsid w:val="00C8236A"/>
    <w:rsid w:val="00C86DF5"/>
    <w:rsid w:val="00CC6B5F"/>
    <w:rsid w:val="00CE47FD"/>
    <w:rsid w:val="00CE7533"/>
    <w:rsid w:val="00CF4DCC"/>
    <w:rsid w:val="00D11A24"/>
    <w:rsid w:val="00D1218A"/>
    <w:rsid w:val="00D152E4"/>
    <w:rsid w:val="00D2543D"/>
    <w:rsid w:val="00D26587"/>
    <w:rsid w:val="00D754E1"/>
    <w:rsid w:val="00D76C10"/>
    <w:rsid w:val="00DB0FA6"/>
    <w:rsid w:val="00DD7D50"/>
    <w:rsid w:val="00E23304"/>
    <w:rsid w:val="00E302E3"/>
    <w:rsid w:val="00E31F8D"/>
    <w:rsid w:val="00E60DB2"/>
    <w:rsid w:val="00E80010"/>
    <w:rsid w:val="00E82059"/>
    <w:rsid w:val="00EF1EF9"/>
    <w:rsid w:val="00F27EB2"/>
    <w:rsid w:val="00F46BD5"/>
    <w:rsid w:val="00F57F51"/>
    <w:rsid w:val="00F67147"/>
    <w:rsid w:val="00F76498"/>
    <w:rsid w:val="00F766A9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D10DA"/>
  <w15:docId w15:val="{F8A53467-CDB1-469C-8AD7-FBD39413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D69A-9E13-46B9-8B22-97A9B57C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2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Author1</cp:lastModifiedBy>
  <cp:revision>6</cp:revision>
  <cp:lastPrinted>2012-03-12T15:13:00Z</cp:lastPrinted>
  <dcterms:created xsi:type="dcterms:W3CDTF">2012-05-01T14:33:00Z</dcterms:created>
  <dcterms:modified xsi:type="dcterms:W3CDTF">2024-01-29T11:09:00Z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