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BCCA" w14:textId="5EFF6F6F" w:rsidR="00812CC1" w:rsidRDefault="00812CC1" w:rsidP="00812CC1">
      <w:pPr>
        <w:pStyle w:val="QuestionNo"/>
      </w:pPr>
      <w:r w:rsidRPr="00E25F89">
        <w:t>QUESTION ITU-R 205-1/4</w:t>
      </w:r>
      <w:r w:rsidR="00D256A7" w:rsidRPr="00D256A7">
        <w:rPr>
          <w:rStyle w:val="FootnoteReference"/>
        </w:rPr>
        <w:footnoteReference w:customMarkFollows="1" w:id="1"/>
        <w:sym w:font="Symbol" w:char="F02A"/>
      </w:r>
    </w:p>
    <w:p w14:paraId="0B814B2C" w14:textId="7A2D8510" w:rsidR="00812CC1" w:rsidRPr="00812CC1" w:rsidRDefault="00812CC1" w:rsidP="00812CC1">
      <w:pPr>
        <w:pStyle w:val="Questiontitle"/>
      </w:pPr>
      <w:r w:rsidRPr="00E25F89">
        <w:t>Frequency sharing between non-geostationary satellite feeder links in the fixed</w:t>
      </w:r>
      <w:r w:rsidRPr="00E25F89">
        <w:noBreakHyphen/>
        <w:t xml:space="preserve">satellite service used by the </w:t>
      </w:r>
      <w:proofErr w:type="gramStart"/>
      <w:r w:rsidRPr="00E25F89">
        <w:t>mobile-satellite</w:t>
      </w:r>
      <w:proofErr w:type="gramEnd"/>
      <w:r w:rsidRPr="00E25F89">
        <w:t xml:space="preserve"> service</w:t>
      </w:r>
    </w:p>
    <w:p w14:paraId="334F2BFB" w14:textId="37697044" w:rsidR="009A5228" w:rsidRPr="00E25F89" w:rsidRDefault="009A5228" w:rsidP="009A5228">
      <w:pPr>
        <w:pStyle w:val="Questiondate"/>
      </w:pPr>
      <w:r w:rsidRPr="00E25F89">
        <w:t>(1993-1995)</w:t>
      </w:r>
    </w:p>
    <w:p w14:paraId="7F5717E4" w14:textId="77777777" w:rsidR="009A5228" w:rsidRPr="00E25F89" w:rsidRDefault="009A5228" w:rsidP="009A5228">
      <w:pPr>
        <w:pStyle w:val="Normalaftertitle0"/>
      </w:pPr>
      <w:r w:rsidRPr="00E25F89">
        <w:t>The ITU Radiocommunication Assembly,</w:t>
      </w:r>
    </w:p>
    <w:p w14:paraId="4B3C929E" w14:textId="77777777" w:rsidR="009A5228" w:rsidRPr="00E25F89" w:rsidRDefault="009A5228" w:rsidP="009A5228">
      <w:pPr>
        <w:pStyle w:val="Call"/>
      </w:pPr>
      <w:r w:rsidRPr="00E25F89">
        <w:t>considering</w:t>
      </w:r>
    </w:p>
    <w:p w14:paraId="6DD19CEC" w14:textId="7C903806" w:rsidR="009A5228" w:rsidRPr="00E25F89" w:rsidRDefault="009A5228" w:rsidP="009A5228">
      <w:r w:rsidRPr="00E25F89">
        <w:rPr>
          <w:i/>
          <w:iCs/>
        </w:rPr>
        <w:t>a)</w:t>
      </w:r>
      <w:r w:rsidRPr="00E25F89">
        <w:tab/>
        <w:t xml:space="preserve">that the World Administrative Radio Conference </w:t>
      </w:r>
      <w:proofErr w:type="gramStart"/>
      <w:r w:rsidRPr="00E25F89">
        <w:t>For</w:t>
      </w:r>
      <w:proofErr w:type="gramEnd"/>
      <w:r w:rsidRPr="00E25F89">
        <w:t xml:space="preserve"> Dealing With Frequency Allocations in Certain Parts of the Spectrum (Málaga-Torremolinos, 1992) (WARC-92) adopted primary mobile</w:t>
      </w:r>
      <w:r w:rsidRPr="00E25F89">
        <w:noBreakHyphen/>
        <w:t>satellite service (MSS) allocations in the 1 to 3 GHz frequency range on a shared primary basis with other radio services;</w:t>
      </w:r>
    </w:p>
    <w:p w14:paraId="1D7E0EA9" w14:textId="77777777" w:rsidR="009A5228" w:rsidRPr="00E25F89" w:rsidRDefault="009A5228" w:rsidP="009A5228">
      <w:r w:rsidRPr="00E25F89">
        <w:rPr>
          <w:i/>
          <w:iCs/>
        </w:rPr>
        <w:t>b)</w:t>
      </w:r>
      <w:r w:rsidRPr="00E25F89">
        <w:rPr>
          <w:i/>
          <w:iCs/>
        </w:rPr>
        <w:tab/>
      </w:r>
      <w:r w:rsidRPr="00E25F89">
        <w:t>that the use</w:t>
      </w:r>
      <w:r w:rsidRPr="00E25F89">
        <w:rPr>
          <w:i/>
          <w:iCs/>
        </w:rPr>
        <w:t xml:space="preserve"> </w:t>
      </w:r>
      <w:r w:rsidRPr="00E25F89">
        <w:t xml:space="preserve">of the primary MSS allocation referred to in considering a) is subject to coordination under No. </w:t>
      </w:r>
      <w:r w:rsidRPr="00E25F89">
        <w:rPr>
          <w:b/>
          <w:bCs/>
        </w:rPr>
        <w:t>9.</w:t>
      </w:r>
      <w:proofErr w:type="gramStart"/>
      <w:r w:rsidRPr="00E25F89">
        <w:rPr>
          <w:b/>
          <w:bCs/>
        </w:rPr>
        <w:t>11A</w:t>
      </w:r>
      <w:r w:rsidRPr="00E25F89">
        <w:t>;</w:t>
      </w:r>
      <w:proofErr w:type="gramEnd"/>
    </w:p>
    <w:p w14:paraId="080525DE" w14:textId="77777777" w:rsidR="009A5228" w:rsidRPr="00E25F89" w:rsidRDefault="009A5228" w:rsidP="009A5228">
      <w:r w:rsidRPr="00E25F89">
        <w:rPr>
          <w:i/>
          <w:iCs/>
        </w:rPr>
        <w:t>c)</w:t>
      </w:r>
      <w:r w:rsidRPr="00E25F89">
        <w:tab/>
        <w:t xml:space="preserve">that there are other MSS </w:t>
      </w:r>
      <w:proofErr w:type="gramStart"/>
      <w:r w:rsidRPr="00E25F89">
        <w:t>allocations;</w:t>
      </w:r>
      <w:proofErr w:type="gramEnd"/>
    </w:p>
    <w:p w14:paraId="488A592A" w14:textId="0CD79340" w:rsidR="009A5228" w:rsidRPr="00E25F89" w:rsidRDefault="009A5228" w:rsidP="009A5228">
      <w:r w:rsidRPr="00E25F89">
        <w:rPr>
          <w:i/>
          <w:iCs/>
        </w:rPr>
        <w:t>d)</w:t>
      </w:r>
      <w:r w:rsidRPr="00E25F89">
        <w:tab/>
        <w:t xml:space="preserve">that non-geostationary satellite orbit (non-GSO) systems implementing these MSS allocations may use the fixed-satellite service (FSS) allocations for feeder </w:t>
      </w:r>
      <w:proofErr w:type="gramStart"/>
      <w:r w:rsidRPr="00E25F89">
        <w:t>links;</w:t>
      </w:r>
      <w:proofErr w:type="gramEnd"/>
    </w:p>
    <w:p w14:paraId="7E8B7DD7" w14:textId="2B549AC0" w:rsidR="009A5228" w:rsidRPr="00E25F89" w:rsidRDefault="009A5228" w:rsidP="009A5228">
      <w:r w:rsidRPr="00E25F89">
        <w:rPr>
          <w:i/>
          <w:iCs/>
        </w:rPr>
        <w:t>e)</w:t>
      </w:r>
      <w:r w:rsidRPr="00E25F89">
        <w:tab/>
        <w:t xml:space="preserve">that the feeder links for these MSS non-GSO systems are considered part of the </w:t>
      </w:r>
      <w:proofErr w:type="gramStart"/>
      <w:r w:rsidRPr="00E25F89">
        <w:t>FSS;</w:t>
      </w:r>
      <w:proofErr w:type="gramEnd"/>
    </w:p>
    <w:p w14:paraId="48679C4A" w14:textId="087C79B6" w:rsidR="009A5228" w:rsidRPr="00E25F89" w:rsidRDefault="009A5228" w:rsidP="009A5228">
      <w:r w:rsidRPr="00E25F89">
        <w:rPr>
          <w:i/>
          <w:iCs/>
        </w:rPr>
        <w:t>f)</w:t>
      </w:r>
      <w:r w:rsidRPr="00E25F89">
        <w:tab/>
        <w:t xml:space="preserve">that the frequency and technical characteristics of such feeder links for the non-GSO MSS systems may depend on the technical characteristics of such systems using the MSS frequency </w:t>
      </w:r>
      <w:proofErr w:type="gramStart"/>
      <w:r w:rsidRPr="00E25F89">
        <w:t>bands;</w:t>
      </w:r>
      <w:proofErr w:type="gramEnd"/>
    </w:p>
    <w:p w14:paraId="49E38E09" w14:textId="3E9224AD" w:rsidR="009A5228" w:rsidRPr="00E25F89" w:rsidRDefault="009A5228" w:rsidP="009A5228">
      <w:r w:rsidRPr="00E25F89">
        <w:rPr>
          <w:i/>
          <w:iCs/>
        </w:rPr>
        <w:t>g)</w:t>
      </w:r>
      <w:r w:rsidRPr="00E25F89">
        <w:tab/>
        <w:t xml:space="preserve">that several of these non-GSO MSS systems may use the same FSS frequency band for their feeder </w:t>
      </w:r>
      <w:proofErr w:type="gramStart"/>
      <w:r w:rsidRPr="00E25F89">
        <w:t>links;</w:t>
      </w:r>
      <w:proofErr w:type="gramEnd"/>
    </w:p>
    <w:p w14:paraId="39CCD03A" w14:textId="0795C795" w:rsidR="009A5228" w:rsidRPr="00E25F89" w:rsidRDefault="009A5228" w:rsidP="009A5228">
      <w:r w:rsidRPr="00E25F89">
        <w:rPr>
          <w:i/>
          <w:iCs/>
        </w:rPr>
        <w:t>h)</w:t>
      </w:r>
      <w:r w:rsidRPr="00E25F89">
        <w:tab/>
        <w:t xml:space="preserve">that studies of interference mechanisms between non-GSO networks in the respective MSS and the FSS allocated bands have commenced but are not </w:t>
      </w:r>
      <w:proofErr w:type="gramStart"/>
      <w:r w:rsidRPr="00E25F89">
        <w:t>complete;</w:t>
      </w:r>
      <w:proofErr w:type="gramEnd"/>
    </w:p>
    <w:p w14:paraId="015D1C90" w14:textId="2E1DB6F2" w:rsidR="009A5228" w:rsidRPr="00E25F89" w:rsidRDefault="009A5228" w:rsidP="009A5228">
      <w:proofErr w:type="spellStart"/>
      <w:r w:rsidRPr="00E25F89">
        <w:rPr>
          <w:i/>
          <w:iCs/>
        </w:rPr>
        <w:t>i</w:t>
      </w:r>
      <w:proofErr w:type="spellEnd"/>
      <w:r w:rsidRPr="00E25F89">
        <w:rPr>
          <w:i/>
          <w:iCs/>
        </w:rPr>
        <w:t>)</w:t>
      </w:r>
      <w:r w:rsidRPr="00E25F89">
        <w:tab/>
        <w:t>that the permissible interference criteria used for geostationary FSS networks may not be applicable to the FSS feeder links for non-GSO MSS systems,</w:t>
      </w:r>
    </w:p>
    <w:p w14:paraId="6C1D6B78" w14:textId="77777777" w:rsidR="009A5228" w:rsidRPr="00E25F89" w:rsidRDefault="009A5228" w:rsidP="009A5228">
      <w:pPr>
        <w:pStyle w:val="Call"/>
      </w:pPr>
      <w:r w:rsidRPr="00E25F89">
        <w:t>decides</w:t>
      </w:r>
      <w:r w:rsidRPr="00E25F89">
        <w:rPr>
          <w:i w:val="0"/>
        </w:rPr>
        <w:t xml:space="preserve"> that the following Questions should be </w:t>
      </w:r>
      <w:proofErr w:type="gramStart"/>
      <w:r w:rsidRPr="00E25F89">
        <w:rPr>
          <w:i w:val="0"/>
        </w:rPr>
        <w:t>studied</w:t>
      </w:r>
      <w:proofErr w:type="gramEnd"/>
    </w:p>
    <w:p w14:paraId="3FB0CC69" w14:textId="45001D55" w:rsidR="009A5228" w:rsidRPr="00E25F89" w:rsidRDefault="009A5228" w:rsidP="009A5228">
      <w:r w:rsidRPr="00E25F89">
        <w:rPr>
          <w:bCs/>
        </w:rPr>
        <w:t>1</w:t>
      </w:r>
      <w:r w:rsidRPr="00E25F89">
        <w:tab/>
        <w:t>What are the updated technical characteristics of the FSS feeder link used by the non-GSO MSS systems?</w:t>
      </w:r>
    </w:p>
    <w:p w14:paraId="7C9EBA39" w14:textId="3072214B" w:rsidR="009A5228" w:rsidRPr="00E25F89" w:rsidRDefault="009A5228" w:rsidP="009A5228">
      <w:r w:rsidRPr="00E25F89">
        <w:rPr>
          <w:bCs/>
        </w:rPr>
        <w:t>2</w:t>
      </w:r>
      <w:r w:rsidRPr="00E25F89">
        <w:tab/>
        <w:t>What are the permissible interference criteria between FSS feeder links used by the non</w:t>
      </w:r>
      <w:r w:rsidRPr="00E25F89">
        <w:noBreakHyphen/>
        <w:t xml:space="preserve">GSO MSS systems </w:t>
      </w:r>
      <w:proofErr w:type="gramStart"/>
      <w:r w:rsidRPr="00E25F89">
        <w:t>taking into account</w:t>
      </w:r>
      <w:proofErr w:type="gramEnd"/>
      <w:r w:rsidRPr="00E25F89">
        <w:t xml:space="preserve"> the impact on the MSS?</w:t>
      </w:r>
    </w:p>
    <w:p w14:paraId="705B13FE" w14:textId="6EE8FC0B" w:rsidR="009A5228" w:rsidRPr="00E25F89" w:rsidRDefault="009A5228" w:rsidP="009A5228">
      <w:pPr>
        <w:rPr>
          <w:b/>
        </w:rPr>
      </w:pPr>
      <w:r w:rsidRPr="00E25F89">
        <w:rPr>
          <w:bCs/>
        </w:rPr>
        <w:t>3</w:t>
      </w:r>
      <w:r w:rsidRPr="00E25F89">
        <w:rPr>
          <w:b/>
        </w:rPr>
        <w:tab/>
      </w:r>
      <w:r w:rsidRPr="00E25F89">
        <w:t>What are the other general constraints (including number of systems) under which sharing is feasible between the feeder-links of two or more non-GSO MSS systems?</w:t>
      </w:r>
    </w:p>
    <w:p w14:paraId="711AD7B4" w14:textId="7B1A2E73" w:rsidR="009A5228" w:rsidRPr="00E25F89" w:rsidRDefault="009A5228" w:rsidP="009A5228">
      <w:pPr>
        <w:rPr>
          <w:b/>
        </w:rPr>
      </w:pPr>
      <w:r w:rsidRPr="00E25F89">
        <w:rPr>
          <w:bCs/>
        </w:rPr>
        <w:t>4</w:t>
      </w:r>
      <w:r w:rsidRPr="00E25F89">
        <w:rPr>
          <w:b/>
        </w:rPr>
        <w:tab/>
      </w:r>
      <w:r w:rsidRPr="00E25F89">
        <w:t>What are the spectrum sharing possibilities and technical solutions that are available to permit the sharing of frequencies between FSS feeder links used by non-GSO MSS systems?</w:t>
      </w:r>
    </w:p>
    <w:p w14:paraId="2DD20BE7" w14:textId="3674E6BE" w:rsidR="009A5228" w:rsidRPr="00E25F89" w:rsidRDefault="009A5228" w:rsidP="009A5228">
      <w:r w:rsidRPr="00E25F89">
        <w:rPr>
          <w:bCs/>
        </w:rPr>
        <w:lastRenderedPageBreak/>
        <w:t>5</w:t>
      </w:r>
      <w:r w:rsidRPr="00E25F89">
        <w:rPr>
          <w:b/>
        </w:rPr>
        <w:tab/>
      </w:r>
      <w:r w:rsidRPr="00E25F89">
        <w:t>What are the appropriate coordination methods for sharing between the feeder-links of two or more non-GSO MSS systems?</w:t>
      </w:r>
    </w:p>
    <w:p w14:paraId="6E1F6BF7" w14:textId="77777777" w:rsidR="009A5228" w:rsidRPr="00E25F89" w:rsidRDefault="009A5228" w:rsidP="009A5228">
      <w:pPr>
        <w:pStyle w:val="Call"/>
      </w:pPr>
      <w:r w:rsidRPr="00E25F89">
        <w:t xml:space="preserve">further </w:t>
      </w:r>
      <w:proofErr w:type="gramStart"/>
      <w:r w:rsidRPr="00E25F89">
        <w:t>decides</w:t>
      </w:r>
      <w:proofErr w:type="gramEnd"/>
    </w:p>
    <w:p w14:paraId="467DD4C5" w14:textId="77777777" w:rsidR="009A5228" w:rsidRPr="00E25F89" w:rsidRDefault="009A5228" w:rsidP="009A5228">
      <w:r w:rsidRPr="00E25F89">
        <w:rPr>
          <w:rFonts w:ascii="CG Times" w:hAnsi="CG Times"/>
          <w:bCs/>
        </w:rPr>
        <w:t>1</w:t>
      </w:r>
      <w:r w:rsidRPr="00E25F89">
        <w:rPr>
          <w:rFonts w:ascii="CG Times" w:hAnsi="CG Times"/>
        </w:rPr>
        <w:tab/>
        <w:t xml:space="preserve">that </w:t>
      </w:r>
      <w:r w:rsidRPr="00E25F89">
        <w:t>the results of the above studies should be included in appropriate Recommendations and</w:t>
      </w:r>
      <w:r w:rsidRPr="00E25F89">
        <w:rPr>
          <w:lang w:eastAsia="ja-JP"/>
        </w:rPr>
        <w:t xml:space="preserve">/or </w:t>
      </w:r>
      <w:proofErr w:type="gramStart"/>
      <w:r w:rsidRPr="00E25F89">
        <w:rPr>
          <w:lang w:eastAsia="ja-JP"/>
        </w:rPr>
        <w:t>Reports</w:t>
      </w:r>
      <w:r w:rsidRPr="00E25F89">
        <w:t>;</w:t>
      </w:r>
      <w:proofErr w:type="gramEnd"/>
    </w:p>
    <w:p w14:paraId="64587516" w14:textId="3DC4CF54" w:rsidR="009A5228" w:rsidRPr="00E25F89" w:rsidRDefault="009A5228" w:rsidP="009A5228">
      <w:r w:rsidRPr="00E25F89">
        <w:rPr>
          <w:bCs/>
        </w:rPr>
        <w:t>2</w:t>
      </w:r>
      <w:r w:rsidRPr="00E25F89">
        <w:tab/>
        <w:t>that the above studies should be completed by</w:t>
      </w:r>
      <w:r w:rsidRPr="00E25F89">
        <w:rPr>
          <w:lang w:eastAsia="ja-JP"/>
        </w:rPr>
        <w:t xml:space="preserve"> 2027</w:t>
      </w:r>
      <w:r w:rsidRPr="00E25F89">
        <w:t>.</w:t>
      </w:r>
    </w:p>
    <w:p w14:paraId="3090BFEF" w14:textId="77777777" w:rsidR="009A5228" w:rsidRPr="00E25F89" w:rsidRDefault="009A5228" w:rsidP="00812CC1">
      <w:pPr>
        <w:spacing w:before="360"/>
        <w:rPr>
          <w:caps/>
          <w:sz w:val="28"/>
        </w:rPr>
      </w:pPr>
      <w:r w:rsidRPr="00E25F89">
        <w:rPr>
          <w:lang w:eastAsia="ja-JP"/>
        </w:rPr>
        <w:t>Category: S2</w:t>
      </w:r>
    </w:p>
    <w:sectPr w:rsidR="009A5228" w:rsidRPr="00E25F89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3B5B" w14:textId="77777777" w:rsidR="003B2E51" w:rsidRDefault="003B2E51">
      <w:r>
        <w:separator/>
      </w:r>
    </w:p>
  </w:endnote>
  <w:endnote w:type="continuationSeparator" w:id="0">
    <w:p w14:paraId="64F9A239" w14:textId="77777777" w:rsidR="003B2E51" w:rsidRDefault="003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5478" w14:textId="77777777" w:rsidR="003B2E51" w:rsidRDefault="003B2E51">
      <w:r>
        <w:t>____________________</w:t>
      </w:r>
    </w:p>
  </w:footnote>
  <w:footnote w:type="continuationSeparator" w:id="0">
    <w:p w14:paraId="6BA7950A" w14:textId="77777777" w:rsidR="003B2E51" w:rsidRDefault="003B2E51">
      <w:r>
        <w:continuationSeparator/>
      </w:r>
    </w:p>
  </w:footnote>
  <w:footnote w:id="1">
    <w:p w14:paraId="0862D888" w14:textId="77777777" w:rsidR="00D256A7" w:rsidRPr="00AB7C09" w:rsidRDefault="00D256A7" w:rsidP="00D256A7">
      <w:pPr>
        <w:pStyle w:val="FootnoteText"/>
        <w:rPr>
          <w:lang w:val="en-US"/>
        </w:rPr>
      </w:pPr>
      <w:r w:rsidRPr="00D256A7">
        <w:rPr>
          <w:rStyle w:val="FootnoteReference"/>
        </w:rPr>
        <w:sym w:font="Symbol" w:char="F02A"/>
      </w:r>
      <w:r>
        <w:t xml:space="preserve"> </w:t>
      </w:r>
      <w:r w:rsidRPr="005B2053">
        <w:t xml:space="preserve">Radiocommunication Study Group </w:t>
      </w:r>
      <w:r>
        <w:t>4</w:t>
      </w:r>
      <w:r w:rsidRPr="005B2053">
        <w:t xml:space="preserve"> made editorial amendments to this Question in the year 2023 in accordance with Resolution ITU-R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FEC3" w14:textId="11563C7C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</w:t>
    </w:r>
    <w:r w:rsidR="00812CC1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2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B2E51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66640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2CC1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A5228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B7C09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256A7"/>
    <w:rsid w:val="00D6546B"/>
    <w:rsid w:val="00DB178B"/>
    <w:rsid w:val="00DC17D3"/>
    <w:rsid w:val="00DD4BED"/>
    <w:rsid w:val="00DE39F0"/>
    <w:rsid w:val="00DF0AF3"/>
    <w:rsid w:val="00DF7E9F"/>
    <w:rsid w:val="00E25F89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300AB"/>
  <w15:docId w15:val="{1C78AE19-8E35-4F63-A47F-17AC392A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rsid w:val="009A5228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A5228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D256A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22</TotalTime>
  <Pages>2</Pages>
  <Words>385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ITU BR</dc:creator>
  <cp:lastModifiedBy>BRSGD</cp:lastModifiedBy>
  <cp:revision>6</cp:revision>
  <cp:lastPrinted>2008-02-21T14:04:00Z</cp:lastPrinted>
  <dcterms:created xsi:type="dcterms:W3CDTF">2023-07-03T13:42:00Z</dcterms:created>
  <dcterms:modified xsi:type="dcterms:W3CDTF">2023-09-20T14:24:00Z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