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4C204" w14:textId="77777777" w:rsidR="00B35C9B" w:rsidRDefault="00B35C9B" w:rsidP="00B35C9B">
      <w:pPr>
        <w:pStyle w:val="QuestionNoBR"/>
      </w:pPr>
      <w:r>
        <w:t>CUESTIÓN UIT-R 110-1/4</w:t>
      </w:r>
    </w:p>
    <w:p w14:paraId="0943E2CE" w14:textId="77777777" w:rsidR="00B35C9B" w:rsidRDefault="00B35C9B" w:rsidP="00B35C9B">
      <w:pPr>
        <w:pStyle w:val="Questiontitle"/>
      </w:pPr>
      <w:r>
        <w:t>Interferencia causada al servicio móvil aeronáutico (R) por satélite</w:t>
      </w:r>
    </w:p>
    <w:p w14:paraId="0C60BA07" w14:textId="77777777" w:rsidR="00B35C9B" w:rsidRDefault="00B35C9B" w:rsidP="00B35C9B">
      <w:pPr>
        <w:pStyle w:val="Questiondate"/>
      </w:pPr>
      <w:r>
        <w:t>(1992-2002)</w:t>
      </w:r>
    </w:p>
    <w:p w14:paraId="75CD5311" w14:textId="77777777" w:rsidR="00B35C9B" w:rsidRDefault="00B35C9B" w:rsidP="00D60BE3">
      <w:pPr>
        <w:pStyle w:val="Normalaftertitle"/>
        <w:spacing w:before="280"/>
      </w:pPr>
      <w:r>
        <w:t>La</w:t>
      </w:r>
      <w:r>
        <w:rPr>
          <w:caps/>
        </w:rPr>
        <w:t xml:space="preserve"> </w:t>
      </w:r>
      <w:r>
        <w:t>Asamblea</w:t>
      </w:r>
      <w:r>
        <w:rPr>
          <w:caps/>
        </w:rPr>
        <w:t xml:space="preserve"> </w:t>
      </w:r>
      <w:r>
        <w:t>de</w:t>
      </w:r>
      <w:r>
        <w:rPr>
          <w:caps/>
        </w:rPr>
        <w:t xml:space="preserve"> </w:t>
      </w:r>
      <w:r>
        <w:t>Radiocomunicaciones</w:t>
      </w:r>
      <w:r>
        <w:rPr>
          <w:caps/>
        </w:rPr>
        <w:t xml:space="preserve"> </w:t>
      </w:r>
      <w:r>
        <w:t>de</w:t>
      </w:r>
      <w:r>
        <w:rPr>
          <w:caps/>
        </w:rPr>
        <w:t xml:space="preserve"> </w:t>
      </w:r>
      <w:r>
        <w:t>la</w:t>
      </w:r>
      <w:r>
        <w:rPr>
          <w:caps/>
        </w:rPr>
        <w:t xml:space="preserve"> </w:t>
      </w:r>
      <w:r>
        <w:t>UIT,</w:t>
      </w:r>
    </w:p>
    <w:p w14:paraId="60F899AD" w14:textId="77777777" w:rsidR="00B35C9B" w:rsidRDefault="00B35C9B" w:rsidP="00D60BE3">
      <w:pPr>
        <w:pStyle w:val="Call"/>
        <w:jc w:val="both"/>
      </w:pPr>
      <w:r>
        <w:t>considerando</w:t>
      </w:r>
    </w:p>
    <w:p w14:paraId="3C2C6E45" w14:textId="77777777" w:rsidR="00B35C9B" w:rsidRDefault="00B35C9B" w:rsidP="00D60BE3">
      <w:pPr>
        <w:jc w:val="both"/>
      </w:pPr>
      <w:r w:rsidRPr="00B35C9B">
        <w:rPr>
          <w:i/>
          <w:iCs/>
        </w:rPr>
        <w:t>a)</w:t>
      </w:r>
      <w:r>
        <w:tab/>
        <w:t xml:space="preserve">que el servicio móvil aeronáutico (R) por satélite (SMA(R)S) proporciona comunicaciones relacionadas con la seguridad y la regularidad de los vuelos (véanse los números </w:t>
      </w:r>
      <w:r w:rsidRPr="00D60BE3">
        <w:rPr>
          <w:b/>
          <w:bCs/>
        </w:rPr>
        <w:t>1.36</w:t>
      </w:r>
      <w:r>
        <w:t xml:space="preserve"> y </w:t>
      </w:r>
      <w:r w:rsidRPr="00D60BE3">
        <w:rPr>
          <w:b/>
          <w:bCs/>
        </w:rPr>
        <w:t>1.59</w:t>
      </w:r>
      <w:r>
        <w:t xml:space="preserve"> del Reglamento de Radiocomunicaciones (RR));</w:t>
      </w:r>
    </w:p>
    <w:p w14:paraId="0F8F208A" w14:textId="77777777" w:rsidR="00B35C9B" w:rsidRDefault="00B35C9B" w:rsidP="00D60BE3">
      <w:pPr>
        <w:pStyle w:val="Normalaftertitle"/>
        <w:spacing w:before="60"/>
        <w:jc w:val="both"/>
      </w:pPr>
      <w:r w:rsidRPr="00B35C9B">
        <w:rPr>
          <w:i/>
          <w:iCs/>
        </w:rPr>
        <w:t>b)</w:t>
      </w:r>
      <w:r>
        <w:tab/>
        <w:t>que es necesario impedir que el SMA(R)S sufra interferencia perjudicial;</w:t>
      </w:r>
    </w:p>
    <w:p w14:paraId="00E00EF3" w14:textId="77777777" w:rsidR="00B35C9B" w:rsidRDefault="00B35C9B" w:rsidP="00D60BE3">
      <w:pPr>
        <w:spacing w:before="60"/>
        <w:jc w:val="both"/>
      </w:pPr>
      <w:r w:rsidRPr="00B35C9B">
        <w:rPr>
          <w:i/>
          <w:iCs/>
        </w:rPr>
        <w:t>c)</w:t>
      </w:r>
      <w:r>
        <w:tab/>
        <w:t>que los tipos de radiación capaces de causar interferencia perjudicial pueden diferir mucho, según las características técnicas y de explotación de los servicios de que se trate;</w:t>
      </w:r>
    </w:p>
    <w:p w14:paraId="2EAA3853" w14:textId="77777777" w:rsidR="00B35C9B" w:rsidRDefault="00B35C9B" w:rsidP="00D60BE3">
      <w:pPr>
        <w:spacing w:before="60"/>
        <w:jc w:val="both"/>
      </w:pPr>
      <w:r w:rsidRPr="00B35C9B">
        <w:rPr>
          <w:i/>
          <w:iCs/>
        </w:rPr>
        <w:t>d)</w:t>
      </w:r>
      <w:r>
        <w:tab/>
        <w:t>que en ciertos casos puede resultar imposible determinar con detalle las características de la radiación interferente;</w:t>
      </w:r>
    </w:p>
    <w:p w14:paraId="533F9CE6" w14:textId="77777777" w:rsidR="00B35C9B" w:rsidRDefault="00B35C9B" w:rsidP="00D60BE3">
      <w:pPr>
        <w:spacing w:before="60"/>
        <w:jc w:val="both"/>
      </w:pPr>
      <w:r w:rsidRPr="00B35C9B">
        <w:rPr>
          <w:i/>
          <w:iCs/>
        </w:rPr>
        <w:t>e)</w:t>
      </w:r>
      <w:r>
        <w:tab/>
        <w:t>que las radiaciones procedentes de fuentes capaces de causar interferencia perjudicial están, o deberían estar, sujetas a ciertas normas;</w:t>
      </w:r>
    </w:p>
    <w:p w14:paraId="4A72F33E" w14:textId="77777777" w:rsidR="00B35C9B" w:rsidRDefault="00B35C9B" w:rsidP="00D60BE3">
      <w:pPr>
        <w:spacing w:before="60"/>
        <w:jc w:val="both"/>
      </w:pPr>
      <w:r w:rsidRPr="00B35C9B">
        <w:rPr>
          <w:i/>
          <w:iCs/>
        </w:rPr>
        <w:t>f)</w:t>
      </w:r>
      <w:r>
        <w:tab/>
        <w:t>que las administraciones son las únicas que pueden controlar de manera efectiva la interferencia perjudicial;</w:t>
      </w:r>
    </w:p>
    <w:p w14:paraId="36EA5EDA" w14:textId="016DBC5B" w:rsidR="00B35C9B" w:rsidRDefault="00B35C9B" w:rsidP="00D60BE3">
      <w:pPr>
        <w:spacing w:before="60"/>
        <w:jc w:val="both"/>
      </w:pPr>
      <w:r w:rsidRPr="00B35C9B">
        <w:rPr>
          <w:i/>
          <w:iCs/>
        </w:rPr>
        <w:t>g)</w:t>
      </w:r>
      <w:r>
        <w:tab/>
        <w:t>que los Estados Contratantes de la Organización de Aviación Civil Internacional (OACI) tienen ciertas obligaciones con respecto a las Normas y Prácticas Recomendadas aplicables a los SMA(R)S;</w:t>
      </w:r>
    </w:p>
    <w:p w14:paraId="5845960E" w14:textId="77777777" w:rsidR="00B35C9B" w:rsidRDefault="00B35C9B" w:rsidP="00D60BE3">
      <w:pPr>
        <w:spacing w:before="60"/>
        <w:jc w:val="both"/>
      </w:pPr>
      <w:r w:rsidRPr="00B35C9B">
        <w:rPr>
          <w:i/>
          <w:iCs/>
        </w:rPr>
        <w:t>h)</w:t>
      </w:r>
      <w:r>
        <w:tab/>
        <w:t xml:space="preserve">que en el número </w:t>
      </w:r>
      <w:r w:rsidRPr="00D60BE3">
        <w:rPr>
          <w:b/>
          <w:bCs/>
        </w:rPr>
        <w:t>4.10</w:t>
      </w:r>
      <w:r>
        <w:t xml:space="preserve"> del RR se reconoce que los servicios de seguridad requieren medidas especiales para garantizar que estén libres de interferencia perjudicial;</w:t>
      </w:r>
    </w:p>
    <w:p w14:paraId="009A6E28" w14:textId="453FBE5D" w:rsidR="00B35C9B" w:rsidRDefault="00D60BE3" w:rsidP="00D60BE3">
      <w:pPr>
        <w:spacing w:before="60"/>
        <w:jc w:val="both"/>
      </w:pPr>
      <w:r>
        <w:rPr>
          <w:i/>
          <w:iCs/>
        </w:rPr>
        <w:t>i</w:t>
      </w:r>
      <w:r w:rsidR="00B35C9B" w:rsidRPr="00B35C9B">
        <w:rPr>
          <w:i/>
          <w:iCs/>
        </w:rPr>
        <w:t>)</w:t>
      </w:r>
      <w:r w:rsidR="00B35C9B">
        <w:tab/>
        <w:t>que en un servicio de seguridad deben tomarse bastantes precauciones para asegurarse de que todo servicio radioeléctrico que comparta las mismas bandas de frecuencias esté sujeto a restricciones en un grado suficiente como para que exista un margen adecuado en todas las circunstancias posibles;</w:t>
      </w:r>
    </w:p>
    <w:p w14:paraId="3F80AA8E" w14:textId="1CC04D8B" w:rsidR="00B35C9B" w:rsidRDefault="00D60BE3" w:rsidP="00D60BE3">
      <w:pPr>
        <w:spacing w:before="60"/>
        <w:jc w:val="both"/>
      </w:pPr>
      <w:r>
        <w:rPr>
          <w:i/>
          <w:iCs/>
        </w:rPr>
        <w:t>j</w:t>
      </w:r>
      <w:r w:rsidR="00B35C9B" w:rsidRPr="00B35C9B">
        <w:rPr>
          <w:i/>
          <w:iCs/>
        </w:rPr>
        <w:t>)</w:t>
      </w:r>
      <w:r w:rsidR="00B35C9B">
        <w:tab/>
        <w:t xml:space="preserve">que ciertas partes de las bandas de frecuencias atribuidas al SMA(R)S están atribuidas también al servicio fijo en ciertos países (número </w:t>
      </w:r>
      <w:r w:rsidR="00B35C9B" w:rsidRPr="00D60BE3">
        <w:rPr>
          <w:b/>
          <w:bCs/>
        </w:rPr>
        <w:t>5.359</w:t>
      </w:r>
      <w:r w:rsidR="00B35C9B">
        <w:t xml:space="preserve"> del RR) a título primario con igualdad de derechos y que las mismas están también autorizadas condicionalmente para uso del servicio móvil aeronáutico (R) (número </w:t>
      </w:r>
      <w:r w:rsidR="00B35C9B" w:rsidRPr="00D60BE3">
        <w:rPr>
          <w:b/>
          <w:bCs/>
        </w:rPr>
        <w:t>5.357</w:t>
      </w:r>
      <w:r w:rsidR="00B35C9B">
        <w:t xml:space="preserve"> del RR);</w:t>
      </w:r>
    </w:p>
    <w:p w14:paraId="461BE201" w14:textId="7098929B" w:rsidR="00B35C9B" w:rsidRDefault="00D60BE3" w:rsidP="00D60BE3">
      <w:pPr>
        <w:spacing w:before="60"/>
        <w:jc w:val="both"/>
      </w:pPr>
      <w:r>
        <w:rPr>
          <w:i/>
          <w:iCs/>
        </w:rPr>
        <w:t>k</w:t>
      </w:r>
      <w:r w:rsidR="00B35C9B" w:rsidRPr="00B35C9B">
        <w:rPr>
          <w:i/>
          <w:iCs/>
        </w:rPr>
        <w:t>)</w:t>
      </w:r>
      <w:r w:rsidR="00B35C9B">
        <w:tab/>
        <w:t>que la Recomendación UIT-R M.1234 se elaboró para recomendar criterios de protección aplicables al SMA(R)S en lo que respecta a la interferencia combinada y a la procedente de una sola fuente,</w:t>
      </w:r>
    </w:p>
    <w:p w14:paraId="36BA0C31" w14:textId="77777777" w:rsidR="00B35C9B" w:rsidRPr="00C415CC" w:rsidRDefault="00B35C9B" w:rsidP="00D60BE3">
      <w:pPr>
        <w:pStyle w:val="Call"/>
        <w:jc w:val="both"/>
        <w:rPr>
          <w:i w:val="0"/>
          <w:iCs/>
        </w:rPr>
      </w:pPr>
      <w:r>
        <w:t xml:space="preserve">decide </w:t>
      </w:r>
      <w:r w:rsidRPr="00C415CC">
        <w:rPr>
          <w:i w:val="0"/>
          <w:iCs/>
        </w:rPr>
        <w:t>poner a estudio la</w:t>
      </w:r>
      <w:r>
        <w:rPr>
          <w:i w:val="0"/>
          <w:iCs/>
        </w:rPr>
        <w:t>s</w:t>
      </w:r>
      <w:r w:rsidRPr="00C415CC">
        <w:rPr>
          <w:i w:val="0"/>
          <w:iCs/>
        </w:rPr>
        <w:t xml:space="preserve"> siguiente</w:t>
      </w:r>
      <w:r>
        <w:rPr>
          <w:i w:val="0"/>
          <w:iCs/>
        </w:rPr>
        <w:t>s Cuestio</w:t>
      </w:r>
      <w:r w:rsidRPr="00C415CC">
        <w:rPr>
          <w:i w:val="0"/>
          <w:iCs/>
        </w:rPr>
        <w:t>n</w:t>
      </w:r>
      <w:r>
        <w:rPr>
          <w:i w:val="0"/>
          <w:iCs/>
        </w:rPr>
        <w:t>es</w:t>
      </w:r>
    </w:p>
    <w:p w14:paraId="1A7286C0" w14:textId="77777777" w:rsidR="00B35C9B" w:rsidRDefault="00B35C9B" w:rsidP="00D60BE3">
      <w:pPr>
        <w:jc w:val="both"/>
      </w:pPr>
      <w:r w:rsidRPr="00BB38AC">
        <w:rPr>
          <w:bCs/>
        </w:rPr>
        <w:t>1</w:t>
      </w:r>
      <w:r>
        <w:tab/>
        <w:t>¿Cuáles son los métodos recomendados para el cálculo de la interferencia causada al SMA(R)S?</w:t>
      </w:r>
    </w:p>
    <w:p w14:paraId="36A82A26" w14:textId="77777777" w:rsidR="00B35C9B" w:rsidRDefault="00B35C9B" w:rsidP="00D60BE3">
      <w:pPr>
        <w:jc w:val="both"/>
      </w:pPr>
      <w:r w:rsidRPr="00BB38AC">
        <w:rPr>
          <w:bCs/>
        </w:rPr>
        <w:t>2</w:t>
      </w:r>
      <w:r>
        <w:tab/>
        <w:t>¿Cómo deben tenerse en cuenta en los criterios de protección del SMA(R)S las emisiones fuera de banda de otros servicios radioeléctricos y de los equipos ICM que funcionan en otras bandas?</w:t>
      </w:r>
    </w:p>
    <w:p w14:paraId="17D14D27" w14:textId="77777777" w:rsidR="00B35C9B" w:rsidRDefault="00B35C9B" w:rsidP="00D60BE3">
      <w:pPr>
        <w:pStyle w:val="Call"/>
        <w:jc w:val="both"/>
      </w:pPr>
      <w:r>
        <w:lastRenderedPageBreak/>
        <w:t>decide también</w:t>
      </w:r>
    </w:p>
    <w:p w14:paraId="538987A4" w14:textId="77777777" w:rsidR="00B35C9B" w:rsidRDefault="00B35C9B" w:rsidP="00D60BE3">
      <w:pPr>
        <w:jc w:val="both"/>
      </w:pPr>
      <w:r w:rsidRPr="00250D17">
        <w:rPr>
          <w:bCs/>
        </w:rPr>
        <w:t>1</w:t>
      </w:r>
      <w:r>
        <w:tab/>
        <w:t>que los resultados de estos estudios se incluyan en Recomendaciones y/o Informes apropiados;</w:t>
      </w:r>
    </w:p>
    <w:p w14:paraId="5E257A70" w14:textId="247DAC18" w:rsidR="00B35C9B" w:rsidRDefault="00B35C9B" w:rsidP="00D60BE3">
      <w:pPr>
        <w:jc w:val="both"/>
      </w:pPr>
      <w:r w:rsidRPr="00250D17">
        <w:rPr>
          <w:bCs/>
        </w:rPr>
        <w:t>2</w:t>
      </w:r>
      <w:r>
        <w:rPr>
          <w:b/>
        </w:rPr>
        <w:tab/>
      </w:r>
      <w:r>
        <w:t>que dic</w:t>
      </w:r>
      <w:r w:rsidR="00225BE7">
        <w:t>hos estudios se terminen en 202</w:t>
      </w:r>
      <w:r w:rsidR="00D60BE3">
        <w:t>7</w:t>
      </w:r>
      <w:r>
        <w:t xml:space="preserve"> como muy tarde.</w:t>
      </w:r>
    </w:p>
    <w:p w14:paraId="7B6942EE" w14:textId="77777777" w:rsidR="00B35C9B" w:rsidRPr="00675EC0" w:rsidRDefault="00B35C9B" w:rsidP="00D60BE3">
      <w:pPr>
        <w:spacing w:before="360"/>
        <w:jc w:val="both"/>
        <w:rPr>
          <w:lang w:val="es-ES"/>
        </w:rPr>
      </w:pPr>
      <w:r w:rsidRPr="00675EC0">
        <w:rPr>
          <w:lang w:val="es-ES"/>
        </w:rPr>
        <w:t>Categoría: S</w:t>
      </w:r>
      <w:r>
        <w:rPr>
          <w:lang w:val="es-ES"/>
        </w:rPr>
        <w:t>2</w:t>
      </w:r>
    </w:p>
    <w:sectPr w:rsidR="00B35C9B" w:rsidRPr="00675EC0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77CAA" w14:textId="77777777" w:rsidR="00C44CD8" w:rsidRDefault="00C44CD8">
      <w:r>
        <w:separator/>
      </w:r>
    </w:p>
  </w:endnote>
  <w:endnote w:type="continuationSeparator" w:id="0">
    <w:p w14:paraId="7E227C4D" w14:textId="77777777" w:rsidR="00C44CD8" w:rsidRDefault="00C4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0F269" w14:textId="77777777" w:rsidR="00C44CD8" w:rsidRDefault="00C44CD8">
      <w:r>
        <w:t>____________________</w:t>
      </w:r>
    </w:p>
  </w:footnote>
  <w:footnote w:type="continuationSeparator" w:id="0">
    <w:p w14:paraId="699FA04F" w14:textId="77777777" w:rsidR="00C44CD8" w:rsidRDefault="00C44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E0AFE" w14:textId="77777777" w:rsidR="00C44CD8" w:rsidRDefault="00C44CD8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25BE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95E"/>
    <w:rsid w:val="00007C65"/>
    <w:rsid w:val="00007F41"/>
    <w:rsid w:val="00011304"/>
    <w:rsid w:val="0001272D"/>
    <w:rsid w:val="000130D7"/>
    <w:rsid w:val="00027FA7"/>
    <w:rsid w:val="00034615"/>
    <w:rsid w:val="00053C0C"/>
    <w:rsid w:val="00081162"/>
    <w:rsid w:val="0008549C"/>
    <w:rsid w:val="000B1937"/>
    <w:rsid w:val="000C3C50"/>
    <w:rsid w:val="000C5BDA"/>
    <w:rsid w:val="00105A36"/>
    <w:rsid w:val="00110AFA"/>
    <w:rsid w:val="001209FB"/>
    <w:rsid w:val="00124FF7"/>
    <w:rsid w:val="0014311A"/>
    <w:rsid w:val="00190B55"/>
    <w:rsid w:val="0019540A"/>
    <w:rsid w:val="001B0C14"/>
    <w:rsid w:val="001B59F5"/>
    <w:rsid w:val="001B7683"/>
    <w:rsid w:val="001C5CC7"/>
    <w:rsid w:val="001E448C"/>
    <w:rsid w:val="00225BE7"/>
    <w:rsid w:val="00233C95"/>
    <w:rsid w:val="00250D17"/>
    <w:rsid w:val="002561A4"/>
    <w:rsid w:val="00274AF5"/>
    <w:rsid w:val="0028559E"/>
    <w:rsid w:val="00286286"/>
    <w:rsid w:val="00296DC0"/>
    <w:rsid w:val="002B2B3E"/>
    <w:rsid w:val="002B6DE8"/>
    <w:rsid w:val="002C08B4"/>
    <w:rsid w:val="002D1F79"/>
    <w:rsid w:val="002D7604"/>
    <w:rsid w:val="002E0CE6"/>
    <w:rsid w:val="002F7AB6"/>
    <w:rsid w:val="00324C9B"/>
    <w:rsid w:val="003366F2"/>
    <w:rsid w:val="00344C92"/>
    <w:rsid w:val="0037142C"/>
    <w:rsid w:val="00377C50"/>
    <w:rsid w:val="0038044C"/>
    <w:rsid w:val="00380A7C"/>
    <w:rsid w:val="003A16DE"/>
    <w:rsid w:val="003C0613"/>
    <w:rsid w:val="003E30FF"/>
    <w:rsid w:val="003E3632"/>
    <w:rsid w:val="003E4083"/>
    <w:rsid w:val="004049E9"/>
    <w:rsid w:val="00413E2B"/>
    <w:rsid w:val="00420F0B"/>
    <w:rsid w:val="004344D4"/>
    <w:rsid w:val="00450883"/>
    <w:rsid w:val="004649CF"/>
    <w:rsid w:val="00466B1D"/>
    <w:rsid w:val="0047112F"/>
    <w:rsid w:val="00477A86"/>
    <w:rsid w:val="00492B34"/>
    <w:rsid w:val="004C72AC"/>
    <w:rsid w:val="004D30A2"/>
    <w:rsid w:val="005036A8"/>
    <w:rsid w:val="00506BED"/>
    <w:rsid w:val="005072D9"/>
    <w:rsid w:val="005117BE"/>
    <w:rsid w:val="0053095E"/>
    <w:rsid w:val="00530F94"/>
    <w:rsid w:val="00536D1D"/>
    <w:rsid w:val="005371E8"/>
    <w:rsid w:val="005405C5"/>
    <w:rsid w:val="0054620D"/>
    <w:rsid w:val="00572779"/>
    <w:rsid w:val="00576178"/>
    <w:rsid w:val="0059052B"/>
    <w:rsid w:val="00596556"/>
    <w:rsid w:val="005A464F"/>
    <w:rsid w:val="005E2666"/>
    <w:rsid w:val="005F7698"/>
    <w:rsid w:val="00601209"/>
    <w:rsid w:val="00611F89"/>
    <w:rsid w:val="006120F7"/>
    <w:rsid w:val="00644C9A"/>
    <w:rsid w:val="00647EE7"/>
    <w:rsid w:val="00647F90"/>
    <w:rsid w:val="00667028"/>
    <w:rsid w:val="00676A5A"/>
    <w:rsid w:val="00676E4B"/>
    <w:rsid w:val="006B5304"/>
    <w:rsid w:val="006C0E1A"/>
    <w:rsid w:val="006F7F46"/>
    <w:rsid w:val="00703420"/>
    <w:rsid w:val="00741252"/>
    <w:rsid w:val="007476B3"/>
    <w:rsid w:val="00747E62"/>
    <w:rsid w:val="0075006A"/>
    <w:rsid w:val="00757BC6"/>
    <w:rsid w:val="007601E8"/>
    <w:rsid w:val="007840B0"/>
    <w:rsid w:val="007A6B85"/>
    <w:rsid w:val="007B13A4"/>
    <w:rsid w:val="007C13F5"/>
    <w:rsid w:val="007C227E"/>
    <w:rsid w:val="007F1776"/>
    <w:rsid w:val="00860AC6"/>
    <w:rsid w:val="00870A2A"/>
    <w:rsid w:val="00896614"/>
    <w:rsid w:val="008A364B"/>
    <w:rsid w:val="008B0632"/>
    <w:rsid w:val="008C4F9E"/>
    <w:rsid w:val="008D6D08"/>
    <w:rsid w:val="008F749B"/>
    <w:rsid w:val="00923903"/>
    <w:rsid w:val="009249BF"/>
    <w:rsid w:val="00966982"/>
    <w:rsid w:val="0098301B"/>
    <w:rsid w:val="009959CC"/>
    <w:rsid w:val="009E529C"/>
    <w:rsid w:val="009F2090"/>
    <w:rsid w:val="00A022BA"/>
    <w:rsid w:val="00A052BA"/>
    <w:rsid w:val="00A31782"/>
    <w:rsid w:val="00A3205A"/>
    <w:rsid w:val="00A50EBB"/>
    <w:rsid w:val="00A602DA"/>
    <w:rsid w:val="00A96F23"/>
    <w:rsid w:val="00AB6B49"/>
    <w:rsid w:val="00AC1214"/>
    <w:rsid w:val="00AC4862"/>
    <w:rsid w:val="00AF08D1"/>
    <w:rsid w:val="00B04751"/>
    <w:rsid w:val="00B11D4F"/>
    <w:rsid w:val="00B20950"/>
    <w:rsid w:val="00B25724"/>
    <w:rsid w:val="00B35C9B"/>
    <w:rsid w:val="00B4285C"/>
    <w:rsid w:val="00BB38AC"/>
    <w:rsid w:val="00BC6A51"/>
    <w:rsid w:val="00BF7146"/>
    <w:rsid w:val="00BF7210"/>
    <w:rsid w:val="00BF7CCC"/>
    <w:rsid w:val="00C304EB"/>
    <w:rsid w:val="00C41B2B"/>
    <w:rsid w:val="00C44CD8"/>
    <w:rsid w:val="00C706C6"/>
    <w:rsid w:val="00C73011"/>
    <w:rsid w:val="00C8236A"/>
    <w:rsid w:val="00C86DF5"/>
    <w:rsid w:val="00CC6B5F"/>
    <w:rsid w:val="00CE47FD"/>
    <w:rsid w:val="00CE7533"/>
    <w:rsid w:val="00CF4DCC"/>
    <w:rsid w:val="00D11A24"/>
    <w:rsid w:val="00D1218A"/>
    <w:rsid w:val="00D2543D"/>
    <w:rsid w:val="00D26587"/>
    <w:rsid w:val="00D60BE3"/>
    <w:rsid w:val="00D754E1"/>
    <w:rsid w:val="00DB0FA6"/>
    <w:rsid w:val="00DD7D50"/>
    <w:rsid w:val="00E23304"/>
    <w:rsid w:val="00E302E3"/>
    <w:rsid w:val="00E31F8D"/>
    <w:rsid w:val="00E60DB2"/>
    <w:rsid w:val="00E80010"/>
    <w:rsid w:val="00E82059"/>
    <w:rsid w:val="00EF1EF9"/>
    <w:rsid w:val="00F27EB2"/>
    <w:rsid w:val="00F46BD5"/>
    <w:rsid w:val="00F57F51"/>
    <w:rsid w:val="00F67147"/>
    <w:rsid w:val="00F76498"/>
    <w:rsid w:val="00F766A9"/>
    <w:rsid w:val="00F76777"/>
    <w:rsid w:val="00FA6685"/>
    <w:rsid w:val="00FC77AF"/>
    <w:rsid w:val="00FD1C93"/>
    <w:rsid w:val="00FD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45867"/>
  <w15:docId w15:val="{DF1AD21C-9549-49D2-9203-179F7686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Char">
    <w:name w:val="Char"/>
    <w:basedOn w:val="Normal"/>
    <w:rsid w:val="0053095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enumlev1Char">
    <w:name w:val="enumlev1 Char"/>
    <w:basedOn w:val="DefaultParagraphFont"/>
    <w:link w:val="enumlev1"/>
    <w:rsid w:val="0053095E"/>
    <w:rPr>
      <w:sz w:val="24"/>
      <w:lang w:val="es-ES_tradnl" w:eastAsia="en-US" w:bidi="ar-SA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53095E"/>
    <w:pPr>
      <w:overflowPunct/>
      <w:autoSpaceDE/>
      <w:autoSpaceDN/>
      <w:adjustRightInd/>
      <w:spacing w:before="320"/>
      <w:textAlignment w:val="auto"/>
    </w:pPr>
    <w:rPr>
      <w:lang w:val="es-E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27EB2"/>
    <w:rPr>
      <w:sz w:val="22"/>
      <w:lang w:val="es-ES_tradnl" w:eastAsia="en-US" w:bidi="ar-SA"/>
    </w:rPr>
  </w:style>
  <w:style w:type="character" w:customStyle="1" w:styleId="Title1Char">
    <w:name w:val="Title 1 Char"/>
    <w:basedOn w:val="DefaultParagraphFont"/>
    <w:link w:val="Title1"/>
    <w:rsid w:val="00F27EB2"/>
    <w:rPr>
      <w:caps/>
      <w:sz w:val="28"/>
      <w:lang w:val="es-ES_tradnl" w:eastAsia="en-US" w:bidi="ar-SA"/>
    </w:rPr>
  </w:style>
  <w:style w:type="paragraph" w:customStyle="1" w:styleId="Reasons">
    <w:name w:val="Reasons"/>
    <w:basedOn w:val="Normal"/>
    <w:qFormat/>
    <w:rsid w:val="0038044C"/>
    <w:pPr>
      <w:tabs>
        <w:tab w:val="clear" w:pos="794"/>
        <w:tab w:val="clear" w:pos="1191"/>
        <w:tab w:val="left" w:pos="1134"/>
      </w:tabs>
    </w:pPr>
  </w:style>
  <w:style w:type="table" w:styleId="TableGrid">
    <w:name w:val="Table Grid"/>
    <w:basedOn w:val="TableNormal"/>
    <w:rsid w:val="003804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8044C"/>
    <w:rPr>
      <w:color w:val="0000FF"/>
      <w:u w:val="single"/>
    </w:rPr>
  </w:style>
  <w:style w:type="paragraph" w:customStyle="1" w:styleId="call0">
    <w:name w:val="call"/>
    <w:basedOn w:val="Normal"/>
    <w:next w:val="Normal"/>
    <w:rsid w:val="0038044C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  <w:style w:type="paragraph" w:customStyle="1" w:styleId="QuestionNoBR">
    <w:name w:val="Question_No_BR"/>
    <w:basedOn w:val="Normal"/>
    <w:next w:val="Normal"/>
    <w:link w:val="QuestionNoBRChar"/>
    <w:rsid w:val="007A6B85"/>
    <w:pPr>
      <w:keepNext/>
      <w:keepLines/>
      <w:spacing w:before="480"/>
      <w:jc w:val="center"/>
    </w:pPr>
    <w:rPr>
      <w:caps/>
      <w:sz w:val="28"/>
    </w:rPr>
  </w:style>
  <w:style w:type="character" w:customStyle="1" w:styleId="NormalaftertitleChar">
    <w:name w:val="Normal_after_title Char"/>
    <w:basedOn w:val="DefaultParagraphFont"/>
    <w:link w:val="Normalaftertitle"/>
    <w:rsid w:val="00757BC6"/>
    <w:rPr>
      <w:rFonts w:ascii="Times New Roman" w:hAnsi="Times New Roman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757BC6"/>
    <w:rPr>
      <w:rFonts w:ascii="Times New Roman" w:hAnsi="Times New Roman"/>
      <w:i/>
      <w:sz w:val="24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8D6D08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locked/>
    <w:rsid w:val="006C0E1A"/>
    <w:rPr>
      <w:rFonts w:ascii="Times New Roman" w:hAnsi="Times New Roman"/>
      <w:sz w:val="24"/>
      <w:lang w:val="es-ES" w:eastAsia="en-US"/>
    </w:rPr>
  </w:style>
  <w:style w:type="paragraph" w:customStyle="1" w:styleId="AnnexRef">
    <w:name w:val="Annex_Ref"/>
    <w:basedOn w:val="Normal"/>
    <w:next w:val="Normal"/>
    <w:rsid w:val="002561A4"/>
    <w:pPr>
      <w:keepNext/>
      <w:keepLines/>
      <w:overflowPunct/>
      <w:autoSpaceDE/>
      <w:autoSpaceDN/>
      <w:adjustRightInd/>
      <w:jc w:val="center"/>
      <w:textAlignment w:val="auto"/>
    </w:pPr>
  </w:style>
  <w:style w:type="paragraph" w:customStyle="1" w:styleId="AnnexNo">
    <w:name w:val="Annex_No"/>
    <w:basedOn w:val="Normal"/>
    <w:next w:val="AnnexRef"/>
    <w:rsid w:val="002561A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Notitle0">
    <w:name w:val="Annex_No &amp; title"/>
    <w:basedOn w:val="Normal"/>
    <w:next w:val="Normalaftertitle"/>
    <w:link w:val="AnnexNotitleChar"/>
    <w:rsid w:val="00D754E1"/>
    <w:pPr>
      <w:keepNext/>
      <w:keepLines/>
      <w:spacing w:before="480"/>
      <w:jc w:val="center"/>
    </w:pPr>
    <w:rPr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0"/>
    <w:rsid w:val="00D754E1"/>
    <w:rPr>
      <w:rFonts w:ascii="Times New Roman" w:hAnsi="Times New Roman"/>
      <w:b/>
      <w:sz w:val="28"/>
      <w:lang w:val="fr-FR" w:eastAsia="en-US"/>
    </w:rPr>
  </w:style>
  <w:style w:type="paragraph" w:customStyle="1" w:styleId="Annextitle">
    <w:name w:val="Annex_title"/>
    <w:basedOn w:val="Normal"/>
    <w:next w:val="Normal"/>
    <w:rsid w:val="00053C0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QuestionTitleDate">
    <w:name w:val="Question_Title/Date"/>
    <w:basedOn w:val="Normal"/>
    <w:next w:val="Normal"/>
    <w:rsid w:val="003E30FF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Times" w:hAnsi="Times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1373E-82B2-414A-95AA-7DE4032CD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PS_BR.DOT</Template>
  <TotalTime>5</TotalTime>
  <Pages>2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Comisiones de Estudio de Radiocomunicaciones</vt:lpstr>
    </vt:vector>
  </TitlesOfParts>
  <Manager>General Secretariat - Pool</Manager>
  <Company>International Telecommunication Union (ITU)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de Estudio de Radiocomunicaciones</dc:title>
  <dc:subject>Comisiones de estudio de radiocomunicaciones</dc:subject>
  <dc:creator>POOL</dc:creator>
  <cp:keywords/>
  <dc:description>PS_BR.DOT  For: _x000d_Document date: _x000d_Saved by TRA44246 at 14:48:33 on 25.02.2008</dc:description>
  <cp:lastModifiedBy>Author1</cp:lastModifiedBy>
  <cp:revision>6</cp:revision>
  <cp:lastPrinted>2012-03-12T15:13:00Z</cp:lastPrinted>
  <dcterms:created xsi:type="dcterms:W3CDTF">2012-05-01T14:01:00Z</dcterms:created>
  <dcterms:modified xsi:type="dcterms:W3CDTF">2024-01-26T14:13:00Z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