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23EE8" w14:textId="77777777" w:rsidR="003877CF" w:rsidRDefault="003877CF" w:rsidP="00A469CC">
      <w:pPr>
        <w:pStyle w:val="QuestionNoBR"/>
        <w:rPr>
          <w:rFonts w:asciiTheme="majorBidi" w:hAnsiTheme="majorBidi" w:cstheme="majorBidi"/>
          <w:lang w:eastAsia="ja-JP"/>
        </w:rPr>
      </w:pPr>
      <w:r>
        <w:rPr>
          <w:rFonts w:asciiTheme="majorBidi" w:hAnsiTheme="majorBidi" w:cstheme="majorBidi"/>
        </w:rPr>
        <w:t>cuestión uit-r 234/3</w:t>
      </w:r>
    </w:p>
    <w:p w14:paraId="61E4313B" w14:textId="77777777" w:rsidR="003877CF" w:rsidRPr="007A6644" w:rsidRDefault="003877CF" w:rsidP="00A469CC">
      <w:pPr>
        <w:keepNext/>
        <w:keepLines/>
        <w:spacing w:before="360"/>
        <w:jc w:val="center"/>
        <w:rPr>
          <w:rFonts w:asciiTheme="majorBidi" w:hAnsiTheme="majorBidi" w:cstheme="majorBidi"/>
          <w:b/>
          <w:sz w:val="28"/>
          <w:lang w:val="es-ES"/>
        </w:rPr>
      </w:pPr>
      <w:r w:rsidRPr="007A6644">
        <w:rPr>
          <w:rFonts w:asciiTheme="majorBidi" w:hAnsiTheme="majorBidi" w:cstheme="majorBidi"/>
          <w:b/>
          <w:sz w:val="28"/>
          <w:lang w:val="es-ES"/>
        </w:rPr>
        <w:t>Cálculo de los índices de centelleo atmosférico</w:t>
      </w:r>
    </w:p>
    <w:p w14:paraId="0A41944E" w14:textId="77777777" w:rsidR="003877CF" w:rsidRPr="007A6644" w:rsidRDefault="003877CF" w:rsidP="00A469CC">
      <w:pPr>
        <w:pStyle w:val="Questiondate"/>
        <w:rPr>
          <w:rFonts w:asciiTheme="majorBidi" w:eastAsia="Batang" w:hAnsiTheme="majorBidi" w:cstheme="majorBidi"/>
          <w:iCs/>
          <w:lang w:val="es-ES"/>
        </w:rPr>
      </w:pPr>
      <w:r w:rsidRPr="007A6644">
        <w:rPr>
          <w:rFonts w:asciiTheme="majorBidi" w:eastAsia="Batang" w:hAnsiTheme="majorBidi" w:cstheme="majorBidi"/>
          <w:iCs/>
          <w:lang w:val="es-ES"/>
        </w:rPr>
        <w:t>(2017)</w:t>
      </w:r>
    </w:p>
    <w:p w14:paraId="10E32F15" w14:textId="77777777" w:rsidR="003877CF" w:rsidRDefault="003877CF" w:rsidP="007A6644">
      <w:pPr>
        <w:pStyle w:val="Normalaftertitle0"/>
        <w:jc w:val="both"/>
        <w:rPr>
          <w:rFonts w:asciiTheme="majorBidi" w:hAnsiTheme="majorBidi" w:cstheme="majorBidi"/>
          <w:lang w:val="es-ES_tradnl"/>
        </w:rPr>
      </w:pPr>
      <w:r>
        <w:rPr>
          <w:rFonts w:asciiTheme="majorBidi" w:hAnsiTheme="majorBidi" w:cstheme="majorBidi"/>
          <w:lang w:val="es-ES_tradnl"/>
        </w:rPr>
        <w:t>La Asamblea de Radiocomunicaciones de la UIT,</w:t>
      </w:r>
    </w:p>
    <w:p w14:paraId="7691FBB0" w14:textId="77777777" w:rsidR="003877CF" w:rsidRPr="007A6644" w:rsidRDefault="003877CF" w:rsidP="007A6644">
      <w:pPr>
        <w:pStyle w:val="Call"/>
        <w:jc w:val="both"/>
        <w:rPr>
          <w:rFonts w:asciiTheme="majorBidi" w:hAnsiTheme="majorBidi" w:cstheme="majorBidi"/>
          <w:szCs w:val="24"/>
          <w:lang w:val="es-ES"/>
        </w:rPr>
      </w:pPr>
      <w:r w:rsidRPr="007A6644">
        <w:rPr>
          <w:rFonts w:asciiTheme="majorBidi" w:hAnsiTheme="majorBidi" w:cstheme="majorBidi"/>
          <w:szCs w:val="24"/>
          <w:lang w:val="es-ES"/>
        </w:rPr>
        <w:t>considerando</w:t>
      </w:r>
    </w:p>
    <w:p w14:paraId="59717E94" w14:textId="77777777" w:rsidR="003877CF" w:rsidRPr="007A6644" w:rsidRDefault="003877CF" w:rsidP="007A6644">
      <w:pPr>
        <w:jc w:val="both"/>
        <w:rPr>
          <w:rFonts w:asciiTheme="majorBidi" w:hAnsiTheme="majorBidi" w:cstheme="majorBidi"/>
          <w:szCs w:val="24"/>
          <w:lang w:val="es-ES"/>
        </w:rPr>
      </w:pPr>
      <w:r w:rsidRPr="007A6644">
        <w:rPr>
          <w:rFonts w:asciiTheme="majorBidi" w:hAnsiTheme="majorBidi" w:cstheme="majorBidi"/>
          <w:i/>
          <w:szCs w:val="24"/>
          <w:lang w:val="es-ES"/>
        </w:rPr>
        <w:t>a)</w:t>
      </w:r>
      <w:r w:rsidRPr="007A6644">
        <w:rPr>
          <w:rFonts w:asciiTheme="majorBidi" w:hAnsiTheme="majorBidi" w:cstheme="majorBidi"/>
          <w:szCs w:val="24"/>
          <w:lang w:val="es-ES"/>
        </w:rPr>
        <w:tab/>
        <w:t>que en el caso de algunos sistemas de elevada calidad de funcionamiento, en los que intervienen satélites, debe tenerse en cuenta el efecto del centelleo ionosférico para las señales de frecuencia inferior a 3 GHz, que puede observarse ocasionalmente hasta los 10 GHz;</w:t>
      </w:r>
    </w:p>
    <w:p w14:paraId="7211E67A" w14:textId="77777777" w:rsidR="003877CF" w:rsidRPr="007A6644" w:rsidRDefault="003877CF" w:rsidP="007A6644">
      <w:pPr>
        <w:jc w:val="both"/>
        <w:rPr>
          <w:rFonts w:asciiTheme="majorBidi" w:hAnsiTheme="majorBidi" w:cstheme="majorBidi"/>
          <w:szCs w:val="24"/>
          <w:lang w:val="es-ES"/>
        </w:rPr>
      </w:pPr>
      <w:r w:rsidRPr="007A6644">
        <w:rPr>
          <w:rFonts w:asciiTheme="majorBidi" w:hAnsiTheme="majorBidi" w:cstheme="majorBidi"/>
          <w:i/>
          <w:szCs w:val="24"/>
          <w:lang w:val="es-ES"/>
        </w:rPr>
        <w:t>b)</w:t>
      </w:r>
      <w:r w:rsidRPr="007A6644">
        <w:rPr>
          <w:rFonts w:asciiTheme="majorBidi" w:hAnsiTheme="majorBidi" w:cstheme="majorBidi"/>
          <w:szCs w:val="24"/>
          <w:lang w:val="es-ES"/>
        </w:rPr>
        <w:tab/>
        <w:t>que varios sistemas de satélites, incluidos los servicios móvil por satélite y de radionavegación por satélite, emplean redes de satélites no geoestacionarios;</w:t>
      </w:r>
    </w:p>
    <w:p w14:paraId="33C3DA0C" w14:textId="77777777" w:rsidR="003877CF" w:rsidRPr="007A6644" w:rsidRDefault="003877CF" w:rsidP="007A6644">
      <w:pPr>
        <w:jc w:val="both"/>
        <w:rPr>
          <w:rFonts w:asciiTheme="majorBidi" w:hAnsiTheme="majorBidi" w:cstheme="majorBidi"/>
          <w:szCs w:val="24"/>
          <w:lang w:val="es-ES"/>
        </w:rPr>
      </w:pPr>
      <w:r w:rsidRPr="007A6644">
        <w:rPr>
          <w:rFonts w:asciiTheme="majorBidi" w:hAnsiTheme="majorBidi" w:cstheme="majorBidi"/>
          <w:i/>
          <w:szCs w:val="24"/>
          <w:lang w:val="es-ES"/>
        </w:rPr>
        <w:t>c)</w:t>
      </w:r>
      <w:r w:rsidRPr="007A6644">
        <w:rPr>
          <w:rFonts w:asciiTheme="majorBidi" w:hAnsiTheme="majorBidi" w:cstheme="majorBidi"/>
          <w:i/>
          <w:szCs w:val="24"/>
          <w:lang w:val="es-ES"/>
        </w:rPr>
        <w:tab/>
      </w:r>
      <w:r w:rsidRPr="007A6644">
        <w:rPr>
          <w:rFonts w:asciiTheme="majorBidi" w:hAnsiTheme="majorBidi" w:cstheme="majorBidi"/>
          <w:szCs w:val="24"/>
          <w:lang w:val="es-ES"/>
        </w:rPr>
        <w:t>que, cuando se produce un evento de centelleo, se observan rápidas fluctuaciones de amplitud y fase, modificándose las propiedades de coherencia temporal de la señal;</w:t>
      </w:r>
    </w:p>
    <w:p w14:paraId="7B90BE6B" w14:textId="77777777" w:rsidR="003877CF" w:rsidRPr="007A6644" w:rsidRDefault="003877CF" w:rsidP="007A6644">
      <w:pPr>
        <w:jc w:val="both"/>
        <w:rPr>
          <w:rFonts w:asciiTheme="majorBidi" w:hAnsiTheme="majorBidi" w:cstheme="majorBidi"/>
          <w:szCs w:val="24"/>
          <w:lang w:val="es-ES"/>
        </w:rPr>
      </w:pPr>
      <w:r w:rsidRPr="007A6644">
        <w:rPr>
          <w:rFonts w:asciiTheme="majorBidi" w:hAnsiTheme="majorBidi" w:cstheme="majorBidi"/>
          <w:i/>
          <w:szCs w:val="24"/>
          <w:lang w:val="es-ES"/>
        </w:rPr>
        <w:t>d)</w:t>
      </w:r>
      <w:r w:rsidRPr="007A6644">
        <w:rPr>
          <w:rFonts w:asciiTheme="majorBidi" w:hAnsiTheme="majorBidi" w:cstheme="majorBidi"/>
          <w:szCs w:val="24"/>
          <w:lang w:val="es-ES"/>
        </w:rPr>
        <w:tab/>
        <w:t xml:space="preserve">que, en el servicio de radionavegación por satélite, el centelleo puede provocar errores de ciclo, degradar la precisión de la determinación de la posición y, si el evento reviste especial intensidad, dar lugar a la pérdida total del enganche de la señal, </w:t>
      </w:r>
    </w:p>
    <w:p w14:paraId="7AE61AAF" w14:textId="77777777" w:rsidR="003877CF" w:rsidRPr="007A6644" w:rsidRDefault="003877CF" w:rsidP="007A6644">
      <w:pPr>
        <w:pStyle w:val="Call"/>
        <w:jc w:val="both"/>
        <w:rPr>
          <w:rFonts w:asciiTheme="majorBidi" w:hAnsiTheme="majorBidi" w:cstheme="majorBidi"/>
          <w:iCs/>
          <w:szCs w:val="24"/>
          <w:lang w:val="es-ES"/>
        </w:rPr>
      </w:pPr>
      <w:r w:rsidRPr="007A6644">
        <w:rPr>
          <w:rFonts w:asciiTheme="majorBidi" w:hAnsiTheme="majorBidi" w:cstheme="majorBidi"/>
          <w:szCs w:val="24"/>
          <w:lang w:val="es-ES"/>
        </w:rPr>
        <w:t>decide</w:t>
      </w:r>
      <w:r w:rsidRPr="007A6644">
        <w:rPr>
          <w:rFonts w:asciiTheme="majorBidi" w:hAnsiTheme="majorBidi" w:cstheme="majorBidi"/>
          <w:iCs/>
          <w:szCs w:val="24"/>
          <w:lang w:val="es-ES"/>
        </w:rPr>
        <w:t xml:space="preserve"> </w:t>
      </w:r>
      <w:r w:rsidRPr="007A6644">
        <w:rPr>
          <w:rFonts w:asciiTheme="majorBidi" w:hAnsiTheme="majorBidi" w:cstheme="majorBidi"/>
          <w:i w:val="0"/>
          <w:szCs w:val="24"/>
          <w:lang w:val="es-ES"/>
        </w:rPr>
        <w:t>poner a estudio la siguiente Cuestión</w:t>
      </w:r>
    </w:p>
    <w:p w14:paraId="689AA9AD" w14:textId="77777777" w:rsidR="003877CF" w:rsidRPr="007A6644" w:rsidRDefault="003877CF" w:rsidP="007A6644">
      <w:pPr>
        <w:jc w:val="both"/>
        <w:rPr>
          <w:rFonts w:asciiTheme="majorBidi" w:hAnsiTheme="majorBidi" w:cstheme="majorBidi"/>
          <w:szCs w:val="24"/>
          <w:lang w:val="es-ES"/>
        </w:rPr>
      </w:pPr>
      <w:r w:rsidRPr="007A6644">
        <w:rPr>
          <w:rFonts w:asciiTheme="majorBidi" w:hAnsiTheme="majorBidi" w:cstheme="majorBidi"/>
          <w:szCs w:val="24"/>
          <w:lang w:val="es-ES"/>
        </w:rPr>
        <w:t xml:space="preserve">para el cálculo de los índices ionosféricos </w:t>
      </w:r>
      <w:proofErr w:type="spellStart"/>
      <w:r w:rsidRPr="007A6644">
        <w:rPr>
          <w:rFonts w:asciiTheme="majorBidi" w:hAnsiTheme="majorBidi" w:cstheme="majorBidi"/>
          <w:szCs w:val="24"/>
          <w:lang w:val="es-ES"/>
        </w:rPr>
        <w:t>S4</w:t>
      </w:r>
      <w:proofErr w:type="spellEnd"/>
      <w:r w:rsidRPr="007A6644">
        <w:rPr>
          <w:rFonts w:asciiTheme="majorBidi" w:hAnsiTheme="majorBidi" w:cstheme="majorBidi"/>
          <w:szCs w:val="24"/>
          <w:lang w:val="es-ES"/>
        </w:rPr>
        <w:t xml:space="preserve"> y </w:t>
      </w:r>
      <w:proofErr w:type="spellStart"/>
      <w:r>
        <w:rPr>
          <w:rFonts w:asciiTheme="majorBidi" w:hAnsiTheme="majorBidi" w:cstheme="majorBidi"/>
          <w:szCs w:val="24"/>
        </w:rPr>
        <w:t>σ</w:t>
      </w:r>
      <w:r>
        <w:rPr>
          <w:rFonts w:asciiTheme="majorBidi" w:hAnsiTheme="majorBidi" w:cstheme="majorBidi"/>
          <w:szCs w:val="24"/>
          <w:vertAlign w:val="subscript"/>
        </w:rPr>
        <w:t>φ</w:t>
      </w:r>
      <w:proofErr w:type="spellEnd"/>
      <w:r w:rsidRPr="007A6644">
        <w:rPr>
          <w:rFonts w:asciiTheme="majorBidi" w:hAnsiTheme="majorBidi" w:cstheme="majorBidi"/>
          <w:szCs w:val="24"/>
          <w:lang w:val="es-ES"/>
        </w:rPr>
        <w:t>, qué repercusión tienen factores tales como los siguientes:</w:t>
      </w:r>
    </w:p>
    <w:p w14:paraId="106C46AA" w14:textId="77777777" w:rsidR="003877CF" w:rsidRPr="007A6644" w:rsidRDefault="003877CF" w:rsidP="007A6644">
      <w:pPr>
        <w:pStyle w:val="enumlev1"/>
        <w:jc w:val="both"/>
        <w:rPr>
          <w:rFonts w:asciiTheme="majorBidi" w:hAnsiTheme="majorBidi" w:cstheme="majorBidi"/>
          <w:szCs w:val="24"/>
          <w:lang w:val="es-ES"/>
        </w:rPr>
      </w:pPr>
      <w:r w:rsidRPr="007A6644">
        <w:rPr>
          <w:rFonts w:asciiTheme="majorBidi" w:hAnsiTheme="majorBidi" w:cstheme="majorBidi"/>
          <w:szCs w:val="24"/>
          <w:lang w:val="es-ES"/>
        </w:rPr>
        <w:t>–</w:t>
      </w:r>
      <w:r w:rsidRPr="007A6644">
        <w:rPr>
          <w:rFonts w:asciiTheme="majorBidi" w:hAnsiTheme="majorBidi" w:cstheme="majorBidi"/>
          <w:szCs w:val="24"/>
          <w:lang w:val="es-ES"/>
        </w:rPr>
        <w:tab/>
        <w:t>el proceso de deducción de la tendencia;</w:t>
      </w:r>
    </w:p>
    <w:p w14:paraId="24DFA20E" w14:textId="77777777" w:rsidR="003877CF" w:rsidRPr="007A6644" w:rsidRDefault="003877CF" w:rsidP="007A6644">
      <w:pPr>
        <w:pStyle w:val="enumlev1"/>
        <w:jc w:val="both"/>
        <w:rPr>
          <w:rFonts w:asciiTheme="majorBidi" w:hAnsiTheme="majorBidi" w:cstheme="majorBidi"/>
          <w:iCs/>
          <w:szCs w:val="24"/>
          <w:lang w:val="es-ES"/>
        </w:rPr>
      </w:pPr>
      <w:r w:rsidRPr="007A6644">
        <w:rPr>
          <w:rFonts w:asciiTheme="majorBidi" w:hAnsiTheme="majorBidi" w:cstheme="majorBidi"/>
          <w:szCs w:val="24"/>
          <w:lang w:val="es-ES"/>
        </w:rPr>
        <w:t>–</w:t>
      </w:r>
      <w:r w:rsidRPr="007A6644">
        <w:rPr>
          <w:rFonts w:asciiTheme="majorBidi" w:hAnsiTheme="majorBidi" w:cstheme="majorBidi"/>
          <w:iCs/>
          <w:szCs w:val="24"/>
          <w:lang w:val="es-ES"/>
        </w:rPr>
        <w:tab/>
        <w:t>las frecuencias de corte de la densidad espectral de potencia de la señal;</w:t>
      </w:r>
    </w:p>
    <w:p w14:paraId="3258B2B4" w14:textId="77777777" w:rsidR="003877CF" w:rsidRPr="007A6644" w:rsidRDefault="003877CF" w:rsidP="007A6644">
      <w:pPr>
        <w:pStyle w:val="enumlev1"/>
        <w:jc w:val="both"/>
        <w:rPr>
          <w:rFonts w:asciiTheme="majorBidi" w:hAnsiTheme="majorBidi" w:cstheme="majorBidi"/>
          <w:iCs/>
          <w:szCs w:val="24"/>
          <w:lang w:val="es-ES"/>
        </w:rPr>
      </w:pPr>
      <w:r w:rsidRPr="007A6644">
        <w:rPr>
          <w:rFonts w:asciiTheme="majorBidi" w:hAnsiTheme="majorBidi" w:cstheme="majorBidi"/>
          <w:szCs w:val="24"/>
          <w:lang w:val="es-ES"/>
        </w:rPr>
        <w:t>–</w:t>
      </w:r>
      <w:r w:rsidRPr="007A6644">
        <w:rPr>
          <w:rFonts w:asciiTheme="majorBidi" w:hAnsiTheme="majorBidi" w:cstheme="majorBidi"/>
          <w:iCs/>
          <w:szCs w:val="24"/>
          <w:lang w:val="es-ES"/>
        </w:rPr>
        <w:tab/>
        <w:t>la frecuencia de muestreo de la densidad espectral de potencia de la señal;</w:t>
      </w:r>
    </w:p>
    <w:p w14:paraId="0FCC5F09" w14:textId="77777777" w:rsidR="003877CF" w:rsidRPr="007A6644" w:rsidRDefault="003877CF" w:rsidP="007A6644">
      <w:pPr>
        <w:pStyle w:val="enumlev1"/>
        <w:jc w:val="both"/>
        <w:rPr>
          <w:rFonts w:asciiTheme="majorBidi" w:hAnsiTheme="majorBidi" w:cstheme="majorBidi"/>
          <w:iCs/>
          <w:szCs w:val="24"/>
          <w:lang w:val="es-ES"/>
        </w:rPr>
      </w:pPr>
      <w:r w:rsidRPr="007A6644">
        <w:rPr>
          <w:rFonts w:asciiTheme="majorBidi" w:hAnsiTheme="majorBidi" w:cstheme="majorBidi"/>
          <w:szCs w:val="24"/>
          <w:lang w:val="es-ES"/>
        </w:rPr>
        <w:t>–</w:t>
      </w:r>
      <w:r w:rsidRPr="007A6644">
        <w:rPr>
          <w:rFonts w:asciiTheme="majorBidi" w:hAnsiTheme="majorBidi" w:cstheme="majorBidi"/>
          <w:iCs/>
          <w:szCs w:val="24"/>
          <w:lang w:val="es-ES"/>
        </w:rPr>
        <w:tab/>
        <w:t>la duración de la señal;</w:t>
      </w:r>
    </w:p>
    <w:p w14:paraId="2E66A63A" w14:textId="77777777" w:rsidR="003877CF" w:rsidRPr="007A6644" w:rsidRDefault="003877CF" w:rsidP="007A6644">
      <w:pPr>
        <w:pStyle w:val="enumlev1"/>
        <w:jc w:val="both"/>
        <w:rPr>
          <w:rFonts w:asciiTheme="majorBidi" w:hAnsiTheme="majorBidi" w:cstheme="majorBidi"/>
          <w:iCs/>
          <w:szCs w:val="24"/>
          <w:lang w:val="es-ES"/>
        </w:rPr>
      </w:pPr>
      <w:r w:rsidRPr="007A6644">
        <w:rPr>
          <w:rFonts w:asciiTheme="majorBidi" w:hAnsiTheme="majorBidi" w:cstheme="majorBidi"/>
          <w:szCs w:val="24"/>
          <w:lang w:val="es-ES"/>
        </w:rPr>
        <w:t>–</w:t>
      </w:r>
      <w:r w:rsidRPr="007A6644">
        <w:rPr>
          <w:rFonts w:asciiTheme="majorBidi" w:hAnsiTheme="majorBidi" w:cstheme="majorBidi"/>
          <w:iCs/>
          <w:szCs w:val="24"/>
          <w:lang w:val="es-ES"/>
        </w:rPr>
        <w:tab/>
        <w:t xml:space="preserve">el receptor del </w:t>
      </w:r>
      <w:proofErr w:type="spellStart"/>
      <w:r w:rsidRPr="007A6644">
        <w:rPr>
          <w:rFonts w:asciiTheme="majorBidi" w:hAnsiTheme="majorBidi" w:cstheme="majorBidi"/>
          <w:iCs/>
          <w:szCs w:val="24"/>
          <w:lang w:val="es-ES"/>
        </w:rPr>
        <w:t>GNSS</w:t>
      </w:r>
      <w:proofErr w:type="spellEnd"/>
      <w:r w:rsidRPr="007A6644">
        <w:rPr>
          <w:rFonts w:asciiTheme="majorBidi" w:hAnsiTheme="majorBidi" w:cstheme="majorBidi"/>
          <w:iCs/>
          <w:szCs w:val="24"/>
          <w:lang w:val="es-ES"/>
        </w:rPr>
        <w:t>,</w:t>
      </w:r>
    </w:p>
    <w:p w14:paraId="3303BD43" w14:textId="77777777" w:rsidR="003877CF" w:rsidRPr="007A6644" w:rsidRDefault="003877CF" w:rsidP="007A6644">
      <w:pPr>
        <w:pStyle w:val="Call"/>
        <w:jc w:val="both"/>
        <w:rPr>
          <w:rFonts w:asciiTheme="majorBidi" w:hAnsiTheme="majorBidi" w:cstheme="majorBidi"/>
          <w:i w:val="0"/>
          <w:szCs w:val="24"/>
          <w:lang w:val="es-ES"/>
        </w:rPr>
      </w:pPr>
      <w:r w:rsidRPr="007A6644">
        <w:rPr>
          <w:rFonts w:asciiTheme="majorBidi" w:hAnsiTheme="majorBidi" w:cstheme="majorBidi"/>
          <w:szCs w:val="24"/>
          <w:lang w:val="es-ES"/>
        </w:rPr>
        <w:t>decide además</w:t>
      </w:r>
    </w:p>
    <w:p w14:paraId="3180840A" w14:textId="77777777" w:rsidR="003877CF" w:rsidRPr="007A6644" w:rsidRDefault="003877CF" w:rsidP="007A6644">
      <w:pPr>
        <w:jc w:val="both"/>
        <w:rPr>
          <w:rFonts w:asciiTheme="majorBidi" w:hAnsiTheme="majorBidi" w:cstheme="majorBidi"/>
          <w:szCs w:val="24"/>
          <w:lang w:val="es-ES"/>
        </w:rPr>
      </w:pPr>
      <w:r w:rsidRPr="007A6644">
        <w:rPr>
          <w:rFonts w:asciiTheme="majorBidi" w:hAnsiTheme="majorBidi" w:cstheme="majorBidi"/>
          <w:szCs w:val="24"/>
          <w:lang w:val="es-ES"/>
        </w:rPr>
        <w:t>1</w:t>
      </w:r>
      <w:r w:rsidRPr="007A6644">
        <w:rPr>
          <w:rFonts w:asciiTheme="majorBidi" w:hAnsiTheme="majorBidi" w:cstheme="majorBidi"/>
          <w:szCs w:val="24"/>
          <w:lang w:val="es-ES"/>
        </w:rPr>
        <w:tab/>
        <w:t>que la información disponible se organice como nuevas Recomendaciones o revisiones a Recomendaciones existentes;</w:t>
      </w:r>
    </w:p>
    <w:p w14:paraId="2A563F2A" w14:textId="373771F5" w:rsidR="003877CF" w:rsidRPr="007A6644" w:rsidRDefault="003877CF" w:rsidP="007A6644">
      <w:pPr>
        <w:jc w:val="both"/>
        <w:rPr>
          <w:rFonts w:asciiTheme="majorBidi" w:hAnsiTheme="majorBidi" w:cstheme="majorBidi"/>
          <w:szCs w:val="24"/>
          <w:lang w:val="es-ES"/>
        </w:rPr>
      </w:pPr>
      <w:r w:rsidRPr="007A6644">
        <w:rPr>
          <w:rFonts w:asciiTheme="majorBidi" w:hAnsiTheme="majorBidi" w:cstheme="majorBidi"/>
          <w:szCs w:val="24"/>
          <w:lang w:val="es-ES"/>
        </w:rPr>
        <w:t>2</w:t>
      </w:r>
      <w:r w:rsidRPr="007A6644">
        <w:rPr>
          <w:rFonts w:asciiTheme="majorBidi" w:hAnsiTheme="majorBidi" w:cstheme="majorBidi"/>
          <w:szCs w:val="24"/>
          <w:lang w:val="es-ES"/>
        </w:rPr>
        <w:tab/>
        <w:t>que estos estudios finalicen en 202</w:t>
      </w:r>
      <w:bookmarkStart w:id="0" w:name="_GoBack"/>
      <w:bookmarkEnd w:id="0"/>
      <w:r w:rsidR="009411BA">
        <w:rPr>
          <w:rFonts w:asciiTheme="majorBidi" w:hAnsiTheme="majorBidi" w:cstheme="majorBidi"/>
          <w:szCs w:val="24"/>
          <w:lang w:val="es-ES"/>
        </w:rPr>
        <w:t>7</w:t>
      </w:r>
      <w:r w:rsidRPr="007A6644">
        <w:rPr>
          <w:rFonts w:asciiTheme="majorBidi" w:hAnsiTheme="majorBidi" w:cstheme="majorBidi"/>
          <w:szCs w:val="24"/>
          <w:lang w:val="es-ES"/>
        </w:rPr>
        <w:t>.</w:t>
      </w:r>
    </w:p>
    <w:p w14:paraId="2E87B4C3" w14:textId="651B844A" w:rsidR="003877CF" w:rsidRPr="009411BA" w:rsidRDefault="003877CF" w:rsidP="009411BA">
      <w:pPr>
        <w:spacing w:before="360"/>
        <w:jc w:val="both"/>
        <w:rPr>
          <w:rFonts w:asciiTheme="majorBidi" w:hAnsiTheme="majorBidi" w:cstheme="majorBidi"/>
          <w:iCs/>
          <w:szCs w:val="24"/>
        </w:rPr>
      </w:pPr>
      <w:r>
        <w:rPr>
          <w:rFonts w:asciiTheme="majorBidi" w:hAnsiTheme="majorBidi" w:cstheme="majorBidi"/>
          <w:iCs/>
          <w:szCs w:val="24"/>
        </w:rPr>
        <w:t xml:space="preserve">Categoría: </w:t>
      </w:r>
      <w:proofErr w:type="spellStart"/>
      <w:r>
        <w:rPr>
          <w:rFonts w:asciiTheme="majorBidi" w:hAnsiTheme="majorBidi" w:cstheme="majorBidi"/>
          <w:iCs/>
          <w:szCs w:val="24"/>
        </w:rPr>
        <w:t>S3</w:t>
      </w:r>
      <w:proofErr w:type="spellEnd"/>
    </w:p>
    <w:p w14:paraId="3E945FE3" w14:textId="77777777" w:rsidR="00860893" w:rsidRDefault="00860893" w:rsidP="00572779"/>
    <w:sectPr w:rsidR="00860893">
      <w:headerReference w:type="default" r:id="rId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DC6AA" w14:textId="77777777" w:rsidR="00A127AD" w:rsidRDefault="00A127AD">
      <w:r>
        <w:separator/>
      </w:r>
    </w:p>
  </w:endnote>
  <w:endnote w:type="continuationSeparator" w:id="0">
    <w:p w14:paraId="7E47254E" w14:textId="77777777" w:rsidR="00A127AD" w:rsidRDefault="00A12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45C03" w14:textId="77777777" w:rsidR="00A127AD" w:rsidRDefault="00A127AD">
      <w:r>
        <w:t>____________________</w:t>
      </w:r>
    </w:p>
  </w:footnote>
  <w:footnote w:type="continuationSeparator" w:id="0">
    <w:p w14:paraId="0B9480BD" w14:textId="77777777" w:rsidR="00A127AD" w:rsidRDefault="00A12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21D78" w14:textId="77777777" w:rsidR="00105A36" w:rsidRDefault="00105A36" w:rsidP="00572779">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572779">
      <w:rPr>
        <w:rStyle w:val="PageNumber"/>
        <w:noProof/>
      </w:rPr>
      <w:t>2</w:t>
    </w:r>
    <w:r>
      <w:rPr>
        <w:rStyle w:val="PageNumber"/>
      </w:rPr>
      <w:fldChar w:fldCharType="end"/>
    </w:r>
    <w:r>
      <w:rPr>
        <w:rStyle w:val="PageNumber"/>
      </w:rPr>
      <w:t xml:space="preserve"> </w:t>
    </w:r>
    <w:r w:rsidR="00572779">
      <w:rPr>
        <w:rStyle w:val="PageNumber"/>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7AD"/>
    <w:rsid w:val="00011304"/>
    <w:rsid w:val="00024946"/>
    <w:rsid w:val="00034615"/>
    <w:rsid w:val="0005654C"/>
    <w:rsid w:val="00105A36"/>
    <w:rsid w:val="00134DE9"/>
    <w:rsid w:val="00344C92"/>
    <w:rsid w:val="003877CF"/>
    <w:rsid w:val="004649CF"/>
    <w:rsid w:val="005036A8"/>
    <w:rsid w:val="00516A17"/>
    <w:rsid w:val="00525CEE"/>
    <w:rsid w:val="00572779"/>
    <w:rsid w:val="005A42D2"/>
    <w:rsid w:val="005B70A0"/>
    <w:rsid w:val="005D4A50"/>
    <w:rsid w:val="00667028"/>
    <w:rsid w:val="00677A46"/>
    <w:rsid w:val="006F778B"/>
    <w:rsid w:val="007B13A4"/>
    <w:rsid w:val="00860893"/>
    <w:rsid w:val="009411BA"/>
    <w:rsid w:val="009D1DC3"/>
    <w:rsid w:val="009E2590"/>
    <w:rsid w:val="00A127AD"/>
    <w:rsid w:val="00A31D52"/>
    <w:rsid w:val="00B966F9"/>
    <w:rsid w:val="00C049E0"/>
    <w:rsid w:val="00D33365"/>
    <w:rsid w:val="00E302E3"/>
    <w:rsid w:val="00FB4AC0"/>
    <w:rsid w:val="00FD11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8E586"/>
  <w15:docId w15:val="{B1EF406D-B64F-410E-A9A9-D7383321C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heading">
    <w:name w:val="Art_heading"/>
    <w:basedOn w:val="Normal"/>
    <w:next w:val="Normalaftertitle"/>
    <w:pPr>
      <w:spacing w:before="480"/>
      <w:jc w:val="center"/>
    </w:pPr>
    <w:rPr>
      <w:b/>
      <w:sz w:val="28"/>
    </w:rPr>
  </w:style>
  <w:style w:type="paragraph" w:customStyle="1" w:styleId="Normalaftertitle">
    <w:name w:val="Normal_after_title"/>
    <w:basedOn w:val="Normal"/>
    <w:next w:val="Normal"/>
    <w:pPr>
      <w:spacing w:before="360"/>
    </w:p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Tabletitle">
    <w:name w:val="Table_title"/>
    <w:basedOn w:val="Normal"/>
    <w:next w:val="Tablehead"/>
    <w:pPr>
      <w:keepNext/>
      <w:keepLines/>
      <w:spacing w:before="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te"/>
    <w:pPr>
      <w:keepLines/>
      <w:tabs>
        <w:tab w:val="left" w:pos="255"/>
      </w:tabs>
      <w:ind w:left="255" w:hanging="255"/>
    </w:pPr>
  </w:style>
  <w:style w:type="paragraph" w:customStyle="1" w:styleId="Note">
    <w:name w:val="Note"/>
    <w:basedOn w:val="Normal"/>
    <w:pPr>
      <w:spacing w:before="80"/>
    </w:pPr>
    <w:rPr>
      <w:sz w:val="22"/>
    </w:r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tyle>
  <w:style w:type="paragraph" w:styleId="Index2">
    <w:name w:val="index 2"/>
    <w:basedOn w:val="Normal"/>
    <w:next w:val="Normal"/>
    <w:pPr>
      <w:ind w:left="283"/>
    </w:pPr>
  </w:style>
  <w:style w:type="paragraph" w:styleId="Index3">
    <w:name w:val="index 3"/>
    <w:basedOn w:val="Normal"/>
    <w:next w:val="Normal"/>
    <w:pPr>
      <w:ind w:left="566"/>
    </w:p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spacing w:before="480"/>
      <w:jc w:val="center"/>
    </w:pPr>
    <w:rPr>
      <w:rFonts w:ascii="Times New Roman Bold" w:hAnsi="Times New Roman Bold"/>
      <w:b/>
      <w:sz w:val="28"/>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pPr>
      <w:keepNext/>
      <w:spacing w:before="560" w:after="120"/>
      <w:jc w:val="center"/>
    </w:pPr>
    <w:rPr>
      <w:caps/>
    </w:rPr>
  </w:style>
  <w:style w:type="paragraph" w:customStyle="1" w:styleId="Tableref">
    <w:name w:val="Table_ref"/>
    <w:basedOn w:val="Normal"/>
    <w:next w:val="Tabletitle"/>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pPr>
      <w:spacing w:before="80"/>
      <w:ind w:left="1531" w:hanging="851"/>
    </w:pPr>
  </w:style>
  <w:style w:type="paragraph" w:styleId="TOC3">
    <w:name w:val="toc 3"/>
    <w:basedOn w:val="TOC2"/>
  </w:style>
  <w:style w:type="paragraph" w:styleId="TOC4">
    <w:name w:val="toc 4"/>
    <w:basedOn w:val="TOC3"/>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character" w:customStyle="1" w:styleId="Appdef">
    <w:name w:val="App_def"/>
    <w:basedOn w:val="DefaultParagraphFont"/>
    <w:rsid w:val="00516A17"/>
    <w:rPr>
      <w:rFonts w:ascii="Times New Roman" w:hAnsi="Times New Roman"/>
      <w:b/>
    </w:rPr>
  </w:style>
  <w:style w:type="character" w:customStyle="1" w:styleId="Appref">
    <w:name w:val="App_ref"/>
    <w:basedOn w:val="DefaultParagraphFont"/>
    <w:rsid w:val="00516A17"/>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ormal">
    <w:name w:val="Formal"/>
    <w:basedOn w:val="ASN1"/>
    <w:rPr>
      <w:b w:val="0"/>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Figure">
    <w:name w:val="Figure"/>
    <w:basedOn w:val="Normal"/>
    <w:next w:val="Normal"/>
    <w:pPr>
      <w:keepNext/>
      <w:keepLines/>
      <w:spacing w:before="240" w:after="120"/>
      <w:jc w:val="center"/>
    </w:pPr>
  </w:style>
  <w:style w:type="character" w:styleId="PageNumber">
    <w:name w:val="page number"/>
    <w:basedOn w:val="DefaultParagraphFont"/>
  </w:style>
  <w:style w:type="paragraph" w:customStyle="1" w:styleId="Figuretitle">
    <w:name w:val="Figure_title"/>
    <w:basedOn w:val="Tabletitle"/>
    <w:next w:val="Normal"/>
  </w:style>
  <w:style w:type="paragraph" w:customStyle="1" w:styleId="FigureNo">
    <w:name w:val="Figure_No"/>
    <w:basedOn w:val="Normal"/>
    <w:next w:val="Figuretitle"/>
    <w:pPr>
      <w:keepNext/>
      <w:keepLines/>
      <w:spacing w:before="480" w:after="120"/>
      <w:jc w:val="center"/>
    </w:pPr>
    <w:rPr>
      <w:caps/>
    </w:rPr>
  </w:style>
  <w:style w:type="paragraph" w:customStyle="1" w:styleId="AnnexNo">
    <w:name w:val="Annex_No"/>
    <w:basedOn w:val="Normal"/>
    <w:next w:val="Normal"/>
    <w:rsid w:val="00516A17"/>
    <w:pPr>
      <w:keepNext/>
      <w:keepLines/>
      <w:tabs>
        <w:tab w:val="clear" w:pos="794"/>
        <w:tab w:val="clear" w:pos="1191"/>
        <w:tab w:val="clear" w:pos="1588"/>
        <w:tab w:val="clear" w:pos="1985"/>
        <w:tab w:val="left" w:pos="1134"/>
        <w:tab w:val="left" w:pos="1871"/>
        <w:tab w:val="left" w:pos="2268"/>
      </w:tabs>
      <w:spacing w:before="480" w:after="80"/>
      <w:jc w:val="center"/>
    </w:pPr>
    <w:rPr>
      <w:caps/>
      <w:sz w:val="28"/>
    </w:rPr>
  </w:style>
  <w:style w:type="paragraph" w:customStyle="1" w:styleId="Annexref">
    <w:name w:val="Annex_ref"/>
    <w:basedOn w:val="Normal"/>
    <w:next w:val="Normal"/>
    <w:rsid w:val="00516A17"/>
    <w:pPr>
      <w:keepNext/>
      <w:keepLines/>
      <w:tabs>
        <w:tab w:val="clear" w:pos="794"/>
        <w:tab w:val="clear" w:pos="1191"/>
        <w:tab w:val="clear" w:pos="1588"/>
        <w:tab w:val="clear" w:pos="1985"/>
        <w:tab w:val="left" w:pos="1134"/>
        <w:tab w:val="left" w:pos="1871"/>
        <w:tab w:val="left" w:pos="2268"/>
      </w:tabs>
      <w:spacing w:after="280"/>
      <w:jc w:val="center"/>
    </w:pPr>
  </w:style>
  <w:style w:type="paragraph" w:customStyle="1" w:styleId="Annextitle">
    <w:name w:val="Annex_title"/>
    <w:basedOn w:val="Normal"/>
    <w:next w:val="Normal"/>
    <w:rsid w:val="00516A17"/>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AppArtNo">
    <w:name w:val="App_Art_No"/>
    <w:basedOn w:val="ArtNo"/>
    <w:next w:val="Normal"/>
    <w:qFormat/>
    <w:rsid w:val="00516A17"/>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next w:val="Normal"/>
    <w:qFormat/>
    <w:rsid w:val="00516A17"/>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Normal"/>
    <w:qFormat/>
    <w:rsid w:val="00516A17"/>
    <w:pPr>
      <w:keepNext/>
      <w:keepLines/>
      <w:tabs>
        <w:tab w:val="clear" w:pos="794"/>
        <w:tab w:val="clear" w:pos="1191"/>
        <w:tab w:val="clear" w:pos="1588"/>
        <w:tab w:val="clear" w:pos="1985"/>
        <w:tab w:val="left" w:pos="1134"/>
        <w:tab w:val="left" w:pos="1871"/>
        <w:tab w:val="left" w:pos="2268"/>
      </w:tabs>
      <w:spacing w:before="480" w:after="80"/>
      <w:jc w:val="center"/>
    </w:pPr>
    <w:rPr>
      <w:caps/>
      <w:sz w:val="28"/>
    </w:rPr>
  </w:style>
  <w:style w:type="paragraph" w:customStyle="1" w:styleId="Headingsplit">
    <w:name w:val="Heading_split"/>
    <w:basedOn w:val="Headingi"/>
    <w:next w:val="Normal"/>
    <w:qFormat/>
    <w:rsid w:val="009E2590"/>
    <w:pPr>
      <w:tabs>
        <w:tab w:val="clear" w:pos="794"/>
        <w:tab w:val="clear" w:pos="1191"/>
        <w:tab w:val="clear" w:pos="1588"/>
        <w:tab w:val="clear" w:pos="1985"/>
        <w:tab w:val="left" w:pos="1134"/>
        <w:tab w:val="left" w:pos="1871"/>
        <w:tab w:val="left" w:pos="2268"/>
      </w:tabs>
    </w:pPr>
    <w:rPr>
      <w:rFonts w:ascii="Times" w:hAnsi="Times"/>
      <w:color w:val="000000"/>
    </w:rPr>
  </w:style>
  <w:style w:type="character" w:customStyle="1" w:styleId="Provsplit">
    <w:name w:val="Prov_split"/>
    <w:basedOn w:val="DefaultParagraphFont"/>
    <w:uiPriority w:val="1"/>
    <w:qFormat/>
    <w:rsid w:val="009E2590"/>
  </w:style>
  <w:style w:type="paragraph" w:customStyle="1" w:styleId="Normalaftertitle0">
    <w:name w:val="Normal after title"/>
    <w:basedOn w:val="Normal"/>
    <w:next w:val="Normal"/>
    <w:link w:val="NormalaftertitleChar"/>
    <w:rsid w:val="003877CF"/>
    <w:pPr>
      <w:tabs>
        <w:tab w:val="clear" w:pos="794"/>
        <w:tab w:val="clear" w:pos="1191"/>
        <w:tab w:val="clear" w:pos="1588"/>
        <w:tab w:val="clear" w:pos="1985"/>
        <w:tab w:val="left" w:pos="1134"/>
        <w:tab w:val="left" w:pos="1871"/>
        <w:tab w:val="left" w:pos="2268"/>
      </w:tabs>
      <w:spacing w:before="280"/>
    </w:pPr>
    <w:rPr>
      <w:lang w:val="en-GB"/>
    </w:rPr>
  </w:style>
  <w:style w:type="paragraph" w:customStyle="1" w:styleId="QuestionNoBR">
    <w:name w:val="Question_No_BR"/>
    <w:basedOn w:val="Normal"/>
    <w:next w:val="Normal"/>
    <w:rsid w:val="003877CF"/>
    <w:pPr>
      <w:keepNext/>
      <w:keepLines/>
      <w:spacing w:before="480"/>
      <w:jc w:val="center"/>
      <w:textAlignment w:val="auto"/>
    </w:pPr>
    <w:rPr>
      <w:caps/>
      <w:sz w:val="28"/>
    </w:rPr>
  </w:style>
  <w:style w:type="character" w:customStyle="1" w:styleId="NormalaftertitleChar">
    <w:name w:val="Normal after title Char"/>
    <w:basedOn w:val="DefaultParagraphFont"/>
    <w:link w:val="Normalaftertitle0"/>
    <w:locked/>
    <w:rsid w:val="003877CF"/>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S%20-%20ITU\PS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PS_BR.dotm</Template>
  <TotalTime>1</TotalTime>
  <Pages>1</Pages>
  <Words>248</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Comisiones de estudio de radiocomunicaciones</dc:subject>
  <dc:creator>Author</dc:creator>
  <dc:description>PS_BR.DOT  For: _x000d_Document date: _x000d_Saved by TRA44246 at 14:48:33 on 25.02.2008</dc:description>
  <cp:lastModifiedBy>Fernandez Jimenez, Virginia</cp:lastModifiedBy>
  <cp:revision>3</cp:revision>
  <cp:lastPrinted>2008-02-21T14:04:00Z</cp:lastPrinted>
  <dcterms:created xsi:type="dcterms:W3CDTF">2024-01-26T10:47:00Z</dcterms:created>
  <dcterms:modified xsi:type="dcterms:W3CDTF">2024-01-26T10:48:00Z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PS_BR.DOT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