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BC49" w14:textId="77777777" w:rsidR="00F06E3F" w:rsidRDefault="00F06E3F" w:rsidP="004E1E5B">
      <w:pPr>
        <w:pStyle w:val="QuestionNo"/>
      </w:pPr>
      <w:r>
        <w:rPr>
          <w:rtl/>
        </w:rPr>
        <w:t xml:space="preserve">المسـألة </w:t>
      </w:r>
      <w:r>
        <w:rPr>
          <w:lang w:val="en-GB"/>
        </w:rPr>
        <w:t>ITU-R 234/3</w:t>
      </w:r>
    </w:p>
    <w:p w14:paraId="672F075F" w14:textId="77777777" w:rsidR="00F06E3F" w:rsidRDefault="00F06E3F" w:rsidP="004E1E5B">
      <w:pPr>
        <w:pStyle w:val="Questiontitle"/>
        <w:rPr>
          <w:rtl/>
        </w:rPr>
      </w:pPr>
      <w:r>
        <w:rPr>
          <w:rtl/>
        </w:rPr>
        <w:t>حساب مؤشرات التلألؤ الأيونوسفيري</w:t>
      </w:r>
    </w:p>
    <w:p w14:paraId="123AB2F6" w14:textId="77777777" w:rsidR="00F06E3F" w:rsidRDefault="00F06E3F" w:rsidP="004E1E5B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jc w:val="right"/>
        <w:textAlignment w:val="baseline"/>
        <w:rPr>
          <w:rFonts w:eastAsia="PMingLiU"/>
          <w:rtl/>
          <w:lang w:bidi="ar-EG"/>
        </w:rPr>
      </w:pPr>
      <w:r>
        <w:rPr>
          <w:rFonts w:eastAsia="PMingLiU"/>
          <w:rtl/>
          <w:lang w:bidi="ar-EG"/>
        </w:rPr>
        <w:t> </w:t>
      </w:r>
      <w:r>
        <w:rPr>
          <w:rFonts w:eastAsia="PMingLiU"/>
          <w:lang w:bidi="ar-EG"/>
        </w:rPr>
        <w:t>(2017)</w:t>
      </w:r>
    </w:p>
    <w:p w14:paraId="70F04CF9" w14:textId="77777777" w:rsidR="00F06E3F" w:rsidRDefault="00F06E3F" w:rsidP="004E1E5B">
      <w:pPr>
        <w:tabs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ascii="Times New Roman" w:eastAsia="PMingLiU" w:hAnsi="Times New Roman"/>
          <w:rtl/>
          <w:lang w:val="en-GB" w:bidi="ar-EG"/>
        </w:rPr>
      </w:pPr>
      <w:r>
        <w:rPr>
          <w:rFonts w:ascii="Times New Roman" w:eastAsia="PMingLiU" w:hAnsi="Times New Roman"/>
          <w:rtl/>
          <w:lang w:val="en-GB" w:bidi="ar-EG"/>
        </w:rPr>
        <w:t>إن جمعية الاتصالات الراديوية للاتحاد الدولي للاتصالات،</w:t>
      </w:r>
    </w:p>
    <w:p w14:paraId="4DC5E2D8" w14:textId="77777777" w:rsidR="00F06E3F" w:rsidRDefault="00F06E3F" w:rsidP="004E1E5B">
      <w:pPr>
        <w:pStyle w:val="Call"/>
        <w:rPr>
          <w:rtl/>
          <w:lang w:bidi="ar-EG"/>
        </w:rPr>
      </w:pPr>
      <w:r>
        <w:rPr>
          <w:rtl/>
          <w:lang w:bidi="ar-EG"/>
        </w:rPr>
        <w:t>إذ تضع في اعتبارها</w:t>
      </w:r>
    </w:p>
    <w:p w14:paraId="3B9C5202" w14:textId="77777777" w:rsidR="00F06E3F" w:rsidRDefault="00F06E3F" w:rsidP="004E1E5B">
      <w:pPr>
        <w:rPr>
          <w:rtl/>
        </w:rPr>
      </w:pPr>
      <w:r>
        <w:rPr>
          <w:i/>
          <w:iCs/>
          <w:rtl/>
          <w:lang w:bidi="ar-EG"/>
        </w:rPr>
        <w:t> أ )</w:t>
      </w:r>
      <w:r>
        <w:rPr>
          <w:rtl/>
          <w:lang w:bidi="ar-EG"/>
        </w:rPr>
        <w:tab/>
        <w:t xml:space="preserve">أنه في حالة بعض الأنظمة عالية الأداء المتضمنة لسواتل، ينبغي دراسة تأثيرات التلألؤ الأيونوسفيري فيما يتعلق بالإشارات دون </w:t>
      </w:r>
      <w:r>
        <w:rPr>
          <w:lang w:bidi="ar-EG"/>
        </w:rPr>
        <w:t>GHz 3</w:t>
      </w:r>
      <w:r>
        <w:rPr>
          <w:rtl/>
          <w:lang w:bidi="ar-EG"/>
        </w:rPr>
        <w:t xml:space="preserve"> وقد تُرصد أحياناً حتى </w:t>
      </w:r>
      <w:r>
        <w:rPr>
          <w:lang w:bidi="ar-EG"/>
        </w:rPr>
        <w:t>GHz 10</w:t>
      </w:r>
      <w:r>
        <w:rPr>
          <w:rtl/>
          <w:lang w:bidi="ar-EG"/>
        </w:rPr>
        <w:t>؛</w:t>
      </w:r>
    </w:p>
    <w:p w14:paraId="7702F2E3" w14:textId="77777777" w:rsidR="00F06E3F" w:rsidRDefault="00F06E3F" w:rsidP="004E1E5B">
      <w:pPr>
        <w:rPr>
          <w:position w:val="2"/>
          <w:rtl/>
          <w:lang w:bidi="ar-EG"/>
        </w:rPr>
      </w:pPr>
      <w:r>
        <w:rPr>
          <w:i/>
          <w:iCs/>
          <w:position w:val="2"/>
          <w:rtl/>
          <w:lang w:bidi="ar-EG"/>
        </w:rPr>
        <w:t>ب)</w:t>
      </w:r>
      <w:r>
        <w:rPr>
          <w:position w:val="2"/>
          <w:rtl/>
          <w:lang w:bidi="ar-EG"/>
        </w:rPr>
        <w:tab/>
        <w:t xml:space="preserve">أن أنظمة ساتلية مختلفة، بما فيها الخدمات الساتلية المتنقلة وخدمات الملاحة </w:t>
      </w:r>
      <w:r>
        <w:rPr>
          <w:rtl/>
        </w:rPr>
        <w:t xml:space="preserve">الراديوية </w:t>
      </w:r>
      <w:r>
        <w:rPr>
          <w:position w:val="2"/>
          <w:rtl/>
          <w:lang w:bidi="ar-EG"/>
        </w:rPr>
        <w:t>الساتلية، تستعمل شبكات سواتل غير مستقرة بالنسبة إلى الأرض؛</w:t>
      </w:r>
    </w:p>
    <w:p w14:paraId="472CD857" w14:textId="77777777" w:rsidR="00F06E3F" w:rsidRDefault="00F06E3F" w:rsidP="004E1E5B">
      <w:pPr>
        <w:rPr>
          <w:spacing w:val="-2"/>
          <w:position w:val="2"/>
          <w:rtl/>
        </w:rPr>
      </w:pPr>
      <w:r>
        <w:rPr>
          <w:i/>
          <w:iCs/>
          <w:spacing w:val="-2"/>
          <w:position w:val="2"/>
          <w:rtl/>
          <w:lang w:bidi="ar-EG"/>
        </w:rPr>
        <w:t>ج)</w:t>
      </w:r>
      <w:r>
        <w:rPr>
          <w:spacing w:val="-2"/>
          <w:position w:val="2"/>
          <w:rtl/>
          <w:lang w:bidi="ar-EG"/>
        </w:rPr>
        <w:tab/>
        <w:t>أنه في حالة حدوث تلألؤ، تلاحَظ تقلبات سريعة في الاتساع والطور</w:t>
      </w:r>
      <w:r>
        <w:rPr>
          <w:color w:val="000000"/>
          <w:spacing w:val="-2"/>
          <w:rtl/>
        </w:rPr>
        <w:t xml:space="preserve"> مع تغيرات في خصائص الاتساق الزمني للإشارة؛</w:t>
      </w:r>
    </w:p>
    <w:p w14:paraId="1E744E69" w14:textId="77777777" w:rsidR="00F06E3F" w:rsidRDefault="00F06E3F" w:rsidP="004E1E5B">
      <w:pPr>
        <w:rPr>
          <w:position w:val="2"/>
          <w:rtl/>
          <w:lang w:bidi="ar-EG"/>
        </w:rPr>
      </w:pPr>
      <w:r>
        <w:rPr>
          <w:i/>
          <w:iCs/>
          <w:position w:val="2"/>
          <w:rtl/>
          <w:lang w:bidi="ar-EG"/>
        </w:rPr>
        <w:t>د )</w:t>
      </w:r>
      <w:r>
        <w:rPr>
          <w:position w:val="2"/>
          <w:rtl/>
          <w:lang w:bidi="ar-EG"/>
        </w:rPr>
        <w:tab/>
        <w:t xml:space="preserve">أنه في حالة خدمات الملاحة </w:t>
      </w:r>
      <w:r>
        <w:rPr>
          <w:rtl/>
        </w:rPr>
        <w:t xml:space="preserve">الراديوية </w:t>
      </w:r>
      <w:r>
        <w:rPr>
          <w:position w:val="2"/>
          <w:rtl/>
          <w:lang w:bidi="ar-EG"/>
        </w:rPr>
        <w:t>الساتلية، يمكن أن يتسبب التلألؤ في انزلاقات الدورة وتدهور دقة تحديد الموقع، ويمكن أن يؤدي في حالة حدث قوي، إلى الفقدان الكامل للاستحواذ على الإشارة،</w:t>
      </w:r>
    </w:p>
    <w:p w14:paraId="6EF0CC96" w14:textId="77777777" w:rsidR="00F06E3F" w:rsidRDefault="00F06E3F" w:rsidP="004E1E5B">
      <w:pPr>
        <w:pStyle w:val="Call"/>
        <w:rPr>
          <w:rtl/>
        </w:rPr>
      </w:pPr>
      <w:r>
        <w:rPr>
          <w:rtl/>
        </w:rPr>
        <w:t>تقرر طرح المسائل التالية للدراسة</w:t>
      </w:r>
    </w:p>
    <w:p w14:paraId="26E58A68" w14:textId="77777777" w:rsidR="00F06E3F" w:rsidRDefault="00F06E3F" w:rsidP="004E1E5B">
      <w:pPr>
        <w:rPr>
          <w:rtl/>
          <w:lang w:bidi="ar-EG"/>
        </w:rPr>
      </w:pPr>
      <w:r>
        <w:rPr>
          <w:rtl/>
          <w:lang w:bidi="ar-EG"/>
        </w:rPr>
        <w:t xml:space="preserve">لحساب المؤشرين الأيونوسفيريين </w:t>
      </w:r>
      <w:r>
        <w:rPr>
          <w:lang w:bidi="ar-EG"/>
        </w:rPr>
        <w:t>S4</w:t>
      </w:r>
      <w:r>
        <w:rPr>
          <w:rtl/>
          <w:lang w:bidi="ar-EG"/>
        </w:rPr>
        <w:t xml:space="preserve"> و</w:t>
      </w:r>
      <w:r>
        <w:rPr>
          <w:rFonts w:asciiTheme="majorBidi" w:hAnsiTheme="majorBidi" w:cstheme="majorBidi"/>
        </w:rPr>
        <w:t>σ</w:t>
      </w:r>
      <w:r>
        <w:rPr>
          <w:rFonts w:asciiTheme="majorBidi" w:hAnsiTheme="majorBidi" w:cstheme="majorBidi"/>
          <w:vertAlign w:val="subscript"/>
        </w:rPr>
        <w:t>φ</w:t>
      </w:r>
      <w:r>
        <w:rPr>
          <w:rtl/>
        </w:rPr>
        <w:t>،</w:t>
      </w:r>
      <w:r>
        <w:rPr>
          <w:rtl/>
          <w:lang w:bidi="ar-EG"/>
        </w:rPr>
        <w:t xml:space="preserve"> ما هو تأثير عوامل من قبيل:</w:t>
      </w:r>
    </w:p>
    <w:p w14:paraId="4EFB919F" w14:textId="77777777" w:rsidR="00F06E3F" w:rsidRDefault="00F06E3F" w:rsidP="004E1E5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عملية إلغاء الاتجاهات؛</w:t>
      </w:r>
    </w:p>
    <w:p w14:paraId="240E5270" w14:textId="77777777" w:rsidR="00F06E3F" w:rsidRDefault="00F06E3F" w:rsidP="004E1E5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تردد القطع للكثافة الطيفية لقدرة الإشارة؛</w:t>
      </w:r>
    </w:p>
    <w:p w14:paraId="547D45B6" w14:textId="77777777" w:rsidR="00F06E3F" w:rsidRDefault="00F06E3F" w:rsidP="004E1E5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معدل الاعتيان للكثافة الطيفية لقدرة الإشارة؛</w:t>
      </w:r>
    </w:p>
    <w:p w14:paraId="64E84BB4" w14:textId="77777777" w:rsidR="00F06E3F" w:rsidRDefault="00F06E3F" w:rsidP="004E1E5B">
      <w:pPr>
        <w:pStyle w:val="enumlev1"/>
        <w:rPr>
          <w:rtl/>
        </w:rPr>
      </w:pPr>
      <w:r>
        <w:rPr>
          <w:rtl/>
        </w:rPr>
        <w:t>-</w:t>
      </w:r>
      <w:r>
        <w:rPr>
          <w:rtl/>
        </w:rPr>
        <w:tab/>
        <w:t>مدة الإشارة؛</w:t>
      </w:r>
    </w:p>
    <w:p w14:paraId="3EAD2A82" w14:textId="77777777" w:rsidR="00F06E3F" w:rsidRDefault="00F06E3F" w:rsidP="004E1E5B">
      <w:pPr>
        <w:pStyle w:val="enumlev1"/>
        <w:rPr>
          <w:rFonts w:ascii="Calibri" w:hAnsi="Calibri"/>
          <w:rtl/>
        </w:rPr>
      </w:pPr>
      <w:r>
        <w:rPr>
          <w:rFonts w:ascii="Calibri" w:hAnsi="Calibri"/>
          <w:rtl/>
        </w:rPr>
        <w:t>-</w:t>
      </w:r>
      <w:r>
        <w:rPr>
          <w:rFonts w:ascii="Calibri" w:hAnsi="Calibri"/>
          <w:rtl/>
        </w:rPr>
        <w:tab/>
        <w:t xml:space="preserve">مستقبل النظام </w:t>
      </w:r>
      <w:r>
        <w:rPr>
          <w:rFonts w:ascii="Calibri" w:hAnsi="Calibri"/>
        </w:rPr>
        <w:t>GNSS</w:t>
      </w:r>
      <w:r>
        <w:rPr>
          <w:rFonts w:ascii="Calibri" w:hAnsi="Calibri"/>
          <w:rtl/>
        </w:rPr>
        <w:t>،</w:t>
      </w:r>
    </w:p>
    <w:p w14:paraId="14448935" w14:textId="77777777" w:rsidR="00F06E3F" w:rsidRDefault="00F06E3F" w:rsidP="004E1E5B">
      <w:pPr>
        <w:pStyle w:val="Call"/>
        <w:rPr>
          <w:rtl/>
          <w:lang w:bidi="ar-EG"/>
        </w:rPr>
      </w:pPr>
      <w:r>
        <w:rPr>
          <w:rtl/>
          <w:lang w:bidi="ar-EG"/>
        </w:rPr>
        <w:t>تقرر كذلك</w:t>
      </w:r>
    </w:p>
    <w:p w14:paraId="245070C6" w14:textId="77777777" w:rsidR="00F06E3F" w:rsidRDefault="00F06E3F" w:rsidP="004E1E5B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تضمين المعلومات المتاحة في توصيات جديدة، أو كمراجعات لتوصيات قائمة؛</w:t>
      </w:r>
    </w:p>
    <w:p w14:paraId="3D033073" w14:textId="3C63A5F0" w:rsidR="00F06E3F" w:rsidRDefault="00F06E3F" w:rsidP="004E1E5B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 xml:space="preserve">الانتهاء من الدراسات المذكورة أعلاه بحلول عام </w:t>
      </w:r>
      <w:r>
        <w:rPr>
          <w:lang w:bidi="ar-EG"/>
        </w:rPr>
        <w:t>202</w:t>
      </w:r>
      <w:r w:rsidR="00DB1419">
        <w:rPr>
          <w:lang w:bidi="ar-EG"/>
        </w:rPr>
        <w:t>7</w:t>
      </w:r>
      <w:r>
        <w:rPr>
          <w:rtl/>
          <w:lang w:bidi="ar-EG"/>
        </w:rPr>
        <w:t>.</w:t>
      </w:r>
    </w:p>
    <w:p w14:paraId="3E66816C" w14:textId="77777777" w:rsidR="00F06E3F" w:rsidRDefault="00F06E3F" w:rsidP="004E1E5B">
      <w:pPr>
        <w:spacing w:before="360"/>
        <w:rPr>
          <w:rtl/>
          <w:lang w:bidi="ar-EG"/>
        </w:rPr>
      </w:pPr>
      <w:r>
        <w:rPr>
          <w:rtl/>
          <w:lang w:bidi="ar-EG"/>
        </w:rPr>
        <w:t xml:space="preserve">الفئة: </w:t>
      </w:r>
      <w:r>
        <w:rPr>
          <w:lang w:bidi="ar-EG"/>
        </w:rPr>
        <w:t>S3</w:t>
      </w:r>
    </w:p>
    <w:p w14:paraId="6B415D0A" w14:textId="77777777" w:rsidR="0012545F" w:rsidRDefault="0012545F" w:rsidP="008614B8">
      <w:pPr>
        <w:rPr>
          <w:rtl/>
        </w:rPr>
      </w:pPr>
    </w:p>
    <w:sectPr w:rsidR="0012545F" w:rsidSect="004D4AE6">
      <w:headerReference w:type="even" r:id="rId12"/>
      <w:headerReference w:type="default" r:id="rId13"/>
      <w:footerReference w:type="default" r:id="rId14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17FC" w14:textId="77777777" w:rsidR="009C06A6" w:rsidRDefault="009C06A6" w:rsidP="002919E1">
      <w:r>
        <w:separator/>
      </w:r>
    </w:p>
    <w:p w14:paraId="71D0EC78" w14:textId="77777777" w:rsidR="009C06A6" w:rsidRDefault="009C06A6" w:rsidP="002919E1"/>
    <w:p w14:paraId="770CB432" w14:textId="77777777" w:rsidR="009C06A6" w:rsidRDefault="009C06A6" w:rsidP="002919E1"/>
    <w:p w14:paraId="3D69E510" w14:textId="77777777" w:rsidR="009C06A6" w:rsidRDefault="009C06A6"/>
  </w:endnote>
  <w:endnote w:type="continuationSeparator" w:id="0">
    <w:p w14:paraId="7622729C" w14:textId="77777777" w:rsidR="009C06A6" w:rsidRDefault="009C06A6" w:rsidP="002919E1">
      <w:r>
        <w:continuationSeparator/>
      </w:r>
    </w:p>
    <w:p w14:paraId="2293C8A1" w14:textId="77777777" w:rsidR="009C06A6" w:rsidRDefault="009C06A6" w:rsidP="002919E1"/>
    <w:p w14:paraId="1A848901" w14:textId="77777777" w:rsidR="009C06A6" w:rsidRDefault="009C06A6" w:rsidP="002919E1"/>
    <w:p w14:paraId="6988ADE6" w14:textId="77777777" w:rsidR="009C06A6" w:rsidRDefault="009C0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7F13" w14:textId="1B75EBED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9C06A6">
      <w:rPr>
        <w:noProof/>
      </w:rPr>
      <w:t>Document45</w:t>
    </w:r>
    <w:r>
      <w:fldChar w:fldCharType="end"/>
    </w:r>
    <w:r w:rsidRPr="00A809E8">
      <w:t xml:space="preserve">   (</w:t>
    </w:r>
    <w:r>
      <w:t>xxxxxx</w:t>
    </w:r>
    <w:r w:rsidRPr="00A809E8">
      <w:t>)</w:t>
    </w:r>
    <w:r w:rsidRPr="00A809E8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DB1419">
      <w:rPr>
        <w:noProof/>
      </w:rPr>
      <w:t>16.01.24</w:t>
    </w:r>
    <w:r w:rsidRPr="00B12661">
      <w:fldChar w:fldCharType="end"/>
    </w:r>
    <w:r w:rsidRPr="00A809E8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9C06A6">
      <w:rPr>
        <w:noProof/>
      </w:rPr>
      <w:t>26.06.19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9F8A" w14:textId="77777777" w:rsidR="009C06A6" w:rsidRDefault="009C06A6" w:rsidP="002919E1">
      <w:r>
        <w:t>___________________</w:t>
      </w:r>
    </w:p>
  </w:footnote>
  <w:footnote w:type="continuationSeparator" w:id="0">
    <w:p w14:paraId="26E32EAA" w14:textId="77777777" w:rsidR="009C06A6" w:rsidRDefault="009C06A6" w:rsidP="002919E1">
      <w:r>
        <w:continuationSeparator/>
      </w:r>
    </w:p>
    <w:p w14:paraId="7481E93A" w14:textId="77777777" w:rsidR="009C06A6" w:rsidRDefault="009C06A6" w:rsidP="002919E1"/>
    <w:p w14:paraId="36DD3C20" w14:textId="77777777" w:rsidR="009C06A6" w:rsidRDefault="009C06A6" w:rsidP="002919E1"/>
    <w:p w14:paraId="60585A62" w14:textId="77777777" w:rsidR="009C06A6" w:rsidRDefault="009C06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022B4" w14:textId="77777777" w:rsidR="00281F5F" w:rsidRDefault="00281F5F" w:rsidP="002919E1"/>
  <w:p w14:paraId="3810468E" w14:textId="77777777" w:rsidR="00281F5F" w:rsidRDefault="00281F5F" w:rsidP="002919E1"/>
  <w:p w14:paraId="636F966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1A49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C85D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A48A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64E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7ADF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CE1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97668780">
    <w:abstractNumId w:val="9"/>
  </w:num>
  <w:num w:numId="2" w16cid:durableId="1823964614">
    <w:abstractNumId w:val="11"/>
  </w:num>
  <w:num w:numId="3" w16cid:durableId="359093789">
    <w:abstractNumId w:val="10"/>
  </w:num>
  <w:num w:numId="4" w16cid:durableId="943654151">
    <w:abstractNumId w:val="12"/>
  </w:num>
  <w:num w:numId="5" w16cid:durableId="740375058">
    <w:abstractNumId w:val="7"/>
  </w:num>
  <w:num w:numId="6" w16cid:durableId="295917208">
    <w:abstractNumId w:val="6"/>
  </w:num>
  <w:num w:numId="7" w16cid:durableId="1667435085">
    <w:abstractNumId w:val="5"/>
  </w:num>
  <w:num w:numId="8" w16cid:durableId="1468624004">
    <w:abstractNumId w:val="4"/>
  </w:num>
  <w:num w:numId="9" w16cid:durableId="1827473212">
    <w:abstractNumId w:val="8"/>
  </w:num>
  <w:num w:numId="10" w16cid:durableId="1890918025">
    <w:abstractNumId w:val="3"/>
  </w:num>
  <w:num w:numId="11" w16cid:durableId="1900705614">
    <w:abstractNumId w:val="2"/>
  </w:num>
  <w:num w:numId="12" w16cid:durableId="1928683507">
    <w:abstractNumId w:val="1"/>
  </w:num>
  <w:num w:numId="13" w16cid:durableId="461198307">
    <w:abstractNumId w:val="0"/>
  </w:num>
  <w:num w:numId="14" w16cid:durableId="1695888041">
    <w:abstractNumId w:val="7"/>
  </w:num>
  <w:num w:numId="15" w16cid:durableId="916131223">
    <w:abstractNumId w:val="6"/>
  </w:num>
  <w:num w:numId="16" w16cid:durableId="1053772620">
    <w:abstractNumId w:val="5"/>
  </w:num>
  <w:num w:numId="17" w16cid:durableId="930702357">
    <w:abstractNumId w:val="3"/>
  </w:num>
  <w:num w:numId="18" w16cid:durableId="385028490">
    <w:abstractNumId w:val="2"/>
  </w:num>
  <w:num w:numId="19" w16cid:durableId="1115442963">
    <w:abstractNumId w:val="7"/>
  </w:num>
  <w:num w:numId="20" w16cid:durableId="917128944">
    <w:abstractNumId w:val="6"/>
  </w:num>
  <w:num w:numId="21" w16cid:durableId="156922450">
    <w:abstractNumId w:val="5"/>
  </w:num>
  <w:num w:numId="22" w16cid:durableId="445466885">
    <w:abstractNumId w:val="3"/>
  </w:num>
  <w:num w:numId="23" w16cid:durableId="1799759123">
    <w:abstractNumId w:val="2"/>
  </w:num>
  <w:num w:numId="24" w16cid:durableId="1639847047">
    <w:abstractNumId w:val="7"/>
  </w:num>
  <w:num w:numId="25" w16cid:durableId="2098626452">
    <w:abstractNumId w:val="6"/>
  </w:num>
  <w:num w:numId="26" w16cid:durableId="872615651">
    <w:abstractNumId w:val="5"/>
  </w:num>
  <w:num w:numId="27" w16cid:durableId="84302060">
    <w:abstractNumId w:val="3"/>
  </w:num>
  <w:num w:numId="28" w16cid:durableId="1968268722">
    <w:abstractNumId w:val="2"/>
  </w:num>
  <w:num w:numId="29" w16cid:durableId="1631978529">
    <w:abstractNumId w:val="7"/>
  </w:num>
  <w:num w:numId="30" w16cid:durableId="160976698">
    <w:abstractNumId w:val="6"/>
  </w:num>
  <w:num w:numId="31" w16cid:durableId="155926065">
    <w:abstractNumId w:val="5"/>
  </w:num>
  <w:num w:numId="32" w16cid:durableId="2011831207">
    <w:abstractNumId w:val="3"/>
  </w:num>
  <w:num w:numId="33" w16cid:durableId="1407606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A6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465C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730DF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3E95"/>
    <w:rsid w:val="005F65DE"/>
    <w:rsid w:val="00613492"/>
    <w:rsid w:val="00630905"/>
    <w:rsid w:val="006315B5"/>
    <w:rsid w:val="0065562F"/>
    <w:rsid w:val="006779A4"/>
    <w:rsid w:val="00680A66"/>
    <w:rsid w:val="00681391"/>
    <w:rsid w:val="00694690"/>
    <w:rsid w:val="0069526C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27B97"/>
    <w:rsid w:val="00830D96"/>
    <w:rsid w:val="0085569D"/>
    <w:rsid w:val="00855B59"/>
    <w:rsid w:val="0085774F"/>
    <w:rsid w:val="008614B8"/>
    <w:rsid w:val="008657CB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51718"/>
    <w:rsid w:val="00960962"/>
    <w:rsid w:val="00972CE0"/>
    <w:rsid w:val="009A3D30"/>
    <w:rsid w:val="009C06A6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1419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06E3F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4C5B2"/>
  <w15:docId w15:val="{785DFBCE-1806-43FD-A081-DCE62CAD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5431B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5431B5"/>
    <w:rPr>
      <w:rFonts w:ascii="Dubai" w:hAnsi="Dubai" w:cs="Dubai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uiPriority w:val="99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QuestionNo">
    <w:name w:val="Question_No"/>
    <w:basedOn w:val="Normal"/>
    <w:next w:val="Normal"/>
    <w:qFormat/>
    <w:rsid w:val="00F06E3F"/>
    <w:pPr>
      <w:keepNext/>
      <w:keepLines/>
      <w:tabs>
        <w:tab w:val="clear" w:pos="1871"/>
        <w:tab w:val="clear" w:pos="2268"/>
      </w:tabs>
      <w:spacing w:before="360" w:after="120"/>
      <w:jc w:val="center"/>
    </w:pPr>
    <w:rPr>
      <w:rFonts w:ascii="Calibri" w:hAnsi="Calibri" w:cs="Traditional Arabic"/>
      <w:sz w:val="28"/>
      <w:szCs w:val="40"/>
      <w:lang w:bidi="ar-EG"/>
    </w:rPr>
  </w:style>
  <w:style w:type="paragraph" w:customStyle="1" w:styleId="Questiontitle">
    <w:name w:val="Question_title"/>
    <w:basedOn w:val="Normal"/>
    <w:next w:val="Normal"/>
    <w:qFormat/>
    <w:rsid w:val="00F06E3F"/>
    <w:pPr>
      <w:keepNext/>
      <w:keepLines/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</w:pPr>
    <w:rPr>
      <w:rFonts w:ascii="Calibri" w:hAnsi="Calibri" w:cs="Traditional Arabic"/>
      <w:b/>
      <w:bCs/>
      <w:sz w:val="28"/>
      <w:szCs w:val="40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A%20-%20ITU\BR\PA_B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1B50C0D9-F5D3-4BD7-893C-64A1296CD9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PA_BR.dotx</Template>
  <TotalTime>2</TotalTime>
  <Pages>1</Pages>
  <Words>186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Fernandez Jimenez, Virginia</dc:creator>
  <cp:keywords>WRC-12</cp:keywords>
  <cp:lastModifiedBy>Fernandez Jimenez, Virginia</cp:lastModifiedBy>
  <cp:revision>3</cp:revision>
  <cp:lastPrinted>2019-06-26T10:10:00Z</cp:lastPrinted>
  <dcterms:created xsi:type="dcterms:W3CDTF">2024-01-16T11:15:00Z</dcterms:created>
  <dcterms:modified xsi:type="dcterms:W3CDTF">2024-01-26T10:45:00Z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