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BEF7" w14:textId="77777777" w:rsidR="00765740" w:rsidRPr="00765740" w:rsidRDefault="00765740" w:rsidP="00026CAC">
      <w:pPr>
        <w:keepNext/>
        <w:keepLines/>
        <w:spacing w:before="480"/>
        <w:jc w:val="center"/>
        <w:rPr>
          <w:rFonts w:asciiTheme="majorBidi" w:hAnsiTheme="majorBidi" w:cstheme="majorBidi"/>
          <w:caps/>
          <w:sz w:val="28"/>
          <w:lang w:val="es-ES"/>
        </w:rPr>
      </w:pPr>
      <w:r w:rsidRPr="00765740">
        <w:rPr>
          <w:rFonts w:asciiTheme="majorBidi" w:hAnsiTheme="majorBidi" w:cstheme="majorBidi"/>
          <w:caps/>
          <w:sz w:val="28"/>
          <w:lang w:val="es-ES"/>
        </w:rPr>
        <w:t>cuestión UIT-R 231-1/3</w:t>
      </w:r>
      <w:r w:rsidRPr="005749CA">
        <w:rPr>
          <w:rStyle w:val="FootnoteReference"/>
          <w:rFonts w:asciiTheme="majorBidi" w:hAnsiTheme="majorBidi"/>
          <w:caps/>
        </w:rPr>
        <w:footnoteReference w:customMarkFollows="1" w:id="1"/>
        <w:sym w:font="Symbol" w:char="F02A"/>
      </w:r>
    </w:p>
    <w:p w14:paraId="76D7FC4B" w14:textId="77777777" w:rsidR="00765740" w:rsidRPr="00765740" w:rsidRDefault="00765740" w:rsidP="00026CAC">
      <w:pPr>
        <w:pStyle w:val="Questiontitle"/>
        <w:rPr>
          <w:rFonts w:asciiTheme="majorBidi" w:hAnsiTheme="majorBidi" w:cstheme="majorBidi"/>
          <w:lang w:val="es-ES"/>
        </w:rPr>
      </w:pPr>
      <w:r w:rsidRPr="00765740">
        <w:rPr>
          <w:rFonts w:asciiTheme="majorBidi" w:hAnsiTheme="majorBidi" w:cstheme="majorBidi"/>
          <w:lang w:val="es-ES"/>
        </w:rPr>
        <w:t xml:space="preserve">Efecto de las emisiones electromagnéticas de origen artificial en </w:t>
      </w:r>
      <w:r w:rsidRPr="00765740">
        <w:rPr>
          <w:rFonts w:asciiTheme="majorBidi" w:hAnsiTheme="majorBidi" w:cstheme="majorBidi"/>
          <w:lang w:val="es-ES"/>
        </w:rPr>
        <w:br/>
        <w:t>los sistemas y redes de radiocomunicaciones</w:t>
      </w:r>
    </w:p>
    <w:p w14:paraId="56F6BF08" w14:textId="77777777" w:rsidR="00765740" w:rsidRPr="000A5942" w:rsidRDefault="00765740" w:rsidP="00765740">
      <w:pPr>
        <w:pStyle w:val="Questiondate"/>
        <w:rPr>
          <w:lang w:val="es-ES"/>
        </w:rPr>
      </w:pPr>
      <w:r w:rsidRPr="00765740">
        <w:rPr>
          <w:lang w:val="es-ES"/>
        </w:rPr>
        <w:t>(2007-2015)</w:t>
      </w:r>
    </w:p>
    <w:p w14:paraId="530B846D" w14:textId="77777777" w:rsidR="00765740" w:rsidRPr="00765740" w:rsidRDefault="00765740" w:rsidP="00765740">
      <w:pPr>
        <w:pStyle w:val="Normalaftertitle"/>
        <w:jc w:val="both"/>
        <w:rPr>
          <w:szCs w:val="24"/>
          <w:lang w:val="es-ES"/>
        </w:rPr>
      </w:pPr>
      <w:r w:rsidRPr="00765740">
        <w:rPr>
          <w:szCs w:val="24"/>
          <w:lang w:val="es-ES"/>
        </w:rPr>
        <w:t>La Asamblea de Radiocomunicaciones de la UIT,</w:t>
      </w:r>
    </w:p>
    <w:p w14:paraId="7BE4205C" w14:textId="77777777" w:rsidR="00765740" w:rsidRPr="00765740" w:rsidRDefault="00765740" w:rsidP="00765740">
      <w:pPr>
        <w:pStyle w:val="Call"/>
        <w:jc w:val="both"/>
        <w:rPr>
          <w:rFonts w:asciiTheme="majorBidi" w:hAnsiTheme="majorBidi" w:cstheme="majorBidi"/>
          <w:szCs w:val="24"/>
          <w:lang w:val="es-ES"/>
        </w:rPr>
      </w:pPr>
      <w:r w:rsidRPr="00765740">
        <w:rPr>
          <w:rFonts w:asciiTheme="majorBidi" w:hAnsiTheme="majorBidi" w:cstheme="majorBidi"/>
          <w:szCs w:val="24"/>
          <w:lang w:val="es-ES"/>
        </w:rPr>
        <w:t>considerando</w:t>
      </w:r>
    </w:p>
    <w:p w14:paraId="79BA76A9" w14:textId="77777777" w:rsidR="00765740" w:rsidRPr="00765740" w:rsidRDefault="00765740" w:rsidP="00765740">
      <w:pPr>
        <w:jc w:val="both"/>
        <w:rPr>
          <w:lang w:val="es-ES"/>
        </w:rPr>
      </w:pPr>
      <w:r w:rsidRPr="00765740">
        <w:rPr>
          <w:i/>
          <w:iCs/>
          <w:lang w:val="es-ES"/>
        </w:rPr>
        <w:t>a)</w:t>
      </w:r>
      <w:r w:rsidRPr="00765740">
        <w:rPr>
          <w:lang w:val="es-ES"/>
        </w:rPr>
        <w:tab/>
        <w:t>que las emisiones electromagnéticas pueden tener diversos orígenes artificiales, como los sistemas de ignición de los motores de combustión interna, la maquinaria eléctrica, los equipos y aparatos electrónicos, los equipos de tecnología de la información y telecomunicaciones, etc.;</w:t>
      </w:r>
    </w:p>
    <w:p w14:paraId="01671A60" w14:textId="77777777" w:rsidR="00765740" w:rsidRPr="00765740" w:rsidRDefault="00765740" w:rsidP="00765740">
      <w:pPr>
        <w:jc w:val="both"/>
        <w:rPr>
          <w:lang w:val="es-ES"/>
        </w:rPr>
      </w:pPr>
      <w:r w:rsidRPr="00765740">
        <w:rPr>
          <w:i/>
          <w:iCs/>
          <w:lang w:val="es-ES"/>
        </w:rPr>
        <w:t>b)</w:t>
      </w:r>
      <w:r w:rsidRPr="00765740">
        <w:rPr>
          <w:lang w:val="es-ES"/>
        </w:rPr>
        <w:tab/>
        <w:t>que la recepción de dichas emisiones puede afectar la calidad de funcionamiento de los sistemas y redes de comunicaciones;</w:t>
      </w:r>
    </w:p>
    <w:p w14:paraId="6B6B746B" w14:textId="77777777" w:rsidR="00765740" w:rsidRPr="00765740" w:rsidRDefault="00765740" w:rsidP="00765740">
      <w:pPr>
        <w:jc w:val="both"/>
        <w:rPr>
          <w:lang w:val="es-ES"/>
        </w:rPr>
      </w:pPr>
      <w:r w:rsidRPr="00765740">
        <w:rPr>
          <w:i/>
          <w:iCs/>
          <w:lang w:val="es-ES"/>
        </w:rPr>
        <w:t>c)</w:t>
      </w:r>
      <w:r w:rsidRPr="00765740">
        <w:rPr>
          <w:lang w:val="es-ES"/>
        </w:rPr>
        <w:tab/>
        <w:t>que la información sobre ruido artificial de la Recomendación UIT-R P.372 se refiere al ruido global de origen artificial en entornos típicos, y no a las emisiones recibidas desde fuentes individuales o identificables;</w:t>
      </w:r>
    </w:p>
    <w:p w14:paraId="145E18C6" w14:textId="77777777" w:rsidR="00765740" w:rsidRPr="00765740" w:rsidRDefault="00765740" w:rsidP="00765740">
      <w:pPr>
        <w:jc w:val="both"/>
        <w:rPr>
          <w:lang w:val="es-ES"/>
        </w:rPr>
      </w:pPr>
      <w:r w:rsidRPr="00765740">
        <w:rPr>
          <w:i/>
          <w:iCs/>
          <w:lang w:val="es-ES"/>
        </w:rPr>
        <w:t>d)</w:t>
      </w:r>
      <w:r w:rsidRPr="00765740">
        <w:rPr>
          <w:lang w:val="es-ES"/>
        </w:rPr>
        <w:tab/>
        <w:t>que tales emisiones pueden ser de carácter impulsivo y no se pueden describir adecuadamente en términos de un factor de ruido externo;</w:t>
      </w:r>
    </w:p>
    <w:p w14:paraId="78E91228" w14:textId="77777777" w:rsidR="00765740" w:rsidRPr="00765740" w:rsidRDefault="00765740" w:rsidP="00765740">
      <w:pPr>
        <w:jc w:val="both"/>
        <w:rPr>
          <w:lang w:val="es-ES"/>
        </w:rPr>
      </w:pPr>
      <w:r w:rsidRPr="00765740">
        <w:rPr>
          <w:i/>
          <w:iCs/>
          <w:lang w:val="es-ES"/>
        </w:rPr>
        <w:t>e)</w:t>
      </w:r>
      <w:r w:rsidRPr="00765740">
        <w:rPr>
          <w:lang w:val="es-ES"/>
        </w:rPr>
        <w:tab/>
        <w:t>que la importancia de las emisiones de fuentes individuales puede ser mayor a la hora de determinar la calidad de funcionamiento de los sistemas y redes de radiocomunicaciones,</w:t>
      </w:r>
    </w:p>
    <w:p w14:paraId="206A8B82" w14:textId="77777777" w:rsidR="00765740" w:rsidRPr="00765740" w:rsidRDefault="00765740" w:rsidP="00765740">
      <w:pPr>
        <w:pStyle w:val="Call"/>
        <w:jc w:val="both"/>
        <w:rPr>
          <w:i w:val="0"/>
          <w:lang w:val="es-ES"/>
        </w:rPr>
      </w:pPr>
      <w:r w:rsidRPr="00765740">
        <w:rPr>
          <w:rFonts w:asciiTheme="majorBidi" w:hAnsiTheme="majorBidi" w:cstheme="majorBidi"/>
          <w:szCs w:val="24"/>
          <w:lang w:val="es-ES"/>
        </w:rPr>
        <w:t>decide</w:t>
      </w:r>
      <w:r w:rsidRPr="00765740">
        <w:rPr>
          <w:rFonts w:asciiTheme="majorBidi" w:hAnsiTheme="majorBidi" w:cstheme="majorBidi"/>
          <w:i w:val="0"/>
          <w:szCs w:val="24"/>
          <w:lang w:val="es-ES"/>
        </w:rPr>
        <w:t xml:space="preserve"> </w:t>
      </w:r>
      <w:r w:rsidRPr="00765740">
        <w:rPr>
          <w:i w:val="0"/>
          <w:lang w:val="es-ES"/>
        </w:rPr>
        <w:t>poner a estudio la siguiente Cuestión</w:t>
      </w:r>
    </w:p>
    <w:p w14:paraId="3276C12F" w14:textId="77777777" w:rsidR="00765740" w:rsidRPr="00765740" w:rsidRDefault="00765740" w:rsidP="00765740">
      <w:pPr>
        <w:jc w:val="both"/>
        <w:rPr>
          <w:lang w:val="es-ES"/>
        </w:rPr>
      </w:pPr>
      <w:r w:rsidRPr="00765740">
        <w:rPr>
          <w:lang w:val="es-ES"/>
        </w:rPr>
        <w:t>¿Cómo puede describirse y medirse la distribución de la radiación de fuentes individuales?</w:t>
      </w:r>
    </w:p>
    <w:p w14:paraId="10DE0271" w14:textId="77777777" w:rsidR="00765740" w:rsidRPr="00765740" w:rsidRDefault="00765740" w:rsidP="00765740">
      <w:pPr>
        <w:pStyle w:val="Call"/>
        <w:jc w:val="both"/>
        <w:rPr>
          <w:rFonts w:asciiTheme="majorBidi" w:hAnsiTheme="majorBidi" w:cstheme="majorBidi"/>
          <w:szCs w:val="24"/>
          <w:lang w:val="es-ES"/>
        </w:rPr>
      </w:pPr>
      <w:r w:rsidRPr="00765740">
        <w:rPr>
          <w:rFonts w:asciiTheme="majorBidi" w:hAnsiTheme="majorBidi" w:cstheme="majorBidi"/>
          <w:szCs w:val="24"/>
          <w:lang w:val="es-ES"/>
        </w:rPr>
        <w:t>decide también</w:t>
      </w:r>
    </w:p>
    <w:p w14:paraId="30105EC7" w14:textId="77777777" w:rsidR="00765740" w:rsidRPr="00765740" w:rsidRDefault="00765740" w:rsidP="00765740">
      <w:pPr>
        <w:jc w:val="both"/>
        <w:rPr>
          <w:lang w:val="es-ES"/>
        </w:rPr>
      </w:pPr>
      <w:r w:rsidRPr="00765740">
        <w:rPr>
          <w:lang w:val="es-ES"/>
        </w:rPr>
        <w:t>1</w:t>
      </w:r>
      <w:r w:rsidRPr="00765740">
        <w:rPr>
          <w:b/>
          <w:bCs/>
          <w:lang w:val="es-ES"/>
        </w:rPr>
        <w:tab/>
      </w:r>
      <w:r w:rsidRPr="00765740">
        <w:rPr>
          <w:bCs/>
          <w:lang w:val="es-ES"/>
        </w:rPr>
        <w:t>que los resultados de los estudios se incluyan en Recomendaciones y/o Informes</w:t>
      </w:r>
      <w:r w:rsidRPr="00765740">
        <w:rPr>
          <w:lang w:val="es-ES"/>
        </w:rPr>
        <w:t>;</w:t>
      </w:r>
    </w:p>
    <w:p w14:paraId="7F10B4D5" w14:textId="440219CD" w:rsidR="00765740" w:rsidRPr="00765740" w:rsidRDefault="00765740" w:rsidP="00765740">
      <w:pPr>
        <w:jc w:val="both"/>
        <w:rPr>
          <w:lang w:val="es-ES"/>
        </w:rPr>
      </w:pPr>
      <w:r w:rsidRPr="00765740">
        <w:rPr>
          <w:lang w:val="es-ES"/>
        </w:rPr>
        <w:t>2</w:t>
      </w:r>
      <w:r w:rsidRPr="00765740">
        <w:rPr>
          <w:b/>
          <w:bCs/>
          <w:lang w:val="es-ES"/>
        </w:rPr>
        <w:tab/>
      </w:r>
      <w:r w:rsidRPr="00765740">
        <w:rPr>
          <w:bCs/>
          <w:lang w:val="es-ES"/>
        </w:rPr>
        <w:t>que estos estudios estén completados en</w:t>
      </w:r>
      <w:r w:rsidRPr="00765740">
        <w:rPr>
          <w:lang w:val="es-ES"/>
        </w:rPr>
        <w:t xml:space="preserve"> 202</w:t>
      </w:r>
      <w:r w:rsidR="005A5C75">
        <w:rPr>
          <w:lang w:val="es-ES"/>
        </w:rPr>
        <w:t>7</w:t>
      </w:r>
      <w:r w:rsidRPr="00765740">
        <w:rPr>
          <w:lang w:val="es-ES"/>
        </w:rPr>
        <w:t>.</w:t>
      </w:r>
    </w:p>
    <w:p w14:paraId="3A2969A1" w14:textId="1FA4A837" w:rsidR="000069D4" w:rsidRDefault="00765740" w:rsidP="005A5C75">
      <w:pPr>
        <w:spacing w:before="480"/>
        <w:jc w:val="both"/>
        <w:rPr>
          <w:lang w:val="fr-FR" w:eastAsia="zh-CN"/>
        </w:rPr>
      </w:pPr>
      <w:proofErr w:type="spellStart"/>
      <w:r w:rsidRPr="000A5942">
        <w:t>Categoría</w:t>
      </w:r>
      <w:proofErr w:type="spellEnd"/>
      <w:r w:rsidRPr="000A5942">
        <w:t>: S2</w:t>
      </w:r>
    </w:p>
    <w:sectPr w:rsidR="000069D4" w:rsidSect="00D02712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0AE2" w14:textId="77777777" w:rsidR="00ED28DD" w:rsidRDefault="00ED28DD">
      <w:r>
        <w:separator/>
      </w:r>
    </w:p>
  </w:endnote>
  <w:endnote w:type="continuationSeparator" w:id="0">
    <w:p w14:paraId="69E4FEFA" w14:textId="77777777" w:rsidR="00ED28DD" w:rsidRDefault="00ED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367B" w14:textId="3C5B33EE" w:rsidR="00FA124A" w:rsidRPr="002F7CB3" w:rsidRDefault="005A5C75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ED28DD" w:rsidRPr="00ED28DD">
      <w:rPr>
        <w:lang w:val="en-US"/>
      </w:rPr>
      <w:t>Document37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16.01.24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D28DD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825F" w14:textId="77777777" w:rsidR="00ED28DD" w:rsidRDefault="00ED28DD">
      <w:r>
        <w:t>____________________</w:t>
      </w:r>
    </w:p>
  </w:footnote>
  <w:footnote w:type="continuationSeparator" w:id="0">
    <w:p w14:paraId="0B563D18" w14:textId="77777777" w:rsidR="00ED28DD" w:rsidRDefault="00ED28DD">
      <w:r>
        <w:continuationSeparator/>
      </w:r>
    </w:p>
  </w:footnote>
  <w:footnote w:id="1">
    <w:p w14:paraId="362646DB" w14:textId="77777777" w:rsidR="00765740" w:rsidRPr="005A5C75" w:rsidRDefault="00765740" w:rsidP="005A5C75">
      <w:pPr>
        <w:pStyle w:val="FootnoteText"/>
        <w:jc w:val="both"/>
        <w:rPr>
          <w:spacing w:val="-4"/>
          <w:lang w:val="es-ES"/>
        </w:rPr>
      </w:pPr>
      <w:r w:rsidRPr="005749CA">
        <w:rPr>
          <w:rStyle w:val="FootnoteReference"/>
        </w:rPr>
        <w:sym w:font="Symbol" w:char="F02A"/>
      </w:r>
      <w:r w:rsidRPr="00765740">
        <w:rPr>
          <w:lang w:val="es-ES"/>
        </w:rPr>
        <w:t xml:space="preserve"> </w:t>
      </w:r>
      <w:r w:rsidRPr="00765740">
        <w:rPr>
          <w:lang w:val="es-ES"/>
        </w:rPr>
        <w:tab/>
      </w:r>
      <w:r w:rsidRPr="005A5C75">
        <w:rPr>
          <w:spacing w:val="-4"/>
          <w:lang w:val="es-ES"/>
        </w:rPr>
        <w:t>Esta Cuestión habrá de señalarse a la atención de la Comisión de Estudio 1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9BE2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839F170" w14:textId="01712D3A" w:rsidR="00FA124A" w:rsidRDefault="00ED28DD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D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A5C75"/>
    <w:rsid w:val="005B0D29"/>
    <w:rsid w:val="005E5C10"/>
    <w:rsid w:val="005F2C78"/>
    <w:rsid w:val="006144E4"/>
    <w:rsid w:val="00650299"/>
    <w:rsid w:val="00655FC5"/>
    <w:rsid w:val="00765740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28DD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D99C1"/>
  <w15:docId w15:val="{C0F76AC4-AA95-4F02-81AA-948C5F10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rsid w:val="00765740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765740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65740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\POOL%20E%20-%20ITU\BR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217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Author</cp:lastModifiedBy>
  <cp:revision>3</cp:revision>
  <cp:lastPrinted>2008-02-21T14:04:00Z</cp:lastPrinted>
  <dcterms:created xsi:type="dcterms:W3CDTF">2024-01-16T10:49:00Z</dcterms:created>
  <dcterms:modified xsi:type="dcterms:W3CDTF">2024-01-26T10:37:00Z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