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F47E" w14:textId="77777777" w:rsidR="00E9218F" w:rsidRDefault="00E9218F" w:rsidP="0086455C">
      <w:pPr>
        <w:pStyle w:val="QuestionNoBR"/>
      </w:pPr>
      <w:r>
        <w:rPr>
          <w:sz w:val="38"/>
          <w:szCs w:val="40"/>
          <w:rtl/>
        </w:rPr>
        <w:t xml:space="preserve">المسـألة </w:t>
      </w:r>
      <w:r>
        <w:t>ITU-R 230-3/3</w:t>
      </w:r>
      <w:r>
        <w:rPr>
          <w:rFonts w:cs="Times New Roman" w:hint="cs"/>
          <w:position w:val="6"/>
          <w:sz w:val="18"/>
          <w:szCs w:val="18"/>
          <w:rtl/>
        </w:rPr>
        <w:footnoteReference w:customMarkFollows="1" w:id="1"/>
        <w:t>*</w:t>
      </w:r>
    </w:p>
    <w:p w14:paraId="014E464A" w14:textId="77777777" w:rsidR="00E9218F" w:rsidRDefault="00E9218F" w:rsidP="0086455C">
      <w:pPr>
        <w:pStyle w:val="Questiontitle"/>
        <w:rPr>
          <w:szCs w:val="36"/>
          <w:rtl/>
        </w:rPr>
      </w:pPr>
      <w:r>
        <w:rPr>
          <w:szCs w:val="36"/>
          <w:rtl/>
        </w:rPr>
        <w:t>طرائق التنبؤ والنماذج المطبقة على أنظمة الاتصالات بالطاقة الكهربائية</w:t>
      </w:r>
    </w:p>
    <w:p w14:paraId="32EB476C" w14:textId="77777777" w:rsidR="00E9218F" w:rsidRDefault="00E9218F" w:rsidP="0086455C">
      <w:pPr>
        <w:pStyle w:val="Questiondate"/>
        <w:rPr>
          <w:lang w:val="en-US" w:bidi="ar-EG"/>
        </w:rPr>
      </w:pPr>
      <w:r>
        <w:rPr>
          <w:lang w:val="en-US" w:bidi="ar-EG"/>
        </w:rPr>
        <w:t>(2012</w:t>
      </w:r>
      <w:r>
        <w:rPr>
          <w:lang w:val="en-US" w:bidi="ar-EG"/>
        </w:rPr>
        <w:sym w:font="Symbol" w:char="F02D"/>
      </w:r>
      <w:r>
        <w:rPr>
          <w:lang w:val="en-US" w:bidi="ar-EG"/>
        </w:rPr>
        <w:t>2009-2005)</w:t>
      </w:r>
    </w:p>
    <w:p w14:paraId="071FB91B" w14:textId="77777777" w:rsidR="00E9218F" w:rsidRDefault="00E9218F" w:rsidP="0086455C">
      <w:pPr>
        <w:pStyle w:val="Normalaftertitle0"/>
        <w:rPr>
          <w:lang w:val="en-US" w:bidi="ar-EG"/>
        </w:rPr>
      </w:pPr>
      <w:r>
        <w:rPr>
          <w:rtl/>
          <w:lang w:val="en-US" w:bidi="ar-EG"/>
        </w:rPr>
        <w:t>إن جمعية الاتصالات الراديوية للاتحاد الدولي للاتصالات،</w:t>
      </w:r>
    </w:p>
    <w:p w14:paraId="670CE8A2" w14:textId="77777777" w:rsidR="00E9218F" w:rsidRDefault="00E9218F" w:rsidP="0086455C">
      <w:pPr>
        <w:pStyle w:val="Call"/>
        <w:rPr>
          <w:i w:val="0"/>
          <w:iCs w:val="0"/>
          <w:rtl/>
          <w:lang w:bidi="ar-EG"/>
        </w:rPr>
      </w:pPr>
      <w:r>
        <w:rPr>
          <w:i w:val="0"/>
          <w:rtl/>
          <w:lang w:bidi="ar-EG"/>
        </w:rPr>
        <w:t>إذ تضع في اعتبارها</w:t>
      </w:r>
    </w:p>
    <w:p w14:paraId="75456A4C" w14:textId="77777777" w:rsidR="00E9218F" w:rsidRDefault="00E9218F" w:rsidP="0086455C">
      <w:pPr>
        <w:rPr>
          <w:rtl/>
          <w:lang w:bidi="ar-EG"/>
        </w:rPr>
      </w:pPr>
      <w:r>
        <w:rPr>
          <w:i/>
          <w:iCs/>
          <w:rtl/>
          <w:lang w:bidi="ar-EG"/>
        </w:rPr>
        <w:t xml:space="preserve"> أ )</w:t>
      </w:r>
      <w:r>
        <w:rPr>
          <w:rtl/>
          <w:lang w:bidi="ar-EG"/>
        </w:rPr>
        <w:tab/>
        <w:t xml:space="preserve">أن أنظمة الاتصالات بالطاقة الكهربائية </w:t>
      </w:r>
      <w:r>
        <w:rPr>
          <w:lang w:bidi="ar-EG"/>
        </w:rPr>
        <w:t>(PLT)</w:t>
      </w:r>
      <w:r>
        <w:rPr>
          <w:rtl/>
          <w:lang w:bidi="ar-EG"/>
        </w:rPr>
        <w:t xml:space="preserve"> وغيرها من أنظمة الاتصالات السلكية يمكن أن تستعمل ترددات نطاق الأساس حتى </w:t>
      </w:r>
      <w:r>
        <w:rPr>
          <w:lang w:bidi="ar-EG"/>
        </w:rPr>
        <w:t>MHz 200</w:t>
      </w:r>
      <w:r>
        <w:rPr>
          <w:rtl/>
          <w:lang w:bidi="ar-EG"/>
        </w:rPr>
        <w:t>، وأن مجموعة كبيرة من معماريات ومكونات أنظمة الاتصالات بالطاقة الكهربائية، ستكون موجودة حتى في كيان إداري واحد؛</w:t>
      </w:r>
    </w:p>
    <w:p w14:paraId="030BED3C" w14:textId="77777777" w:rsidR="00E9218F" w:rsidRDefault="00E9218F" w:rsidP="0086455C">
      <w:pPr>
        <w:rPr>
          <w:rtl/>
          <w:lang w:bidi="ar-EG"/>
        </w:rPr>
      </w:pPr>
      <w:r>
        <w:rPr>
          <w:i/>
          <w:iCs/>
          <w:rtl/>
          <w:lang w:bidi="ar-EG"/>
        </w:rPr>
        <w:t>ب)</w:t>
      </w:r>
      <w:r>
        <w:rPr>
          <w:rtl/>
          <w:lang w:bidi="ar-EG"/>
        </w:rPr>
        <w:tab/>
        <w:t>أن طاقة التردد الراديوي ستشع عن طريق عدد من الآليات وبأساليب عدة، لا سيما من الخطوط غير المتوازنة ذات المعاوقة المتغيرة والنهايات الرديئة،</w:t>
      </w:r>
    </w:p>
    <w:p w14:paraId="7B98C194" w14:textId="77777777" w:rsidR="00E9218F" w:rsidRDefault="00E9218F" w:rsidP="0086455C">
      <w:pPr>
        <w:pStyle w:val="Call"/>
        <w:rPr>
          <w:i w:val="0"/>
          <w:iCs w:val="0"/>
          <w:rtl/>
          <w:lang w:bidi="ar-EG"/>
        </w:rPr>
      </w:pPr>
      <w:r>
        <w:rPr>
          <w:i w:val="0"/>
          <w:rtl/>
          <w:lang w:bidi="ar-EG"/>
        </w:rPr>
        <w:t>تقرر دراسة المسائل التالية</w:t>
      </w:r>
    </w:p>
    <w:p w14:paraId="2E47401B" w14:textId="77777777" w:rsidR="00E9218F" w:rsidRDefault="00E9218F" w:rsidP="0086455C">
      <w:pPr>
        <w:rPr>
          <w:rtl/>
          <w:lang w:bidi="ar-EG"/>
        </w:rPr>
      </w:pPr>
      <w:r>
        <w:rPr>
          <w:lang w:bidi="ar-EG"/>
        </w:rPr>
        <w:t>1</w:t>
      </w:r>
      <w:r>
        <w:rPr>
          <w:rtl/>
          <w:lang w:bidi="ar-EG"/>
        </w:rPr>
        <w:tab/>
        <w:t>ما هي الآليات التي تتسبب في إشعاعات ترددية راديوية من أنظمة الاتصالات بالطاقة الكهربائية وكيف يمكن وضع نماذج لها؟ ما هي الملامح البارزة للطوبولوجيا (موقع مستوٍ أرضي، توزيع فضائي، إلخ.) الأكثر أهمية لتقدير البث على نحو دقيق؟</w:t>
      </w:r>
    </w:p>
    <w:p w14:paraId="7E732798" w14:textId="77777777" w:rsidR="00E9218F" w:rsidRDefault="00E9218F" w:rsidP="0086455C">
      <w:pPr>
        <w:rPr>
          <w:rtl/>
          <w:lang w:bidi="ar-EG"/>
        </w:rPr>
      </w:pPr>
      <w:r>
        <w:rPr>
          <w:lang w:bidi="ar-EG"/>
        </w:rPr>
        <w:t>2</w:t>
      </w:r>
      <w:r>
        <w:rPr>
          <w:rtl/>
          <w:lang w:bidi="ar-EG"/>
        </w:rPr>
        <w:tab/>
        <w:t>ما هي أفضل التقنيات في تجميع الطاقة الإجمالية المشعّة في الفضاء من مثل هذا النظام أو أنظمة متعددة؟</w:t>
      </w:r>
    </w:p>
    <w:p w14:paraId="22C2DF9E" w14:textId="77777777" w:rsidR="00E9218F" w:rsidRDefault="00E9218F" w:rsidP="0086455C">
      <w:pPr>
        <w:rPr>
          <w:rtl/>
          <w:lang w:bidi="ar-EG"/>
        </w:rPr>
      </w:pPr>
      <w:r>
        <w:rPr>
          <w:lang w:bidi="ar-EG"/>
        </w:rPr>
        <w:t>3</w:t>
      </w:r>
      <w:r>
        <w:rPr>
          <w:rtl/>
          <w:lang w:bidi="ar-EG"/>
        </w:rPr>
        <w:tab/>
        <w:t>ما هي أكثر نماذج انتشار سوية الإشارة ملاءمةً في تحديد التداخل؟</w:t>
      </w:r>
    </w:p>
    <w:p w14:paraId="29096B5E" w14:textId="77777777" w:rsidR="00E9218F" w:rsidRDefault="00E9218F" w:rsidP="0086455C">
      <w:pPr>
        <w:rPr>
          <w:rtl/>
          <w:lang w:bidi="ar-EG"/>
        </w:rPr>
      </w:pPr>
      <w:r>
        <w:rPr>
          <w:lang w:bidi="ar-EG"/>
        </w:rPr>
        <w:t>4</w:t>
      </w:r>
      <w:r>
        <w:rPr>
          <w:rtl/>
          <w:lang w:bidi="ar-EG"/>
        </w:rPr>
        <w:tab/>
        <w:t>ما هي المشورة التي يمكن تقديمها لإجراء قياس عملي للمجالات المشعّة عبر مسافات قصيرة (داخل المجال القريب)؟</w:t>
      </w:r>
    </w:p>
    <w:p w14:paraId="6968CD1D" w14:textId="77777777" w:rsidR="00E9218F" w:rsidRDefault="00E9218F" w:rsidP="0086455C">
      <w:pPr>
        <w:pStyle w:val="Call"/>
        <w:rPr>
          <w:i w:val="0"/>
          <w:iCs w:val="0"/>
          <w:rtl/>
          <w:lang w:bidi="ar-EG"/>
        </w:rPr>
      </w:pPr>
      <w:r>
        <w:rPr>
          <w:i w:val="0"/>
          <w:rtl/>
          <w:lang w:bidi="ar-EG"/>
        </w:rPr>
        <w:t>تقرر كذلك</w:t>
      </w:r>
    </w:p>
    <w:p w14:paraId="7491B4D0" w14:textId="77777777" w:rsidR="00E9218F" w:rsidRDefault="00E9218F" w:rsidP="0086455C">
      <w:pPr>
        <w:rPr>
          <w:rtl/>
          <w:lang w:bidi="ar-EG"/>
        </w:rPr>
      </w:pPr>
      <w:r>
        <w:rPr>
          <w:lang w:bidi="ar-EG"/>
        </w:rPr>
        <w:t>1</w:t>
      </w:r>
      <w:r>
        <w:rPr>
          <w:rtl/>
          <w:lang w:bidi="ar-EG"/>
        </w:rPr>
        <w:tab/>
        <w:t>إدراج المعلومات الملائمة في توصية أو كتيب؛</w:t>
      </w:r>
    </w:p>
    <w:p w14:paraId="14D28341" w14:textId="1EB60174" w:rsidR="00E9218F" w:rsidRDefault="00E9218F" w:rsidP="0086455C">
      <w:pPr>
        <w:rPr>
          <w:rtl/>
          <w:lang w:bidi="ar-EG"/>
        </w:rPr>
      </w:pPr>
      <w:r>
        <w:rPr>
          <w:lang w:bidi="ar-EG"/>
        </w:rPr>
        <w:t>2</w:t>
      </w:r>
      <w:r>
        <w:rPr>
          <w:rtl/>
          <w:lang w:bidi="ar-EG"/>
        </w:rPr>
        <w:tab/>
        <w:t xml:space="preserve">الانتهاء من الدراسات المذكورة أعلاه بحلول عام </w:t>
      </w:r>
      <w:r>
        <w:rPr>
          <w:lang w:bidi="ar-EG"/>
        </w:rPr>
        <w:t>202</w:t>
      </w:r>
      <w:r w:rsidR="00BF6F89">
        <w:rPr>
          <w:lang w:bidi="ar-EG"/>
        </w:rPr>
        <w:t>7</w:t>
      </w:r>
      <w:r>
        <w:rPr>
          <w:rtl/>
          <w:lang w:bidi="ar-EG"/>
        </w:rPr>
        <w:t>.</w:t>
      </w:r>
    </w:p>
    <w:p w14:paraId="6B021978" w14:textId="77777777" w:rsidR="00E9218F" w:rsidRDefault="00E9218F" w:rsidP="0086455C">
      <w:pPr>
        <w:rPr>
          <w:rtl/>
          <w:lang w:bidi="ar-EG"/>
        </w:rPr>
      </w:pPr>
    </w:p>
    <w:p w14:paraId="4A980E06" w14:textId="77777777" w:rsidR="00E9218F" w:rsidRDefault="00E9218F" w:rsidP="0086455C">
      <w:pPr>
        <w:rPr>
          <w:rtl/>
          <w:lang w:bidi="ar-EG"/>
        </w:rPr>
      </w:pPr>
      <w:r>
        <w:rPr>
          <w:rtl/>
          <w:lang w:bidi="ar-EG"/>
        </w:rPr>
        <w:t xml:space="preserve">الفئة: </w:t>
      </w:r>
      <w:r>
        <w:rPr>
          <w:lang w:bidi="ar-EG"/>
        </w:rPr>
        <w:t>S2</w:t>
      </w:r>
    </w:p>
    <w:p w14:paraId="465ED8B7" w14:textId="77777777" w:rsidR="00E9218F" w:rsidRDefault="00E9218F"/>
    <w:sectPr w:rsidR="00E9218F" w:rsidSect="004D4AE6">
      <w:headerReference w:type="even" r:id="rId12"/>
      <w:headerReference w:type="default" r:id="rId13"/>
      <w:foot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DF87" w14:textId="77777777" w:rsidR="00AF7BEF" w:rsidRDefault="00AF7BEF" w:rsidP="002919E1">
      <w:r>
        <w:separator/>
      </w:r>
    </w:p>
    <w:p w14:paraId="64922824" w14:textId="77777777" w:rsidR="00AF7BEF" w:rsidRDefault="00AF7BEF" w:rsidP="002919E1"/>
    <w:p w14:paraId="561ACEB5" w14:textId="77777777" w:rsidR="00AF7BEF" w:rsidRDefault="00AF7BEF" w:rsidP="002919E1"/>
    <w:p w14:paraId="5D78E997" w14:textId="77777777" w:rsidR="00AF7BEF" w:rsidRDefault="00AF7BEF"/>
  </w:endnote>
  <w:endnote w:type="continuationSeparator" w:id="0">
    <w:p w14:paraId="3ECC4B47" w14:textId="77777777" w:rsidR="00AF7BEF" w:rsidRDefault="00AF7BEF" w:rsidP="002919E1">
      <w:r>
        <w:continuationSeparator/>
      </w:r>
    </w:p>
    <w:p w14:paraId="3E70BFEE" w14:textId="77777777" w:rsidR="00AF7BEF" w:rsidRDefault="00AF7BEF" w:rsidP="002919E1"/>
    <w:p w14:paraId="067FF5D7" w14:textId="77777777" w:rsidR="00AF7BEF" w:rsidRDefault="00AF7BEF" w:rsidP="002919E1"/>
    <w:p w14:paraId="7606ED8D" w14:textId="77777777" w:rsidR="00AF7BEF" w:rsidRDefault="00AF7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F803" w14:textId="3DBBE4B0"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AF7BEF">
      <w:rPr>
        <w:noProof/>
      </w:rPr>
      <w:t>Document27</w:t>
    </w:r>
    <w:r>
      <w:fldChar w:fldCharType="end"/>
    </w:r>
    <w:r w:rsidRPr="00A809E8">
      <w:t xml:space="preserve">   (</w:t>
    </w:r>
    <w:r>
      <w:t>xxxxxx</w:t>
    </w:r>
    <w:r w:rsidRPr="00A809E8">
      <w:t>)</w:t>
    </w:r>
    <w:r w:rsidRPr="00A809E8">
      <w:tab/>
    </w:r>
    <w:r w:rsidRPr="00B12661">
      <w:fldChar w:fldCharType="begin"/>
    </w:r>
    <w:r w:rsidRPr="00B12661">
      <w:instrText xml:space="preserve"> savedate \@ dd.MM.yy </w:instrText>
    </w:r>
    <w:r w:rsidRPr="00B12661">
      <w:fldChar w:fldCharType="separate"/>
    </w:r>
    <w:r w:rsidR="00BF6F89">
      <w:rPr>
        <w:noProof/>
      </w:rPr>
      <w:t>16.01.24</w:t>
    </w:r>
    <w:r w:rsidRPr="00B12661">
      <w:fldChar w:fldCharType="end"/>
    </w:r>
    <w:r w:rsidRPr="00A809E8">
      <w:tab/>
    </w:r>
    <w:r w:rsidRPr="00B12661">
      <w:fldChar w:fldCharType="begin"/>
    </w:r>
    <w:r w:rsidRPr="00B12661">
      <w:instrText xml:space="preserve"> printdate \@ dd.MM.yy </w:instrText>
    </w:r>
    <w:r w:rsidRPr="00B12661">
      <w:fldChar w:fldCharType="separate"/>
    </w:r>
    <w:r w:rsidR="00AF7BEF">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E307" w14:textId="77777777" w:rsidR="00AF7BEF" w:rsidRDefault="00AF7BEF" w:rsidP="002919E1">
      <w:r>
        <w:t>___________________</w:t>
      </w:r>
    </w:p>
  </w:footnote>
  <w:footnote w:type="continuationSeparator" w:id="0">
    <w:p w14:paraId="4F5C3595" w14:textId="77777777" w:rsidR="00AF7BEF" w:rsidRDefault="00AF7BEF" w:rsidP="002919E1">
      <w:r>
        <w:continuationSeparator/>
      </w:r>
    </w:p>
    <w:p w14:paraId="1F806754" w14:textId="77777777" w:rsidR="00AF7BEF" w:rsidRDefault="00AF7BEF" w:rsidP="002919E1"/>
    <w:p w14:paraId="1C08BEF6" w14:textId="77777777" w:rsidR="00AF7BEF" w:rsidRDefault="00AF7BEF" w:rsidP="002919E1"/>
    <w:p w14:paraId="169294BF" w14:textId="77777777" w:rsidR="00AF7BEF" w:rsidRDefault="00AF7BEF"/>
  </w:footnote>
  <w:footnote w:id="1">
    <w:p w14:paraId="3FACCAD5" w14:textId="77777777" w:rsidR="00E9218F" w:rsidRDefault="00E9218F" w:rsidP="0086455C">
      <w:pPr>
        <w:pStyle w:val="FootnoteText"/>
      </w:pPr>
      <w:r>
        <w:rPr>
          <w:rStyle w:val="FootnoteReference"/>
          <w:rFonts w:hint="cs"/>
          <w:rtl/>
        </w:rPr>
        <w:t>*</w:t>
      </w:r>
      <w:r>
        <w:rPr>
          <w:sz w:val="18"/>
          <w:szCs w:val="24"/>
          <w:rtl/>
        </w:rPr>
        <w:tab/>
      </w:r>
      <w:r>
        <w:rPr>
          <w:rtl/>
        </w:rPr>
        <w:t xml:space="preserve">ينبغي استرعاء انتباه لجنة الدراسات </w:t>
      </w:r>
      <w:r>
        <w:t>1</w:t>
      </w:r>
      <w:r>
        <w:rPr>
          <w:rtl/>
        </w:rPr>
        <w:t xml:space="preserve"> (فرقة العمل </w:t>
      </w:r>
      <w:r>
        <w:rPr>
          <w:lang w:val="fr-CH"/>
        </w:rPr>
        <w:t>1A</w:t>
      </w:r>
      <w:r>
        <w:rPr>
          <w:rtl/>
        </w:rPr>
        <w:t>) إلى 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AF85" w14:textId="77777777" w:rsidR="00281F5F" w:rsidRDefault="00281F5F" w:rsidP="002919E1"/>
  <w:p w14:paraId="32D63505" w14:textId="77777777" w:rsidR="00281F5F" w:rsidRDefault="00281F5F" w:rsidP="002919E1"/>
  <w:p w14:paraId="5EBCD80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9A"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585458993">
    <w:abstractNumId w:val="9"/>
  </w:num>
  <w:num w:numId="2" w16cid:durableId="1606385649">
    <w:abstractNumId w:val="11"/>
  </w:num>
  <w:num w:numId="3" w16cid:durableId="1363165988">
    <w:abstractNumId w:val="10"/>
  </w:num>
  <w:num w:numId="4" w16cid:durableId="1386834468">
    <w:abstractNumId w:val="12"/>
  </w:num>
  <w:num w:numId="5" w16cid:durableId="2078283084">
    <w:abstractNumId w:val="7"/>
  </w:num>
  <w:num w:numId="6" w16cid:durableId="555510227">
    <w:abstractNumId w:val="6"/>
  </w:num>
  <w:num w:numId="7" w16cid:durableId="739062491">
    <w:abstractNumId w:val="5"/>
  </w:num>
  <w:num w:numId="8" w16cid:durableId="462623010">
    <w:abstractNumId w:val="4"/>
  </w:num>
  <w:num w:numId="9" w16cid:durableId="754590710">
    <w:abstractNumId w:val="8"/>
  </w:num>
  <w:num w:numId="10" w16cid:durableId="257372688">
    <w:abstractNumId w:val="3"/>
  </w:num>
  <w:num w:numId="11" w16cid:durableId="1499808068">
    <w:abstractNumId w:val="2"/>
  </w:num>
  <w:num w:numId="12" w16cid:durableId="1626153957">
    <w:abstractNumId w:val="1"/>
  </w:num>
  <w:num w:numId="13" w16cid:durableId="175500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EF"/>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AF7BEF"/>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6F89"/>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218F"/>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DA76"/>
  <w15:docId w15:val="{88015298-63CE-49FD-9AFF-A54AF697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symbol,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Normalaftertitle0">
    <w:name w:val="Normal_after_title"/>
    <w:basedOn w:val="Normal"/>
    <w:next w:val="Normal"/>
    <w:rsid w:val="00E9218F"/>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pPr>
    <w:rPr>
      <w:rFonts w:ascii="Times New Roman" w:eastAsia="PMingLiU" w:hAnsi="Times New Roman" w:cs="Traditional Arabic"/>
      <w:szCs w:val="30"/>
      <w:lang w:val="en-GB"/>
    </w:rPr>
  </w:style>
  <w:style w:type="character" w:customStyle="1" w:styleId="QuestionNoBRChar">
    <w:name w:val="Question_No_BR Char"/>
    <w:basedOn w:val="DefaultParagraphFont"/>
    <w:link w:val="QuestionNoBR"/>
    <w:locked/>
    <w:rsid w:val="00E9218F"/>
    <w:rPr>
      <w:rFonts w:ascii="Times New Roman" w:eastAsia="PMingLiU" w:hAnsi="Times New Roman" w:cs="Traditional Arabic"/>
      <w:caps/>
      <w:sz w:val="28"/>
      <w:szCs w:val="30"/>
      <w:lang w:eastAsia="en-US"/>
    </w:rPr>
  </w:style>
  <w:style w:type="paragraph" w:customStyle="1" w:styleId="Questiontitle">
    <w:name w:val="Question_title"/>
    <w:basedOn w:val="Normal"/>
    <w:next w:val="Normal"/>
    <w:link w:val="QuestiontitleChar"/>
    <w:rsid w:val="00E9218F"/>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eastAsia="PMingLiU" w:hAnsi="Times New Roman Bold" w:cs="Traditional Arabic"/>
      <w:b/>
      <w:bCs/>
      <w:sz w:val="28"/>
      <w:szCs w:val="40"/>
      <w:lang w:val="en-GB"/>
    </w:rPr>
  </w:style>
  <w:style w:type="paragraph" w:customStyle="1" w:styleId="QuestionNoBR">
    <w:name w:val="Question_No_BR"/>
    <w:basedOn w:val="Normal"/>
    <w:next w:val="Questiontitle"/>
    <w:link w:val="QuestionNoBRChar"/>
    <w:rsid w:val="00E9218F"/>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w:eastAsia="PMingLiU" w:hAnsi="Times New Roman" w:cs="Traditional Arabic"/>
      <w:caps/>
      <w:sz w:val="28"/>
      <w:szCs w:val="30"/>
    </w:rPr>
  </w:style>
  <w:style w:type="character" w:customStyle="1" w:styleId="QuestiontitleChar">
    <w:name w:val="Question_title Char"/>
    <w:basedOn w:val="DefaultParagraphFont"/>
    <w:link w:val="Questiontitle"/>
    <w:locked/>
    <w:rsid w:val="00E9218F"/>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0"/>
    <w:rsid w:val="00E9218F"/>
    <w:pPr>
      <w:keepNext/>
      <w:keepLines/>
      <w:tabs>
        <w:tab w:val="clear" w:pos="1134"/>
        <w:tab w:val="clear" w:pos="1871"/>
        <w:tab w:val="clear" w:pos="2268"/>
      </w:tabs>
      <w:overflowPunct w:val="0"/>
      <w:autoSpaceDE w:val="0"/>
      <w:autoSpaceDN w:val="0"/>
      <w:adjustRightInd w:val="0"/>
      <w:jc w:val="right"/>
    </w:pPr>
    <w:rPr>
      <w:rFonts w:ascii="Times New Roman" w:eastAsia="PMingLiU" w:hAnsi="Times New Roman" w:cs="Traditional Arabic"/>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PA_BR.dotx</Template>
  <TotalTime>1</TotalTime>
  <Pages>1</Pages>
  <Words>199</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Fernandez Jimenez, Virginia</cp:lastModifiedBy>
  <cp:revision>3</cp:revision>
  <cp:lastPrinted>2019-06-26T10:10:00Z</cp:lastPrinted>
  <dcterms:created xsi:type="dcterms:W3CDTF">2024-01-16T10:35:00Z</dcterms:created>
  <dcterms:modified xsi:type="dcterms:W3CDTF">2024-01-26T10:34:00Z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