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64" w:rsidRPr="003D1235" w:rsidRDefault="00553264" w:rsidP="00553264">
      <w:pPr>
        <w:pStyle w:val="QuestionNoBR"/>
      </w:pPr>
      <w:r>
        <w:t>QUESTION UIT-</w:t>
      </w:r>
      <w:r w:rsidRPr="003D1235">
        <w:t>R 208-</w:t>
      </w:r>
      <w:r>
        <w:t>4</w:t>
      </w:r>
      <w:r w:rsidRPr="003D1235">
        <w:t>/3</w:t>
      </w:r>
    </w:p>
    <w:p w:rsidR="00553264" w:rsidRPr="009E3FCF" w:rsidRDefault="00553264" w:rsidP="00553264">
      <w:pPr>
        <w:pStyle w:val="Parttitle"/>
        <w:spacing w:line="240" w:lineRule="auto"/>
        <w:rPr>
          <w:rFonts w:ascii="Times New Roman" w:hAnsi="Times New Roman" w:cs="Times New Roman"/>
          <w:sz w:val="28"/>
          <w:szCs w:val="28"/>
          <w:lang w:val="fr-FR"/>
        </w:rPr>
      </w:pPr>
      <w:r w:rsidRPr="009E3FCF">
        <w:rPr>
          <w:rFonts w:ascii="Times New Roman" w:hAnsi="Times New Roman" w:cs="Times New Roman"/>
          <w:sz w:val="28"/>
          <w:szCs w:val="28"/>
          <w:lang w:val="fr-FR"/>
        </w:rPr>
        <w:t xml:space="preserve">Facteurs de propagation relatifs aux questions de partage des bandes de fréquences affectant les services de radiocommunication spatiale </w:t>
      </w:r>
      <w:r>
        <w:rPr>
          <w:rFonts w:ascii="Times New Roman" w:hAnsi="Times New Roman" w:cs="Times New Roman"/>
          <w:sz w:val="28"/>
          <w:szCs w:val="28"/>
          <w:lang w:val="fr-FR"/>
        </w:rPr>
        <w:br/>
      </w:r>
      <w:r w:rsidRPr="009E3FCF">
        <w:rPr>
          <w:rFonts w:ascii="Times New Roman" w:hAnsi="Times New Roman" w:cs="Times New Roman"/>
          <w:sz w:val="28"/>
          <w:szCs w:val="28"/>
          <w:lang w:val="fr-FR"/>
        </w:rPr>
        <w:t>et les services de Terre</w:t>
      </w:r>
    </w:p>
    <w:p w:rsidR="00553264" w:rsidRPr="00825FD2" w:rsidRDefault="00553264" w:rsidP="00553264">
      <w:pPr>
        <w:jc w:val="right"/>
        <w:rPr>
          <w:rFonts w:ascii="Times New Roman" w:hAnsi="Times New Roman" w:cs="Times New Roman"/>
          <w:iCs/>
          <w:sz w:val="22"/>
          <w:lang w:val="fr-FR"/>
        </w:rPr>
      </w:pPr>
      <w:r w:rsidRPr="00825FD2">
        <w:rPr>
          <w:rFonts w:ascii="Times New Roman" w:hAnsi="Times New Roman" w:cs="Times New Roman"/>
          <w:iCs/>
          <w:sz w:val="22"/>
          <w:lang w:val="fr-FR"/>
        </w:rPr>
        <w:t>(1990-1993-1995-2002-2005</w:t>
      </w:r>
      <w:r>
        <w:rPr>
          <w:rFonts w:ascii="Times New Roman" w:hAnsi="Times New Roman" w:cs="Times New Roman"/>
          <w:iCs/>
          <w:sz w:val="22"/>
          <w:lang w:val="fr-FR"/>
        </w:rPr>
        <w:t>-2013</w:t>
      </w:r>
      <w:r w:rsidRPr="00825FD2">
        <w:rPr>
          <w:rFonts w:ascii="Times New Roman" w:hAnsi="Times New Roman" w:cs="Times New Roman"/>
          <w:iCs/>
          <w:sz w:val="22"/>
          <w:lang w:val="fr-FR"/>
        </w:rPr>
        <w:t>)</w:t>
      </w:r>
    </w:p>
    <w:p w:rsidR="00553264" w:rsidRPr="003D1235" w:rsidRDefault="00553264" w:rsidP="00553264">
      <w:pPr>
        <w:pStyle w:val="Normalaftertitle"/>
        <w:rPr>
          <w:lang w:val="fr-CH"/>
        </w:rPr>
      </w:pPr>
      <w:r w:rsidRPr="003D1235">
        <w:rPr>
          <w:lang w:val="fr-CH"/>
        </w:rPr>
        <w:t>L'Assemblée des radiocommunications de l'UIT,</w:t>
      </w:r>
    </w:p>
    <w:p w:rsidR="00553264" w:rsidRPr="003D1235" w:rsidRDefault="00553264" w:rsidP="00553264">
      <w:pPr>
        <w:pStyle w:val="call0"/>
        <w:rPr>
          <w:lang w:val="fr-CH"/>
        </w:rPr>
      </w:pPr>
      <w:r w:rsidRPr="003D1235">
        <w:rPr>
          <w:lang w:val="fr-CH"/>
        </w:rPr>
        <w:t>considérant</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a)</w:t>
      </w:r>
      <w:r w:rsidRPr="003D1235">
        <w:rPr>
          <w:rFonts w:ascii="Times New Roman" w:hAnsi="Times New Roman" w:cs="Times New Roman"/>
          <w:szCs w:val="24"/>
          <w:lang w:val="fr-FR"/>
        </w:rPr>
        <w:tab/>
        <w:t>que des données de propagation sur des trajets radioélectriques sont nécessaires pour planifier le partage des canaux radioélectriques dans les systèmes de radiocommunication;</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b)</w:t>
      </w:r>
      <w:r w:rsidRPr="003D1235">
        <w:rPr>
          <w:rFonts w:ascii="Times New Roman" w:hAnsi="Times New Roman" w:cs="Times New Roman"/>
          <w:szCs w:val="24"/>
          <w:lang w:val="fr-FR"/>
        </w:rPr>
        <w:tab/>
        <w:t>que, d'après le Règlement des radiocommunications (RR), il convient de déterminer une distance de coordination, ou une zone de coordination, pour les stations terriennes dans les bandes de fréquences partagées entre les services de radiocommunication spatiale et les services de Terre;</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c)</w:t>
      </w:r>
      <w:r w:rsidRPr="003D1235">
        <w:rPr>
          <w:rFonts w:ascii="Times New Roman" w:hAnsi="Times New Roman" w:cs="Times New Roman"/>
          <w:szCs w:val="24"/>
          <w:lang w:val="fr-FR"/>
        </w:rPr>
        <w:tab/>
        <w:t>que, dans le calcul des distances de coordination, il convient de tenir compte de tous les mécanismes de propagation pouvant intervenir et des caractéristiques du système;</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d)</w:t>
      </w:r>
      <w:r w:rsidRPr="003D1235">
        <w:rPr>
          <w:rFonts w:ascii="Times New Roman" w:hAnsi="Times New Roman" w:cs="Times New Roman"/>
          <w:szCs w:val="24"/>
          <w:lang w:val="fr-FR"/>
        </w:rPr>
        <w:tab/>
        <w:t>que, dans le calcul des brouillages entre les systèmes, une étude plus détaillée des mécanismes de propagation qui interviennent est nécessaire;</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e)</w:t>
      </w:r>
      <w:r w:rsidRPr="003D1235">
        <w:rPr>
          <w:rFonts w:ascii="Times New Roman" w:hAnsi="Times New Roman" w:cs="Times New Roman"/>
          <w:szCs w:val="24"/>
          <w:lang w:val="fr-FR"/>
        </w:rPr>
        <w:tab/>
        <w:t xml:space="preserve">que la Conférence mondiale des radiocommunications (CMR-2000) a approuvé une révision de l'Appendice </w:t>
      </w:r>
      <w:r w:rsidRPr="00204435">
        <w:rPr>
          <w:rFonts w:ascii="Times New Roman" w:hAnsi="Times New Roman" w:cs="Times New Roman"/>
          <w:b/>
          <w:bCs/>
          <w:szCs w:val="24"/>
          <w:lang w:val="fr-FR"/>
        </w:rPr>
        <w:t>7</w:t>
      </w:r>
      <w:r w:rsidRPr="003D1235">
        <w:rPr>
          <w:rFonts w:ascii="Times New Roman" w:hAnsi="Times New Roman" w:cs="Times New Roman"/>
          <w:szCs w:val="24"/>
          <w:lang w:val="fr-FR"/>
        </w:rPr>
        <w:t xml:space="preserve"> (modifié ultérieurement par la CMR-03 et la CMR-07) fondée sur les éléments d'information figurant dans la Recommandation UIT-R SM.1448, elle-même fondée sur les éléments d'information figurant dans la Recommandation UIT-R P.620 pour la gamme des fréquences 100 MHz à 105 GHz;</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i/>
          <w:iCs/>
          <w:szCs w:val="24"/>
          <w:lang w:val="fr-FR"/>
        </w:rPr>
        <w:t>f)</w:t>
      </w:r>
      <w:r w:rsidRPr="003D1235">
        <w:rPr>
          <w:rFonts w:ascii="Times New Roman" w:hAnsi="Times New Roman" w:cs="Times New Roman"/>
          <w:szCs w:val="24"/>
          <w:lang w:val="fr-FR"/>
        </w:rPr>
        <w:tab/>
        <w:t xml:space="preserve">que la Résolution </w:t>
      </w:r>
      <w:r w:rsidRPr="0002101F">
        <w:rPr>
          <w:rFonts w:ascii="Times New Roman" w:hAnsi="Times New Roman" w:cs="Times New Roman"/>
          <w:b/>
          <w:bCs/>
          <w:szCs w:val="24"/>
          <w:lang w:val="fr-FR"/>
        </w:rPr>
        <w:t>74 (Rév.CMR-03)</w:t>
      </w:r>
      <w:r w:rsidRPr="003D1235">
        <w:rPr>
          <w:rFonts w:ascii="Times New Roman" w:hAnsi="Times New Roman" w:cs="Times New Roman"/>
          <w:szCs w:val="24"/>
          <w:lang w:val="fr-FR"/>
        </w:rPr>
        <w:t xml:space="preserve"> définit la procédure de mise à jour des bases techniques de l'Appendice </w:t>
      </w:r>
      <w:r w:rsidRPr="00204435">
        <w:rPr>
          <w:rFonts w:ascii="Times New Roman" w:hAnsi="Times New Roman" w:cs="Times New Roman"/>
          <w:b/>
          <w:bCs/>
          <w:szCs w:val="24"/>
          <w:lang w:val="fr-FR"/>
        </w:rPr>
        <w:t>7</w:t>
      </w:r>
      <w:r w:rsidRPr="003D1235">
        <w:rPr>
          <w:rFonts w:ascii="Times New Roman" w:hAnsi="Times New Roman" w:cs="Times New Roman"/>
          <w:szCs w:val="24"/>
          <w:lang w:val="fr-FR"/>
        </w:rPr>
        <w:t>,</w:t>
      </w:r>
    </w:p>
    <w:p w:rsidR="00553264" w:rsidRPr="003D1235" w:rsidRDefault="00553264" w:rsidP="00553264">
      <w:pPr>
        <w:pStyle w:val="call0"/>
        <w:rPr>
          <w:szCs w:val="24"/>
          <w:lang w:val="fr-FR"/>
        </w:rPr>
      </w:pPr>
      <w:r w:rsidRPr="003D1235">
        <w:rPr>
          <w:szCs w:val="24"/>
          <w:lang w:val="fr-FR"/>
        </w:rPr>
        <w:t xml:space="preserve">décide </w:t>
      </w:r>
      <w:r w:rsidRPr="003D1235">
        <w:rPr>
          <w:i w:val="0"/>
          <w:iCs/>
          <w:szCs w:val="24"/>
          <w:lang w:val="fr-FR"/>
        </w:rPr>
        <w:t xml:space="preserve">de </w:t>
      </w:r>
      <w:r w:rsidRPr="003D1235">
        <w:rPr>
          <w:i w:val="0"/>
          <w:iCs/>
          <w:szCs w:val="24"/>
          <w:lang w:val="fr-CH"/>
        </w:rPr>
        <w:t>mettre</w:t>
      </w:r>
      <w:r w:rsidRPr="003D1235">
        <w:rPr>
          <w:i w:val="0"/>
          <w:iCs/>
          <w:szCs w:val="24"/>
          <w:lang w:val="fr-FR"/>
        </w:rPr>
        <w:t xml:space="preserve"> à l'étude l</w:t>
      </w:r>
      <w:r>
        <w:rPr>
          <w:i w:val="0"/>
          <w:iCs/>
          <w:szCs w:val="24"/>
          <w:lang w:val="fr-FR"/>
        </w:rPr>
        <w:t>es</w:t>
      </w:r>
      <w:r w:rsidRPr="003D1235">
        <w:rPr>
          <w:i w:val="0"/>
          <w:iCs/>
          <w:szCs w:val="24"/>
          <w:lang w:val="fr-FR"/>
        </w:rPr>
        <w:t xml:space="preserve"> Question</w:t>
      </w:r>
      <w:r>
        <w:rPr>
          <w:i w:val="0"/>
          <w:iCs/>
          <w:szCs w:val="24"/>
          <w:lang w:val="fr-FR"/>
        </w:rPr>
        <w:t>s</w:t>
      </w:r>
      <w:r w:rsidRPr="003D1235">
        <w:rPr>
          <w:i w:val="0"/>
          <w:iCs/>
          <w:szCs w:val="24"/>
          <w:lang w:val="fr-FR"/>
        </w:rPr>
        <w:t xml:space="preserve"> suivante</w:t>
      </w:r>
      <w:r>
        <w:rPr>
          <w:i w:val="0"/>
          <w:iCs/>
          <w:szCs w:val="24"/>
          <w:lang w:val="fr-FR"/>
        </w:rPr>
        <w:t>s</w:t>
      </w:r>
    </w:p>
    <w:p w:rsidR="00553264" w:rsidRPr="003D1235" w:rsidRDefault="00553264" w:rsidP="00553264">
      <w:pPr>
        <w:jc w:val="left"/>
        <w:rPr>
          <w:rFonts w:ascii="Times New Roman" w:hAnsi="Times New Roman" w:cs="Times New Roman"/>
          <w:szCs w:val="24"/>
          <w:lang w:val="fr-FR"/>
        </w:rPr>
      </w:pPr>
      <w:r w:rsidRPr="0002101F">
        <w:rPr>
          <w:rFonts w:ascii="Times New Roman" w:hAnsi="Times New Roman" w:cs="Times New Roman"/>
          <w:bCs/>
          <w:szCs w:val="24"/>
          <w:lang w:val="fr-FR"/>
        </w:rPr>
        <w:t>1</w:t>
      </w:r>
      <w:r w:rsidRPr="003D1235">
        <w:rPr>
          <w:rFonts w:ascii="Times New Roman" w:hAnsi="Times New Roman" w:cs="Times New Roman"/>
          <w:szCs w:val="24"/>
          <w:lang w:val="fr-FR"/>
        </w:rPr>
        <w:tab/>
        <w:t>Quelle est la distribution des variations du niveau du signal (évanouissement et surchamp) et de leur durée, sous l'effet:</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la diffraction;</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phénomènes atmosphériques tels que la formation de conduits, la diffusion provoquée par les précipitations, la diffusion troposphérique et la réflexion sur les couches de l'atmosphère;</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des réflexions sur le sol et les structures artificielles;</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combinaisons de ces mécanismes?</w:t>
      </w:r>
    </w:p>
    <w:p w:rsidR="00553264" w:rsidRPr="003D1235" w:rsidRDefault="00553264" w:rsidP="00553264">
      <w:pPr>
        <w:jc w:val="left"/>
        <w:rPr>
          <w:rFonts w:ascii="Times New Roman" w:hAnsi="Times New Roman" w:cs="Times New Roman"/>
          <w:szCs w:val="24"/>
          <w:lang w:val="fr-FR"/>
        </w:rPr>
      </w:pPr>
      <w:r w:rsidRPr="0002101F">
        <w:rPr>
          <w:rFonts w:ascii="Times New Roman" w:hAnsi="Times New Roman" w:cs="Times New Roman"/>
          <w:bCs/>
          <w:szCs w:val="24"/>
          <w:lang w:val="fr-FR"/>
        </w:rPr>
        <w:t>2</w:t>
      </w:r>
      <w:r w:rsidRPr="003D1235">
        <w:rPr>
          <w:rFonts w:ascii="Times New Roman" w:hAnsi="Times New Roman" w:cs="Times New Roman"/>
          <w:szCs w:val="24"/>
          <w:lang w:val="fr-FR"/>
        </w:rPr>
        <w:tab/>
        <w:t>Comment ces effets dépendent-ils du lieu, de l’heure, de la longueur du trajet, et de la fréquence, compte tenu des points suivants:</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lastRenderedPageBreak/>
        <w:t>–</w:t>
      </w:r>
      <w:r w:rsidRPr="00DE4BFB">
        <w:rPr>
          <w:rFonts w:ascii="Times New Roman" w:hAnsi="Times New Roman" w:cs="Times New Roman"/>
          <w:szCs w:val="24"/>
          <w:lang w:val="fr-FR"/>
        </w:rPr>
        <w:tab/>
        <w:t>la gamme des pourcentages les plus intéressants va de 0,001% à 50%;</w:t>
      </w:r>
    </w:p>
    <w:p w:rsidR="00553264" w:rsidRPr="00DE4BFB" w:rsidRDefault="00553264" w:rsidP="00553264">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les périodes de références intéressantes sont le mois le plus défavorable et l'année moyenne;</w:t>
      </w:r>
    </w:p>
    <w:p w:rsidR="00553264" w:rsidRPr="003D1235" w:rsidRDefault="00553264" w:rsidP="00553264">
      <w:pPr>
        <w:pStyle w:val="enumlev1"/>
        <w:jc w:val="left"/>
        <w:rPr>
          <w:rFonts w:ascii="Times New Roman" w:hAnsi="Times New Roman" w:cs="Times New Roman"/>
          <w:szCs w:val="24"/>
          <w:lang w:val="fr-FR"/>
        </w:rPr>
      </w:pPr>
      <w:bookmarkStart w:id="0" w:name="_GoBack"/>
      <w:bookmarkEnd w:id="0"/>
      <w:r w:rsidRPr="003D1235">
        <w:rPr>
          <w:rFonts w:ascii="Times New Roman" w:hAnsi="Times New Roman" w:cs="Times New Roman"/>
          <w:szCs w:val="24"/>
          <w:lang w:val="fr-FR"/>
        </w:rPr>
        <w:t>–</w:t>
      </w:r>
      <w:r w:rsidRPr="003D1235">
        <w:rPr>
          <w:rFonts w:ascii="Times New Roman" w:hAnsi="Times New Roman" w:cs="Times New Roman"/>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553264" w:rsidRPr="003D1235" w:rsidRDefault="00553264" w:rsidP="00553264">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la gamme des fréquences intéressantes se situe approximativement de 100 MHz à 500 GHz?</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3</w:t>
      </w:r>
      <w:r w:rsidRPr="003D1235">
        <w:rPr>
          <w:rFonts w:ascii="Times New Roman" w:hAnsi="Times New Roman" w:cs="Times New Roman"/>
          <w:szCs w:val="24"/>
          <w:lang w:val="fr-FR"/>
        </w:rPr>
        <w:tab/>
        <w:t>Comment peut</w:t>
      </w:r>
      <w:r w:rsidRPr="003D1235">
        <w:rPr>
          <w:rFonts w:ascii="Times New Roman" w:hAnsi="Times New Roman" w:cs="Times New Roman"/>
          <w:szCs w:val="24"/>
          <w:lang w:val="fr-FR"/>
        </w:rPr>
        <w:noBreakHyphen/>
        <w:t>on élaborer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4</w:t>
      </w:r>
      <w:r w:rsidRPr="003D1235">
        <w:rPr>
          <w:rFonts w:ascii="Times New Roman" w:hAnsi="Times New Roman" w:cs="Times New Roman"/>
          <w:b/>
          <w:szCs w:val="24"/>
          <w:lang w:val="fr-FR"/>
        </w:rPr>
        <w:tab/>
      </w:r>
      <w:r w:rsidRPr="003D1235">
        <w:rPr>
          <w:rFonts w:ascii="Times New Roman" w:hAnsi="Times New Roman" w:cs="Times New Roman"/>
          <w:szCs w:val="24"/>
          <w:lang w:val="fr-FR"/>
        </w:rPr>
        <w:t>Quels paramètres de précipitation, outre l'intensité de précipitation et l'altitude de l'isotherme 0°C, peut-on appliquer aux méthodes de prévision pour tenir compte des différences climatiques?</w:t>
      </w:r>
    </w:p>
    <w:p w:rsidR="00553264" w:rsidRPr="003D1235" w:rsidRDefault="00553264" w:rsidP="00553264">
      <w:pPr>
        <w:spacing w:before="120" w:line="240" w:lineRule="auto"/>
        <w:jc w:val="left"/>
        <w:rPr>
          <w:rFonts w:ascii="Times New Roman" w:hAnsi="Times New Roman" w:cs="Times New Roman"/>
          <w:b/>
          <w:szCs w:val="24"/>
          <w:lang w:val="fr-FR"/>
        </w:rPr>
      </w:pPr>
      <w:r w:rsidRPr="0002101F">
        <w:rPr>
          <w:rFonts w:ascii="Times New Roman" w:hAnsi="Times New Roman" w:cs="Times New Roman"/>
          <w:bCs/>
          <w:szCs w:val="24"/>
          <w:lang w:val="fr-FR"/>
        </w:rPr>
        <w:t>5</w:t>
      </w:r>
      <w:r w:rsidRPr="003D1235">
        <w:rPr>
          <w:rFonts w:ascii="Times New Roman" w:hAnsi="Times New Roman" w:cs="Times New Roman"/>
          <w:szCs w:val="24"/>
          <w:lang w:val="fr-FR"/>
        </w:rPr>
        <w:tab/>
        <w:t>Quels paramètres de coïndice peut-on appliquer aux méthodes de prévision en air clair pour tenir compte des différences climatiques?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6</w:t>
      </w:r>
      <w:r w:rsidRPr="003D1235">
        <w:rPr>
          <w:rFonts w:ascii="Times New Roman" w:hAnsi="Times New Roman" w:cs="Times New Roman"/>
          <w:szCs w:val="24"/>
          <w:lang w:val="fr-FR"/>
        </w:rPr>
        <w:tab/>
        <w:t>Comment peut-on quantifier la diffusion par les irrégularités du terrain (y compris l'influence de la végétation et des édifices comme les immeubles)?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7</w:t>
      </w:r>
      <w:r w:rsidRPr="003D1235">
        <w:rPr>
          <w:rFonts w:ascii="Times New Roman" w:hAnsi="Times New Roman" w:cs="Times New Roman"/>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8</w:t>
      </w:r>
      <w:r w:rsidRPr="003D1235">
        <w:rPr>
          <w:rFonts w:ascii="Times New Roman" w:hAnsi="Times New Roman" w:cs="Times New Roman"/>
          <w:szCs w:val="24"/>
          <w:lang w:val="fr-FR"/>
        </w:rPr>
        <w:tab/>
        <w:t>Comment peut-on évaluer l'effet d'écran, en insistant plus particulièrement sur une méthode pratique permettant de calculer son ordre de grandeur dans certaines situations (par exemple, petites stations en zones urbaines)?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9</w:t>
      </w:r>
      <w:r w:rsidRPr="003D1235">
        <w:rPr>
          <w:rFonts w:ascii="Times New Roman" w:hAnsi="Times New Roman" w:cs="Times New Roman"/>
          <w:szCs w:val="24"/>
          <w:lang w:val="fr-FR"/>
        </w:rPr>
        <w:tab/>
        <w:t>Quelle est la corrélation des évanouissements et des surchamps du signal sur des liaisons radioélectriques séparées et son influence sur les statistiques de brouillage?</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szCs w:val="24"/>
          <w:lang w:val="fr-FR"/>
        </w:rPr>
        <w:t>10</w:t>
      </w:r>
      <w:r w:rsidRPr="003D1235">
        <w:rPr>
          <w:rFonts w:ascii="Times New Roman" w:hAnsi="Times New Roman" w:cs="Times New Roman"/>
          <w:b/>
          <w:bCs/>
          <w:szCs w:val="24"/>
          <w:lang w:val="fr-FR"/>
        </w:rPr>
        <w:tab/>
      </w:r>
      <w:r w:rsidRPr="003D1235">
        <w:rPr>
          <w:rFonts w:ascii="Times New Roman" w:hAnsi="Times New Roman" w:cs="Times New Roman"/>
          <w:szCs w:val="24"/>
          <w:lang w:val="fr-FR"/>
        </w:rPr>
        <w:t>Quelle méthode décrit le mieux les statistiques sur la différence entre les affaiblissements dus aux précipitations entre un trajet utile et un trajet brouilleur?</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11</w:t>
      </w:r>
      <w:r w:rsidRPr="003D1235">
        <w:rPr>
          <w:rFonts w:ascii="Times New Roman" w:hAnsi="Times New Roman" w:cs="Times New Roman"/>
          <w:szCs w:val="24"/>
          <w:lang w:val="fr-FR"/>
        </w:rPr>
        <w:tab/>
        <w:t>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P.452 et aux processus de prévision de la propagation servant à déterminer la distance de coordination de la Recommandation UIT-R P.620, telles que l'alignement de ces deux méthodes afin de concilier la détermination de la zone de coordination et l'évaluation détaillée du brouillage dans des cas isolés?</w:t>
      </w:r>
    </w:p>
    <w:p w:rsidR="00553264" w:rsidRPr="003D1235" w:rsidRDefault="00553264" w:rsidP="00553264">
      <w:pPr>
        <w:spacing w:before="120" w:line="240" w:lineRule="auto"/>
        <w:jc w:val="left"/>
        <w:rPr>
          <w:rFonts w:ascii="Times New Roman" w:hAnsi="Times New Roman" w:cs="Times New Roman"/>
          <w:szCs w:val="24"/>
          <w:lang w:val="fr-FR"/>
        </w:rPr>
      </w:pPr>
      <w:r w:rsidRPr="0002101F">
        <w:rPr>
          <w:rFonts w:ascii="Times New Roman" w:hAnsi="Times New Roman" w:cs="Times New Roman"/>
          <w:bCs/>
          <w:szCs w:val="24"/>
          <w:lang w:val="fr-FR"/>
        </w:rPr>
        <w:t>12</w:t>
      </w:r>
      <w:r w:rsidRPr="003D1235">
        <w:rPr>
          <w:rFonts w:ascii="Times New Roman" w:hAnsi="Times New Roman" w:cs="Times New Roman"/>
          <w:szCs w:val="24"/>
          <w:lang w:val="fr-FR"/>
        </w:rPr>
        <w:tab/>
        <w:t xml:space="preserve">Quels sont les modèles les plus performants en matière de propagation en air clair et par diffusion par les hydrométéores, permettant d'effectuer efficacement la coordination des </w:t>
      </w:r>
      <w:r w:rsidRPr="003D1235">
        <w:rPr>
          <w:rFonts w:ascii="Times New Roman" w:hAnsi="Times New Roman" w:cs="Times New Roman"/>
          <w:szCs w:val="24"/>
          <w:lang w:val="fr-FR"/>
        </w:rPr>
        <w:lastRenderedPageBreak/>
        <w:t xml:space="preserve">fréquences et l'évaluation de la probabilité de brouillage entre les stations terriennes des systèmes à satellites géostationnaires et celles des systèmes à satellites non géostationnaires qui partagent les mêmes fréquences en </w:t>
      </w:r>
      <w:r>
        <w:rPr>
          <w:rFonts w:ascii="Times New Roman" w:hAnsi="Times New Roman" w:cs="Times New Roman"/>
          <w:szCs w:val="24"/>
          <w:lang w:val="fr-FR"/>
        </w:rPr>
        <w:t>“</w:t>
      </w:r>
      <w:r w:rsidRPr="003D1235">
        <w:rPr>
          <w:rFonts w:ascii="Times New Roman" w:hAnsi="Times New Roman" w:cs="Times New Roman"/>
          <w:szCs w:val="24"/>
          <w:lang w:val="fr-FR"/>
        </w:rPr>
        <w:t>exploitation bidirectionnelle</w:t>
      </w:r>
      <w:r>
        <w:rPr>
          <w:rFonts w:ascii="Times New Roman" w:hAnsi="Times New Roman" w:cs="Times New Roman"/>
          <w:szCs w:val="24"/>
          <w:lang w:val="fr-FR"/>
        </w:rPr>
        <w:t>”</w:t>
      </w:r>
      <w:r w:rsidRPr="003D1235">
        <w:rPr>
          <w:rFonts w:ascii="Times New Roman" w:hAnsi="Times New Roman" w:cs="Times New Roman"/>
          <w:szCs w:val="24"/>
          <w:lang w:val="fr-FR"/>
        </w:rPr>
        <w:t>?</w:t>
      </w:r>
    </w:p>
    <w:p w:rsidR="00553264" w:rsidRPr="003D1235" w:rsidRDefault="00553264" w:rsidP="00553264">
      <w:pPr>
        <w:pStyle w:val="Call"/>
        <w:spacing w:before="200"/>
        <w:rPr>
          <w:rFonts w:ascii="Times New Roman" w:hAnsi="Times New Roman" w:cs="Times New Roman"/>
          <w:szCs w:val="24"/>
          <w:lang w:val="fr-CH"/>
        </w:rPr>
      </w:pPr>
      <w:r w:rsidRPr="003D1235">
        <w:rPr>
          <w:rFonts w:ascii="Times New Roman" w:hAnsi="Times New Roman" w:cs="Times New Roman"/>
          <w:szCs w:val="24"/>
          <w:lang w:val="fr-CH"/>
        </w:rPr>
        <w:t>décide en outre</w:t>
      </w:r>
    </w:p>
    <w:p w:rsidR="00553264" w:rsidRPr="003D1235" w:rsidRDefault="00553264" w:rsidP="00553264">
      <w:pPr>
        <w:jc w:val="left"/>
        <w:rPr>
          <w:rFonts w:ascii="Times New Roman" w:hAnsi="Times New Roman" w:cs="Times New Roman"/>
          <w:szCs w:val="24"/>
          <w:lang w:val="fr-FR"/>
        </w:rPr>
      </w:pPr>
      <w:r w:rsidRPr="0002101F">
        <w:rPr>
          <w:rFonts w:ascii="Times New Roman" w:hAnsi="Times New Roman" w:cs="Times New Roman"/>
          <w:szCs w:val="24"/>
          <w:lang w:val="fr-FR"/>
        </w:rPr>
        <w:t>que ces études devraient être achevées d'ici à 2015</w:t>
      </w:r>
      <w:r w:rsidRPr="0002101F">
        <w:rPr>
          <w:rFonts w:ascii="Times New Roman" w:hAnsi="Times New Roman" w:cs="Times New Roman"/>
          <w:szCs w:val="24"/>
          <w:lang w:val="fr-FR" w:eastAsia="ja-JP"/>
        </w:rPr>
        <w:t>.</w:t>
      </w:r>
    </w:p>
    <w:p w:rsidR="00553264" w:rsidRPr="003D1235" w:rsidRDefault="00553264" w:rsidP="00553264">
      <w:pPr>
        <w:spacing w:before="240" w:line="240" w:lineRule="auto"/>
        <w:rPr>
          <w:rFonts w:ascii="Times New Roman" w:hAnsi="Times New Roman" w:cs="Times New Roman"/>
          <w:szCs w:val="24"/>
          <w:lang w:val="fr-FR"/>
        </w:rPr>
      </w:pPr>
      <w:r w:rsidRPr="003D1235">
        <w:rPr>
          <w:rFonts w:ascii="Times New Roman" w:hAnsi="Times New Roman" w:cs="Times New Roman"/>
          <w:szCs w:val="24"/>
          <w:lang w:val="fr-FR"/>
        </w:rPr>
        <w:t>NOTE</w:t>
      </w:r>
      <w:r>
        <w:rPr>
          <w:rFonts w:ascii="Times New Roman" w:hAnsi="Times New Roman" w:cs="Times New Roman"/>
          <w:szCs w:val="24"/>
          <w:lang w:val="fr-FR"/>
        </w:rPr>
        <w:t xml:space="preserve"> </w:t>
      </w:r>
      <w:r w:rsidRPr="003D1235">
        <w:rPr>
          <w:rFonts w:ascii="Times New Roman" w:hAnsi="Times New Roman" w:cs="Times New Roman"/>
          <w:szCs w:val="24"/>
          <w:lang w:val="fr-FR"/>
        </w:rPr>
        <w:t>– La priorité sera donnée aux études correspondant aux § 2, 5, 6, 8, 9 et 10.</w:t>
      </w:r>
    </w:p>
    <w:p w:rsidR="00553264" w:rsidRPr="003D1235" w:rsidRDefault="00553264" w:rsidP="00553264">
      <w:pPr>
        <w:spacing w:before="240" w:line="240" w:lineRule="auto"/>
        <w:jc w:val="left"/>
        <w:rPr>
          <w:rFonts w:ascii="Times New Roman" w:hAnsi="Times New Roman" w:cs="Times New Roman"/>
          <w:szCs w:val="24"/>
          <w:lang w:val="fr-CH"/>
        </w:rPr>
      </w:pPr>
      <w:r w:rsidRPr="003D1235">
        <w:rPr>
          <w:rFonts w:ascii="Times New Roman" w:hAnsi="Times New Roman" w:cs="Times New Roman"/>
          <w:szCs w:val="24"/>
          <w:lang w:val="fr-FR"/>
        </w:rPr>
        <w:t>Catégorie: S2</w:t>
      </w:r>
    </w:p>
    <w:p w:rsidR="00B75B58" w:rsidRDefault="00B75B58"/>
    <w:sectPr w:rsidR="00B75B58" w:rsidSect="00553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64" w:rsidRDefault="00553264" w:rsidP="00553264">
      <w:pPr>
        <w:spacing w:before="0" w:line="240" w:lineRule="auto"/>
      </w:pPr>
      <w:r>
        <w:separator/>
      </w:r>
    </w:p>
  </w:endnote>
  <w:endnote w:type="continuationSeparator" w:id="0">
    <w:p w:rsidR="00553264" w:rsidRDefault="00553264" w:rsidP="005532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64" w:rsidRDefault="00553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64" w:rsidRDefault="00553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64" w:rsidRDefault="0055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64" w:rsidRDefault="00553264" w:rsidP="00553264">
      <w:pPr>
        <w:spacing w:before="0" w:line="240" w:lineRule="auto"/>
      </w:pPr>
      <w:r>
        <w:separator/>
      </w:r>
    </w:p>
  </w:footnote>
  <w:footnote w:type="continuationSeparator" w:id="0">
    <w:p w:rsidR="00553264" w:rsidRDefault="00553264" w:rsidP="0055326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64" w:rsidRDefault="00553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304434"/>
      <w:docPartObj>
        <w:docPartGallery w:val="Page Numbers (Top of Page)"/>
        <w:docPartUnique/>
      </w:docPartObj>
    </w:sdtPr>
    <w:sdtEndPr>
      <w:rPr>
        <w:noProof/>
      </w:rPr>
    </w:sdtEndPr>
    <w:sdtContent>
      <w:p w:rsidR="00553264" w:rsidRDefault="00553264">
        <w:pPr>
          <w:pStyle w:val="Header"/>
          <w:jc w:val="center"/>
        </w:pPr>
        <w:r>
          <w:t xml:space="preserve">- </w:t>
        </w:r>
        <w:r>
          <w:fldChar w:fldCharType="begin"/>
        </w:r>
        <w:r>
          <w:instrText xml:space="preserve"> PAGE   \* MERGEFORMAT </w:instrText>
        </w:r>
        <w:r>
          <w:fldChar w:fldCharType="separate"/>
        </w:r>
        <w:r w:rsidR="00744B95">
          <w:rPr>
            <w:noProof/>
          </w:rPr>
          <w:t>3</w:t>
        </w:r>
        <w:r>
          <w:rPr>
            <w:noProof/>
          </w:rPr>
          <w:fldChar w:fldCharType="end"/>
        </w:r>
        <w:r>
          <w:rPr>
            <w:noProof/>
          </w:rPr>
          <w:t xml:space="preserve"> -</w:t>
        </w:r>
      </w:p>
    </w:sdtContent>
  </w:sdt>
  <w:p w:rsidR="00553264" w:rsidRDefault="00553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64" w:rsidRDefault="00553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64"/>
    <w:rsid w:val="00553264"/>
    <w:rsid w:val="00744B95"/>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6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53264"/>
    <w:pPr>
      <w:spacing w:before="80"/>
      <w:ind w:left="794" w:hanging="794"/>
    </w:pPr>
  </w:style>
  <w:style w:type="paragraph" w:customStyle="1" w:styleId="Call">
    <w:name w:val="Call"/>
    <w:basedOn w:val="Normal"/>
    <w:next w:val="Normal"/>
    <w:link w:val="CallChar"/>
    <w:rsid w:val="00553264"/>
    <w:pPr>
      <w:keepNext/>
      <w:keepLines/>
      <w:spacing w:before="240"/>
      <w:ind w:left="794"/>
      <w:jc w:val="left"/>
    </w:pPr>
    <w:rPr>
      <w:i/>
    </w:rPr>
  </w:style>
  <w:style w:type="paragraph" w:customStyle="1" w:styleId="Parttitle">
    <w:name w:val="Part_title"/>
    <w:basedOn w:val="Normal"/>
    <w:next w:val="Normal"/>
    <w:rsid w:val="00553264"/>
    <w:pPr>
      <w:keepNext/>
      <w:keepLines/>
      <w:spacing w:before="240" w:after="280" w:line="320" w:lineRule="exact"/>
      <w:jc w:val="center"/>
    </w:pPr>
    <w:rPr>
      <w:b/>
    </w:rPr>
  </w:style>
  <w:style w:type="paragraph" w:customStyle="1" w:styleId="QuestionNoBR">
    <w:name w:val="Question_No_BR"/>
    <w:basedOn w:val="Normal"/>
    <w:next w:val="Normal"/>
    <w:rsid w:val="00553264"/>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553264"/>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55326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
    <w:rsid w:val="00553264"/>
    <w:rPr>
      <w:rFonts w:ascii="Times New Roman" w:hAnsi="Times New Roman" w:cs="Times New Roman"/>
      <w:sz w:val="24"/>
      <w:szCs w:val="20"/>
      <w:lang w:val="en-GB" w:eastAsia="en-US"/>
    </w:rPr>
  </w:style>
  <w:style w:type="paragraph" w:customStyle="1" w:styleId="call0">
    <w:name w:val="call"/>
    <w:basedOn w:val="Normal"/>
    <w:next w:val="Normal"/>
    <w:rsid w:val="00553264"/>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paragraph" w:styleId="Header">
    <w:name w:val="header"/>
    <w:basedOn w:val="Normal"/>
    <w:link w:val="HeaderChar"/>
    <w:uiPriority w:val="99"/>
    <w:unhideWhenUsed/>
    <w:rsid w:val="00553264"/>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553264"/>
    <w:rPr>
      <w:rFonts w:ascii="Calibri" w:eastAsia="Times New Roman" w:hAnsi="Calibri" w:cs="Calibri"/>
      <w:sz w:val="24"/>
      <w:lang w:eastAsia="en-US"/>
    </w:rPr>
  </w:style>
  <w:style w:type="paragraph" w:styleId="Footer">
    <w:name w:val="footer"/>
    <w:basedOn w:val="Normal"/>
    <w:link w:val="FooterChar"/>
    <w:uiPriority w:val="99"/>
    <w:unhideWhenUsed/>
    <w:rsid w:val="00553264"/>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553264"/>
    <w:rPr>
      <w:rFonts w:ascii="Calibri" w:eastAsia="Times New Roman" w:hAnsi="Calibri"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6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53264"/>
    <w:pPr>
      <w:spacing w:before="80"/>
      <w:ind w:left="794" w:hanging="794"/>
    </w:pPr>
  </w:style>
  <w:style w:type="paragraph" w:customStyle="1" w:styleId="Call">
    <w:name w:val="Call"/>
    <w:basedOn w:val="Normal"/>
    <w:next w:val="Normal"/>
    <w:link w:val="CallChar"/>
    <w:rsid w:val="00553264"/>
    <w:pPr>
      <w:keepNext/>
      <w:keepLines/>
      <w:spacing w:before="240"/>
      <w:ind w:left="794"/>
      <w:jc w:val="left"/>
    </w:pPr>
    <w:rPr>
      <w:i/>
    </w:rPr>
  </w:style>
  <w:style w:type="paragraph" w:customStyle="1" w:styleId="Parttitle">
    <w:name w:val="Part_title"/>
    <w:basedOn w:val="Normal"/>
    <w:next w:val="Normal"/>
    <w:rsid w:val="00553264"/>
    <w:pPr>
      <w:keepNext/>
      <w:keepLines/>
      <w:spacing w:before="240" w:after="280" w:line="320" w:lineRule="exact"/>
      <w:jc w:val="center"/>
    </w:pPr>
    <w:rPr>
      <w:b/>
    </w:rPr>
  </w:style>
  <w:style w:type="paragraph" w:customStyle="1" w:styleId="QuestionNoBR">
    <w:name w:val="Question_No_BR"/>
    <w:basedOn w:val="Normal"/>
    <w:next w:val="Normal"/>
    <w:rsid w:val="00553264"/>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553264"/>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55326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
    <w:rsid w:val="00553264"/>
    <w:rPr>
      <w:rFonts w:ascii="Times New Roman" w:hAnsi="Times New Roman" w:cs="Times New Roman"/>
      <w:sz w:val="24"/>
      <w:szCs w:val="20"/>
      <w:lang w:val="en-GB" w:eastAsia="en-US"/>
    </w:rPr>
  </w:style>
  <w:style w:type="paragraph" w:customStyle="1" w:styleId="call0">
    <w:name w:val="call"/>
    <w:basedOn w:val="Normal"/>
    <w:next w:val="Normal"/>
    <w:rsid w:val="00553264"/>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paragraph" w:styleId="Header">
    <w:name w:val="header"/>
    <w:basedOn w:val="Normal"/>
    <w:link w:val="HeaderChar"/>
    <w:uiPriority w:val="99"/>
    <w:unhideWhenUsed/>
    <w:rsid w:val="00553264"/>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553264"/>
    <w:rPr>
      <w:rFonts w:ascii="Calibri" w:eastAsia="Times New Roman" w:hAnsi="Calibri" w:cs="Calibri"/>
      <w:sz w:val="24"/>
      <w:lang w:eastAsia="en-US"/>
    </w:rPr>
  </w:style>
  <w:style w:type="paragraph" w:styleId="Footer">
    <w:name w:val="footer"/>
    <w:basedOn w:val="Normal"/>
    <w:link w:val="FooterChar"/>
    <w:uiPriority w:val="99"/>
    <w:unhideWhenUsed/>
    <w:rsid w:val="00553264"/>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553264"/>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2013-11-28T15:40:00Z</dcterms:created>
  <dcterms:modified xsi:type="dcterms:W3CDTF">2013-11-29T08:01:00Z</dcterms:modified>
</cp:coreProperties>
</file>