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61" w:rsidRPr="0088020E" w:rsidRDefault="00426D61" w:rsidP="00426D61">
      <w:pPr>
        <w:pStyle w:val="QuestionNo"/>
      </w:pPr>
      <w:r w:rsidRPr="007C0D4B">
        <w:rPr>
          <w:rFonts w:hint="cs"/>
          <w:rtl/>
        </w:rPr>
        <w:t xml:space="preserve">المسألة </w:t>
      </w:r>
      <w:r w:rsidRPr="007C0D4B">
        <w:t>ITU-R 203-8</w:t>
      </w:r>
      <w:r>
        <w:t>/3</w:t>
      </w:r>
    </w:p>
    <w:p w:rsidR="00426D61" w:rsidRPr="000851C7" w:rsidRDefault="00426D61" w:rsidP="00426D61">
      <w:pPr>
        <w:pStyle w:val="Questiontitle"/>
        <w:rPr>
          <w:spacing w:val="-6"/>
          <w:rtl/>
        </w:rPr>
      </w:pPr>
      <w:r w:rsidRPr="000851C7">
        <w:rPr>
          <w:spacing w:val="-6"/>
          <w:rtl/>
        </w:rPr>
        <w:t>طرائق التنبؤ بالانتشار فيما يتعلق بالخدمة الإذاعية للأرض والخدمة الثابتة</w:t>
      </w:r>
      <w:r w:rsidRPr="000851C7">
        <w:rPr>
          <w:rFonts w:hint="cs"/>
          <w:spacing w:val="-6"/>
          <w:rtl/>
        </w:rPr>
        <w:t xml:space="preserve"> </w:t>
      </w:r>
      <w:r w:rsidRPr="000851C7">
        <w:rPr>
          <w:spacing w:val="-6"/>
          <w:rtl/>
        </w:rPr>
        <w:t xml:space="preserve">(نفاذ عريض النطاق) والخدمة المتنقلة التي تستعمل ترددات فوق </w:t>
      </w:r>
      <w:r w:rsidRPr="000851C7">
        <w:rPr>
          <w:spacing w:val="-6"/>
        </w:rPr>
        <w:t>MHz 30</w:t>
      </w:r>
    </w:p>
    <w:p w:rsidR="00426D61" w:rsidRPr="0088020E" w:rsidRDefault="00426D61" w:rsidP="00426D61">
      <w:pPr>
        <w:pStyle w:val="Questiondate"/>
        <w:rPr>
          <w:rtl/>
          <w:lang w:val="en-US" w:bidi="ar-EG"/>
        </w:rPr>
      </w:pPr>
      <w:r w:rsidRPr="007C0D4B">
        <w:rPr>
          <w:lang w:bidi="ar-EG"/>
        </w:rPr>
        <w:t>(2019-</w:t>
      </w:r>
      <w:r w:rsidRPr="007C0D4B">
        <w:rPr>
          <w:lang w:val="en-US" w:bidi="ar-EG"/>
        </w:rPr>
        <w:t>2017</w:t>
      </w:r>
      <w:r w:rsidRPr="007C0D4B">
        <w:rPr>
          <w:lang w:val="en-US" w:bidi="ar-EG"/>
        </w:rPr>
        <w:noBreakHyphen/>
        <w:t>2012</w:t>
      </w:r>
      <w:r w:rsidRPr="007C0D4B">
        <w:rPr>
          <w:lang w:val="en-US" w:bidi="ar-EG"/>
        </w:rPr>
        <w:sym w:font="Symbol" w:char="F02D"/>
      </w:r>
      <w:r w:rsidRPr="007C0D4B">
        <w:rPr>
          <w:lang w:bidi="ar-EG"/>
        </w:rPr>
        <w:t>2009-2002-2000-1995-1993-1990)</w:t>
      </w:r>
    </w:p>
    <w:p w:rsidR="00426D61" w:rsidRPr="0088020E" w:rsidRDefault="00426D61" w:rsidP="00426D61">
      <w:pPr>
        <w:pStyle w:val="Normalaftertitle"/>
        <w:rPr>
          <w:rtl/>
          <w:lang w:bidi="ar-EG"/>
        </w:rPr>
      </w:pPr>
      <w:r w:rsidRPr="0088020E">
        <w:rPr>
          <w:rtl/>
          <w:lang w:bidi="ar-EG"/>
        </w:rPr>
        <w:t>إن جمعية الاتصالات الراديوية للاتحاد الدولي للاتصالات،</w:t>
      </w:r>
    </w:p>
    <w:p w:rsidR="00426D61" w:rsidRPr="0088020E" w:rsidRDefault="00426D61" w:rsidP="00426D61">
      <w:pPr>
        <w:pStyle w:val="Call"/>
        <w:rPr>
          <w:rtl/>
          <w:lang w:bidi="ar-EG"/>
        </w:rPr>
      </w:pPr>
      <w:r w:rsidRPr="0088020E">
        <w:rPr>
          <w:rtl/>
          <w:lang w:bidi="ar-EG"/>
        </w:rPr>
        <w:t>إذ تضع في اعتبارها</w:t>
      </w:r>
    </w:p>
    <w:p w:rsidR="00426D61" w:rsidRPr="0088020E" w:rsidRDefault="00426D61" w:rsidP="00426D61">
      <w:pPr>
        <w:rPr>
          <w:rtl/>
          <w:lang w:bidi="ar-EG"/>
        </w:rPr>
      </w:pPr>
      <w:r w:rsidRPr="0088020E">
        <w:rPr>
          <w:i/>
          <w:iCs/>
          <w:rtl/>
          <w:lang w:bidi="ar-EG"/>
        </w:rPr>
        <w:t xml:space="preserve"> أ )</w:t>
      </w:r>
      <w:r w:rsidRPr="0088020E">
        <w:rPr>
          <w:rtl/>
          <w:lang w:bidi="ar-EG"/>
        </w:rPr>
        <w:tab/>
        <w:t xml:space="preserve">أنه توجد حاجة متواصلة إلى تحسين وتطوير تقنيات التنبؤ بشدة المجال من أجل تخطيط أو إنشاء الخدمات الإذاعية للأرض والخدمات الثابتة (نفاذ عريض النطاق) والخدمات المتنقلة التي تستعمل ترددات فوق </w:t>
      </w:r>
      <w:r w:rsidRPr="0088020E">
        <w:rPr>
          <w:lang w:bidi="ar-EG"/>
        </w:rPr>
        <w:t>MHz 30</w:t>
      </w:r>
      <w:r w:rsidRPr="0088020E">
        <w:rPr>
          <w:rtl/>
          <w:lang w:bidi="ar-EG"/>
        </w:rPr>
        <w:t>؛</w:t>
      </w:r>
    </w:p>
    <w:p w:rsidR="00426D61" w:rsidRPr="0088020E" w:rsidRDefault="00426D61" w:rsidP="00426D61">
      <w:pPr>
        <w:rPr>
          <w:rtl/>
          <w:lang w:bidi="ar-EG"/>
        </w:rPr>
      </w:pPr>
      <w:r w:rsidRPr="0088020E">
        <w:rPr>
          <w:i/>
          <w:iCs/>
          <w:rtl/>
          <w:lang w:bidi="ar-EG"/>
        </w:rPr>
        <w:t>ب)</w:t>
      </w:r>
      <w:r w:rsidRPr="0088020E">
        <w:rPr>
          <w:rtl/>
          <w:lang w:bidi="ar-EG"/>
        </w:rPr>
        <w:tab/>
        <w:t>أن دراسات الانتشار تشمل النظر في مسيرات الانتشار من نقطة إلى منطقة ومن نقاط متعددة إلى نقاط متعددة للخدمة الإذاعية للأرض وللخدمة الثابتة (نفاذ عريض النطاق) والخدمة المتنقلة؛</w:t>
      </w:r>
    </w:p>
    <w:p w:rsidR="00426D61" w:rsidRPr="0088020E" w:rsidRDefault="00426D61" w:rsidP="00426D61">
      <w:pPr>
        <w:rPr>
          <w:rtl/>
          <w:lang w:bidi="ar-EG"/>
        </w:rPr>
      </w:pPr>
      <w:r w:rsidRPr="0088020E">
        <w:rPr>
          <w:i/>
          <w:iCs/>
          <w:rtl/>
          <w:lang w:bidi="ar-EG"/>
        </w:rPr>
        <w:t>ج)</w:t>
      </w:r>
      <w:r w:rsidRPr="0088020E">
        <w:rPr>
          <w:rtl/>
          <w:lang w:bidi="ar-EG"/>
        </w:rPr>
        <w:tab/>
        <w:t>أن الطرائق الحالية تستند إلى حد</w:t>
      </w:r>
      <w:r>
        <w:rPr>
          <w:rFonts w:hint="cs"/>
          <w:rtl/>
          <w:lang w:bidi="ar-EG"/>
        </w:rPr>
        <w:t>ٍ</w:t>
      </w:r>
      <w:r w:rsidRPr="0088020E">
        <w:rPr>
          <w:rtl/>
          <w:lang w:bidi="ar-EG"/>
        </w:rPr>
        <w:t xml:space="preserve"> كبير إلى بيانات القياس وأن هناك حاجة متواصلة إلى عمليات قياس ضمن مدى الترددات هذا من جميع المناطق الجغرافية، خاصة</w:t>
      </w:r>
      <w:r>
        <w:rPr>
          <w:rFonts w:hint="cs"/>
          <w:rtl/>
          <w:lang w:bidi="ar-EG"/>
        </w:rPr>
        <w:t>ً</w:t>
      </w:r>
      <w:r w:rsidRPr="0088020E">
        <w:rPr>
          <w:rtl/>
          <w:lang w:bidi="ar-EG"/>
        </w:rPr>
        <w:t xml:space="preserve"> من البلدان النامية، وذلك لزيادة دقة تقنيات التنبؤ؛</w:t>
      </w:r>
    </w:p>
    <w:p w:rsidR="00426D61" w:rsidRPr="0088020E" w:rsidRDefault="00426D61" w:rsidP="00426D61">
      <w:pPr>
        <w:rPr>
          <w:rtl/>
          <w:lang w:bidi="ar-EG"/>
        </w:rPr>
      </w:pPr>
      <w:r w:rsidRPr="0088020E">
        <w:rPr>
          <w:i/>
          <w:iCs/>
          <w:rtl/>
          <w:lang w:bidi="ar-EG"/>
        </w:rPr>
        <w:t>د )</w:t>
      </w:r>
      <w:r w:rsidRPr="0088020E">
        <w:rPr>
          <w:rtl/>
          <w:lang w:bidi="ar-EG"/>
        </w:rPr>
        <w:tab/>
        <w:t xml:space="preserve">أن زيادة استعمال الترددات فوق </w:t>
      </w:r>
      <w:r w:rsidRPr="0088020E">
        <w:rPr>
          <w:lang w:bidi="ar-EG"/>
        </w:rPr>
        <w:t>GHz 10</w:t>
      </w:r>
      <w:r w:rsidRPr="0088020E">
        <w:rPr>
          <w:rtl/>
          <w:lang w:bidi="ar-EG"/>
        </w:rPr>
        <w:t xml:space="preserve"> تتطلب تطوير طرائق التنبؤ لتلبية هذه المتطلبات الجديدة؛</w:t>
      </w:r>
    </w:p>
    <w:p w:rsidR="00426D61" w:rsidRPr="00E16F7D" w:rsidRDefault="00426D61" w:rsidP="00426D61">
      <w:pPr>
        <w:rPr>
          <w:spacing w:val="-4"/>
          <w:rtl/>
          <w:lang w:bidi="ar-EG"/>
        </w:rPr>
      </w:pPr>
      <w:r w:rsidRPr="00BF74CC">
        <w:rPr>
          <w:i/>
          <w:iCs/>
          <w:spacing w:val="-4"/>
          <w:rtl/>
          <w:lang w:bidi="ar-EG"/>
        </w:rPr>
        <w:t>ﻫ )</w:t>
      </w:r>
      <w:r w:rsidRPr="00BF74CC">
        <w:rPr>
          <w:spacing w:val="-4"/>
          <w:rtl/>
          <w:lang w:bidi="ar-EG"/>
        </w:rPr>
        <w:tab/>
        <w:t>أن العمل يجري لإدخال الأنظمة الرقمية التي تشمل الإرسال في النطاق العريض للخدمة الإذاعية والخدمة المتنقلة على</w:t>
      </w:r>
      <w:r w:rsidRPr="00BF74CC">
        <w:rPr>
          <w:rFonts w:hint="cs"/>
          <w:spacing w:val="-4"/>
          <w:rtl/>
          <w:lang w:bidi="ar-EG"/>
        </w:rPr>
        <w:t> </w:t>
      </w:r>
      <w:r w:rsidRPr="00BF74CC">
        <w:rPr>
          <w:spacing w:val="-4"/>
          <w:rtl/>
          <w:lang w:bidi="ar-EG"/>
        </w:rPr>
        <w:t>السواء؛</w:t>
      </w:r>
    </w:p>
    <w:p w:rsidR="00426D61" w:rsidRPr="0088020E" w:rsidRDefault="00426D61" w:rsidP="00426D61">
      <w:pPr>
        <w:rPr>
          <w:rtl/>
          <w:lang w:bidi="ar-EG"/>
        </w:rPr>
      </w:pPr>
      <w:r w:rsidRPr="0088020E">
        <w:rPr>
          <w:i/>
          <w:iCs/>
          <w:rtl/>
          <w:lang w:bidi="ar-EG"/>
        </w:rPr>
        <w:t>و )</w:t>
      </w:r>
      <w:r w:rsidRPr="0088020E">
        <w:rPr>
          <w:rtl/>
          <w:lang w:bidi="ar-EG"/>
        </w:rPr>
        <w:tab/>
        <w:t>أنه يجب مراعاة الإشارات المنعكسة عند تصميم الأنظمة الإذاعية الرقمية؛</w:t>
      </w:r>
    </w:p>
    <w:p w:rsidR="00426D61" w:rsidRPr="0088020E" w:rsidRDefault="00426D61" w:rsidP="00426D61">
      <w:pPr>
        <w:rPr>
          <w:rtl/>
        </w:rPr>
      </w:pPr>
      <w:r w:rsidRPr="0088020E">
        <w:rPr>
          <w:i/>
          <w:iCs/>
          <w:rtl/>
          <w:lang w:bidi="ar-EG"/>
        </w:rPr>
        <w:t>ز )</w:t>
      </w:r>
      <w:r w:rsidRPr="0088020E">
        <w:rPr>
          <w:rtl/>
          <w:lang w:bidi="ar-EG"/>
        </w:rPr>
        <w:tab/>
        <w:t>أن ثمة طلبات متزايدة لتقاسم التردد بين هذه الخدمات والخدمات الأخرى</w:t>
      </w:r>
      <w:r w:rsidRPr="0088020E">
        <w:rPr>
          <w:rFonts w:hint="cs"/>
          <w:rtl/>
        </w:rPr>
        <w:t>؛</w:t>
      </w:r>
    </w:p>
    <w:p w:rsidR="00426D61" w:rsidRPr="00703853" w:rsidRDefault="00426D61" w:rsidP="00426D61">
      <w:pPr>
        <w:rPr>
          <w:spacing w:val="-4"/>
          <w:rtl/>
          <w:lang w:bidi="ar-EG"/>
        </w:rPr>
      </w:pPr>
      <w:r w:rsidRPr="00703853">
        <w:rPr>
          <w:rFonts w:hint="cs"/>
          <w:i/>
          <w:iCs/>
          <w:spacing w:val="-4"/>
          <w:rtl/>
        </w:rPr>
        <w:t>ح)</w:t>
      </w:r>
      <w:r w:rsidRPr="00703853">
        <w:rPr>
          <w:rFonts w:hint="cs"/>
          <w:spacing w:val="-4"/>
          <w:rtl/>
        </w:rPr>
        <w:tab/>
      </w:r>
      <w:r w:rsidRPr="00703853">
        <w:rPr>
          <w:rFonts w:hint="cs"/>
          <w:spacing w:val="-4"/>
          <w:rtl/>
          <w:lang w:bidi="ar-EG"/>
        </w:rPr>
        <w:t xml:space="preserve">أن السرعة القصوى للنقل العالي السرعة (عبر الطرق السريعة وبالسكك الحديدية) تتزايد وقد تصل إلى </w:t>
      </w:r>
      <w:r w:rsidRPr="00703853">
        <w:rPr>
          <w:spacing w:val="-4"/>
          <w:lang w:bidi="ar-EG"/>
        </w:rPr>
        <w:t>500</w:t>
      </w:r>
      <w:r w:rsidRPr="00703853">
        <w:rPr>
          <w:rFonts w:hint="cs"/>
          <w:spacing w:val="-4"/>
          <w:rtl/>
          <w:lang w:bidi="ar-EG"/>
        </w:rPr>
        <w:t xml:space="preserve"> كم/الساعة،</w:t>
      </w:r>
    </w:p>
    <w:p w:rsidR="00426D61" w:rsidRPr="000851C7" w:rsidRDefault="00426D61" w:rsidP="00426D61">
      <w:pPr>
        <w:pStyle w:val="Call"/>
        <w:rPr>
          <w:i w:val="0"/>
          <w:iCs w:val="0"/>
          <w:rtl/>
          <w:lang w:bidi="ar-EG"/>
        </w:rPr>
      </w:pPr>
      <w:r w:rsidRPr="0088020E">
        <w:rPr>
          <w:rtl/>
          <w:lang w:bidi="ar-EG"/>
        </w:rPr>
        <w:t xml:space="preserve">تقرر </w:t>
      </w:r>
      <w:r>
        <w:rPr>
          <w:rFonts w:hint="cs"/>
          <w:i w:val="0"/>
          <w:iCs w:val="0"/>
          <w:rtl/>
          <w:lang w:bidi="ar-EG"/>
        </w:rPr>
        <w:t>أن تخضع</w:t>
      </w:r>
      <w:r w:rsidRPr="00813FBD">
        <w:rPr>
          <w:i w:val="0"/>
          <w:iCs w:val="0"/>
          <w:rtl/>
          <w:lang w:bidi="ar-EG"/>
        </w:rPr>
        <w:t xml:space="preserve"> المسائل التالية</w:t>
      </w:r>
      <w:r>
        <w:rPr>
          <w:rFonts w:hint="cs"/>
          <w:i w:val="0"/>
          <w:iCs w:val="0"/>
          <w:rtl/>
          <w:lang w:bidi="ar-EG"/>
        </w:rPr>
        <w:t xml:space="preserve"> للدراسة</w:t>
      </w:r>
    </w:p>
    <w:p w:rsidR="00426D61" w:rsidRPr="000027AF" w:rsidRDefault="00426D61" w:rsidP="00426D61">
      <w:pPr>
        <w:rPr>
          <w:rtl/>
          <w:lang w:bidi="ar-EG"/>
        </w:rPr>
      </w:pPr>
      <w:r w:rsidRPr="000027AF">
        <w:rPr>
          <w:lang w:bidi="ar-EG"/>
        </w:rPr>
        <w:t>1</w:t>
      </w:r>
      <w:r w:rsidRPr="000027AF">
        <w:rPr>
          <w:rtl/>
          <w:lang w:bidi="ar-EG"/>
        </w:rPr>
        <w:tab/>
        <w:t>ما هي طرائق التنبؤ بشدة المجال التي يمكن استخدامها فيما يتعلق بالخدمة الإذاعية للأرض والخدمة الثابتة (نفاذ</w:t>
      </w:r>
      <w:r w:rsidRPr="000027AF">
        <w:rPr>
          <w:rFonts w:hint="cs"/>
          <w:rtl/>
          <w:lang w:bidi="ar-EG"/>
        </w:rPr>
        <w:t> </w:t>
      </w:r>
      <w:r w:rsidRPr="000027AF">
        <w:rPr>
          <w:rtl/>
          <w:lang w:bidi="ar-EG"/>
        </w:rPr>
        <w:t xml:space="preserve">عريض النطاق) والخدمة المتنقلة في مدى التردد فوق </w:t>
      </w:r>
      <w:r w:rsidRPr="000027AF">
        <w:rPr>
          <w:lang w:bidi="ar-EG"/>
        </w:rPr>
        <w:t>MHz 30</w:t>
      </w:r>
      <w:r w:rsidRPr="000027AF">
        <w:rPr>
          <w:rtl/>
          <w:lang w:bidi="ar-EG"/>
        </w:rPr>
        <w:t>؟</w:t>
      </w:r>
    </w:p>
    <w:p w:rsidR="00426D61" w:rsidRPr="0088020E" w:rsidRDefault="00426D61" w:rsidP="00426D61">
      <w:pPr>
        <w:rPr>
          <w:rtl/>
          <w:lang w:bidi="ar-EG"/>
        </w:rPr>
      </w:pPr>
      <w:r w:rsidRPr="0088020E">
        <w:rPr>
          <w:lang w:bidi="ar-EG"/>
        </w:rPr>
        <w:t>2</w:t>
      </w:r>
      <w:r w:rsidRPr="0088020E">
        <w:rPr>
          <w:rtl/>
          <w:lang w:bidi="ar-EG"/>
        </w:rPr>
        <w:tab/>
        <w:t>كيف تتأثر شدة المجال المتوقعة والمسيرات المتعددة وإحصاءاتها الزمنية والفضائية بما يلي:</w:t>
      </w:r>
    </w:p>
    <w:p w:rsidR="00426D61" w:rsidRPr="00127D13" w:rsidRDefault="00426D61" w:rsidP="00426D61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التردد، وعرض النطاق والاستقطاب؛</w:t>
      </w:r>
    </w:p>
    <w:p w:rsidR="00426D61" w:rsidRPr="00127D13" w:rsidRDefault="00426D61" w:rsidP="00426D61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طول مسير الانتشار وخصائصه؛</w:t>
      </w:r>
    </w:p>
    <w:p w:rsidR="00426D61" w:rsidRPr="00127D13" w:rsidRDefault="00426D61" w:rsidP="00426D61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ملامح التضاريس، بما في ذلك إمكانية الانعكاسات طويلة التأخر من تلال الدائرة الكبرى المنعزلة؛</w:t>
      </w:r>
    </w:p>
    <w:p w:rsidR="00426D61" w:rsidRPr="00127D13" w:rsidRDefault="00426D61" w:rsidP="00426D61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التغطية الأرضية، والمباني وغيرها من الهياكل التي من صنع الإنسان؛</w:t>
      </w:r>
    </w:p>
    <w:p w:rsidR="00426D61" w:rsidRPr="00127D13" w:rsidRDefault="00426D61" w:rsidP="00426D61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المكونات الجوية؛</w:t>
      </w:r>
    </w:p>
    <w:p w:rsidR="00426D61" w:rsidRPr="00127D13" w:rsidRDefault="00426D61" w:rsidP="00426D61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ارتفاع الهوائيات النهائية والبيئية المحيطة بها؛</w:t>
      </w:r>
    </w:p>
    <w:p w:rsidR="00426D61" w:rsidRPr="00127D13" w:rsidRDefault="00426D61" w:rsidP="00426D61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اتجاهية الهوائيات وتنوعها؛</w:t>
      </w:r>
    </w:p>
    <w:p w:rsidR="00426D61" w:rsidRPr="00127D13" w:rsidRDefault="00426D61" w:rsidP="00426D61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الاستقبال المتنقل</w:t>
      </w:r>
      <w:r w:rsidRPr="00127D13">
        <w:rPr>
          <w:rFonts w:hint="cs"/>
          <w:rtl/>
        </w:rPr>
        <w:t>، بما في ذلك تأثيرات دوبلر</w:t>
      </w:r>
      <w:r w:rsidRPr="00127D13">
        <w:rPr>
          <w:rtl/>
        </w:rPr>
        <w:t>؛</w:t>
      </w:r>
    </w:p>
    <w:p w:rsidR="00426D61" w:rsidRPr="0027237B" w:rsidRDefault="00426D61" w:rsidP="00426D61">
      <w:pPr>
        <w:pStyle w:val="enumlev1"/>
        <w:rPr>
          <w:rtl/>
        </w:rPr>
      </w:pPr>
      <w:r w:rsidRPr="0027237B">
        <w:rPr>
          <w:rFonts w:hint="cs"/>
          <w:rtl/>
        </w:rPr>
        <w:lastRenderedPageBreak/>
        <w:t>-</w:t>
      </w:r>
      <w:r w:rsidRPr="0027237B">
        <w:rPr>
          <w:rFonts w:hint="cs"/>
          <w:rtl/>
        </w:rPr>
        <w:tab/>
      </w:r>
      <w:r w:rsidRPr="0027237B">
        <w:rPr>
          <w:rtl/>
        </w:rPr>
        <w:t>الطبيعة العامة لمسير الانتشار، أي المسيرات على الصحاري، والبحار، والمناطق الساحلية أو الجبلية، وخصوصاً، في المناطق الخاضعة لظروف فائقة الانكسارية؟</w:t>
      </w:r>
    </w:p>
    <w:p w:rsidR="00426D61" w:rsidRPr="0088020E" w:rsidRDefault="00426D61" w:rsidP="00426D61">
      <w:pPr>
        <w:rPr>
          <w:rtl/>
          <w:lang w:bidi="ar-EG"/>
        </w:rPr>
      </w:pPr>
      <w:r w:rsidRPr="0088020E">
        <w:rPr>
          <w:lang w:bidi="ar-EG"/>
        </w:rPr>
        <w:t>3</w:t>
      </w:r>
      <w:r w:rsidRPr="0088020E">
        <w:rPr>
          <w:rtl/>
          <w:lang w:bidi="ar-EG"/>
        </w:rPr>
        <w:tab/>
        <w:t>إلى أي مدى ترتبط إحصاءات الانتشار بالمسيرات والترددات المختلفة؟</w:t>
      </w:r>
    </w:p>
    <w:p w:rsidR="00426D61" w:rsidRPr="0088020E" w:rsidRDefault="00426D61" w:rsidP="00426D61">
      <w:pPr>
        <w:rPr>
          <w:rtl/>
          <w:lang w:bidi="ar-EG"/>
        </w:rPr>
      </w:pPr>
      <w:r w:rsidRPr="0088020E">
        <w:rPr>
          <w:lang w:bidi="ar-EG"/>
        </w:rPr>
        <w:t>4</w:t>
      </w:r>
      <w:r w:rsidRPr="0088020E">
        <w:rPr>
          <w:rtl/>
          <w:lang w:bidi="ar-EG"/>
        </w:rPr>
        <w:tab/>
        <w:t>ما هي أفضل الطرائق والمعلمات التي تصف موثوقية تغطية الخدمات التماثلية والرقمية هذه وما هي المعلومات التي تتجاوز بيانات شدة المجال اللازمة لهذه الأغراض، أي "الذكاء" المدرج في نظام تردد مرن؟</w:t>
      </w:r>
    </w:p>
    <w:p w:rsidR="00426D61" w:rsidRPr="0088020E" w:rsidRDefault="00426D61" w:rsidP="00426D61">
      <w:pPr>
        <w:rPr>
          <w:rtl/>
          <w:lang w:bidi="ar-EG"/>
        </w:rPr>
      </w:pPr>
      <w:r w:rsidRPr="0088020E">
        <w:rPr>
          <w:lang w:bidi="ar-EG"/>
        </w:rPr>
        <w:t>5</w:t>
      </w:r>
      <w:r w:rsidRPr="0088020E">
        <w:rPr>
          <w:rtl/>
          <w:lang w:bidi="ar-EG"/>
        </w:rPr>
        <w:tab/>
        <w:t>ما هي الطرائق والمعلمات التي تصف</w:t>
      </w:r>
      <w:r>
        <w:rPr>
          <w:rFonts w:hint="cs"/>
          <w:rtl/>
          <w:lang w:bidi="ar-EG"/>
        </w:rPr>
        <w:t xml:space="preserve"> على أفضل وجه</w:t>
      </w:r>
      <w:r w:rsidRPr="0088020E">
        <w:rPr>
          <w:rtl/>
          <w:lang w:bidi="ar-EG"/>
        </w:rPr>
        <w:t xml:space="preserve"> استجابة نبضة قناة الانتشار؟</w:t>
      </w:r>
    </w:p>
    <w:p w:rsidR="00426D61" w:rsidRPr="0088020E" w:rsidRDefault="00426D61" w:rsidP="00426D61">
      <w:pPr>
        <w:pStyle w:val="Call"/>
        <w:rPr>
          <w:rtl/>
          <w:lang w:bidi="ar-EG"/>
        </w:rPr>
      </w:pPr>
      <w:r w:rsidRPr="0088020E">
        <w:rPr>
          <w:rtl/>
          <w:lang w:bidi="ar-EG"/>
        </w:rPr>
        <w:t>تقرر كذلك</w:t>
      </w:r>
    </w:p>
    <w:p w:rsidR="00426D61" w:rsidRPr="00703853" w:rsidRDefault="00426D61" w:rsidP="00426D61">
      <w:r w:rsidRPr="00703853">
        <w:rPr>
          <w:rFonts w:hint="cs"/>
          <w:rtl/>
          <w:lang w:bidi="ar-EG"/>
        </w:rPr>
        <w:t>أن تُعَد المعلومات المتاحة</w:t>
      </w:r>
      <w:r w:rsidRPr="00703853">
        <w:rPr>
          <w:rtl/>
          <w:lang w:bidi="ar-EG"/>
        </w:rPr>
        <w:t xml:space="preserve"> </w:t>
      </w:r>
      <w:r w:rsidRPr="00703853">
        <w:rPr>
          <w:rFonts w:hint="cs"/>
          <w:rtl/>
          <w:lang w:bidi="ar-EG"/>
        </w:rPr>
        <w:t>كصيغ مراجَعة للتوصيات ذات الصلة أو</w:t>
      </w:r>
      <w:r w:rsidRPr="00703853">
        <w:rPr>
          <w:rFonts w:hint="eastAsia"/>
          <w:rtl/>
          <w:lang w:bidi="ar-EG"/>
        </w:rPr>
        <w:t> </w:t>
      </w:r>
      <w:r w:rsidRPr="00703853">
        <w:rPr>
          <w:rFonts w:hint="cs"/>
          <w:rtl/>
          <w:lang w:bidi="ar-EG"/>
        </w:rPr>
        <w:t>كتوصيات جديدة و</w:t>
      </w:r>
      <w:r>
        <w:rPr>
          <w:rFonts w:hint="cs"/>
          <w:rtl/>
          <w:lang w:bidi="ar-EG"/>
        </w:rPr>
        <w:t xml:space="preserve">أن </w:t>
      </w:r>
      <w:r w:rsidRPr="00703853">
        <w:rPr>
          <w:rFonts w:hint="cs"/>
          <w:rtl/>
          <w:lang w:bidi="ar-EG"/>
        </w:rPr>
        <w:t xml:space="preserve">تُستكمل </w:t>
      </w:r>
      <w:r w:rsidRPr="00703853">
        <w:rPr>
          <w:rtl/>
          <w:lang w:bidi="ar-EG"/>
        </w:rPr>
        <w:t>الدراسات</w:t>
      </w:r>
      <w:r w:rsidRPr="00703853">
        <w:rPr>
          <w:rFonts w:hint="cs"/>
          <w:rtl/>
          <w:lang w:bidi="ar-EG"/>
        </w:rPr>
        <w:t xml:space="preserve"> المذكورة</w:t>
      </w:r>
      <w:r w:rsidRPr="00703853">
        <w:rPr>
          <w:rtl/>
          <w:lang w:bidi="ar-EG"/>
        </w:rPr>
        <w:t xml:space="preserve"> أعلاه بحلول عام</w:t>
      </w:r>
      <w:r w:rsidRPr="00703853">
        <w:rPr>
          <w:position w:val="2"/>
          <w:rtl/>
          <w:lang w:bidi="ar-EG"/>
        </w:rPr>
        <w:t> </w:t>
      </w:r>
      <w:r w:rsidRPr="00703853">
        <w:rPr>
          <w:lang w:bidi="ar-EG"/>
        </w:rPr>
        <w:t>2023</w:t>
      </w:r>
      <w:r w:rsidRPr="00703853">
        <w:rPr>
          <w:rtl/>
          <w:lang w:bidi="ar-EG"/>
        </w:rPr>
        <w:t>.</w:t>
      </w:r>
    </w:p>
    <w:p w:rsidR="00426D61" w:rsidRDefault="00426D61" w:rsidP="00426D61">
      <w:pPr>
        <w:spacing w:before="480"/>
        <w:rPr>
          <w:rtl/>
          <w:lang w:bidi="ar-EG"/>
        </w:rPr>
      </w:pPr>
      <w:r w:rsidRPr="0088020E">
        <w:rPr>
          <w:rtl/>
          <w:lang w:bidi="ar-EG"/>
        </w:rPr>
        <w:t xml:space="preserve">الفئة: </w:t>
      </w:r>
      <w:r w:rsidRPr="0088020E">
        <w:rPr>
          <w:lang w:bidi="ar-EG"/>
        </w:rPr>
        <w:t>S1</w:t>
      </w:r>
    </w:p>
    <w:p w:rsidR="004932C2" w:rsidRDefault="004932C2"/>
    <w:sectPr w:rsidR="004932C2" w:rsidSect="00426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61" w:rsidRDefault="00426D61" w:rsidP="00426D61">
      <w:pPr>
        <w:spacing w:before="0" w:line="240" w:lineRule="auto"/>
      </w:pPr>
      <w:r>
        <w:separator/>
      </w:r>
    </w:p>
  </w:endnote>
  <w:endnote w:type="continuationSeparator" w:id="0">
    <w:p w:rsidR="00426D61" w:rsidRDefault="00426D61" w:rsidP="00426D6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1" w:rsidRDefault="00426D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1" w:rsidRDefault="00426D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1" w:rsidRDefault="00426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61" w:rsidRDefault="00426D61" w:rsidP="00426D61">
      <w:pPr>
        <w:spacing w:before="0" w:line="240" w:lineRule="auto"/>
      </w:pPr>
      <w:r>
        <w:separator/>
      </w:r>
    </w:p>
  </w:footnote>
  <w:footnote w:type="continuationSeparator" w:id="0">
    <w:p w:rsidR="00426D61" w:rsidRDefault="00426D61" w:rsidP="00426D6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1" w:rsidRDefault="00426D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426D61" w:rsidRPr="00426D61" w:rsidRDefault="00426D61">
    <w:pPr>
      <w:pStyle w:val="Header"/>
      <w:jc w:val="center"/>
      <w:rPr>
        <w:sz w:val="18"/>
        <w:szCs w:val="18"/>
      </w:rPr>
    </w:pPr>
    <w:sdt>
      <w:sdtPr>
        <w:rPr>
          <w:sz w:val="18"/>
          <w:szCs w:val="18"/>
          <w:rtl/>
        </w:rPr>
        <w:id w:val="-2236029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26D61">
          <w:rPr>
            <w:sz w:val="18"/>
            <w:szCs w:val="18"/>
          </w:rPr>
          <w:t xml:space="preserve"> -</w:t>
        </w:r>
        <w:r w:rsidRPr="00426D61">
          <w:rPr>
            <w:sz w:val="18"/>
            <w:szCs w:val="18"/>
          </w:rPr>
          <w:fldChar w:fldCharType="begin"/>
        </w:r>
        <w:r w:rsidRPr="00426D61">
          <w:rPr>
            <w:sz w:val="18"/>
            <w:szCs w:val="18"/>
          </w:rPr>
          <w:instrText xml:space="preserve"> PAGE   \* MERGEFORMAT </w:instrText>
        </w:r>
        <w:r w:rsidRPr="00426D6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  <w:rtl/>
          </w:rPr>
          <w:t>2</w:t>
        </w:r>
        <w:r w:rsidRPr="00426D61">
          <w:rPr>
            <w:noProof/>
            <w:sz w:val="18"/>
            <w:szCs w:val="18"/>
          </w:rPr>
          <w:fldChar w:fldCharType="end"/>
        </w:r>
      </w:sdtContent>
    </w:sdt>
    <w:r w:rsidRPr="00426D61">
      <w:rPr>
        <w:noProof/>
        <w:sz w:val="18"/>
        <w:szCs w:val="18"/>
      </w:rPr>
      <w:t xml:space="preserve">- </w:t>
    </w:r>
  </w:p>
  <w:p w:rsidR="00426D61" w:rsidRDefault="00426D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1" w:rsidRDefault="00426D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61"/>
    <w:rsid w:val="00426D61"/>
    <w:rsid w:val="0049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9A3B489-6FF0-42AD-849D-4483CC31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D61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qFormat/>
    <w:rsid w:val="00426D61"/>
    <w:pPr>
      <w:keepNext/>
      <w:keepLines/>
      <w:spacing w:before="180"/>
      <w:ind w:firstLine="1134"/>
    </w:pPr>
    <w:rPr>
      <w:i/>
      <w:iCs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426D61"/>
    <w:pPr>
      <w:keepNext/>
      <w:spacing w:before="360"/>
    </w:pPr>
  </w:style>
  <w:style w:type="paragraph" w:customStyle="1" w:styleId="enumlev1">
    <w:name w:val="enumlev1"/>
    <w:basedOn w:val="Normal"/>
    <w:next w:val="Normal"/>
    <w:link w:val="enumlev1Char"/>
    <w:qFormat/>
    <w:rsid w:val="00426D61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426D61"/>
    <w:rPr>
      <w:rFonts w:ascii="Calibri" w:eastAsia="Times New Roman" w:hAnsi="Calibri" w:cs="Traditional Arabic"/>
      <w:szCs w:val="30"/>
      <w:lang w:val="en-US" w:eastAsia="en-US"/>
    </w:rPr>
  </w:style>
  <w:style w:type="character" w:customStyle="1" w:styleId="CallChar">
    <w:name w:val="Call Char"/>
    <w:basedOn w:val="DefaultParagraphFont"/>
    <w:link w:val="Call"/>
    <w:locked/>
    <w:rsid w:val="00426D61"/>
    <w:rPr>
      <w:rFonts w:ascii="Calibri" w:eastAsia="Times New Roman" w:hAnsi="Calibri" w:cs="Traditional Arabic"/>
      <w:i/>
      <w:iCs/>
      <w:szCs w:val="30"/>
      <w:lang w:val="en-US" w:eastAsia="en-US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426D61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426D61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NormalaftertitleChar">
    <w:name w:val="Normal after title Char"/>
    <w:basedOn w:val="DefaultParagraphFont"/>
    <w:link w:val="Normalaftertitle"/>
    <w:rsid w:val="00426D61"/>
    <w:rPr>
      <w:rFonts w:ascii="Calibri" w:eastAsia="Times New Roman" w:hAnsi="Calibri" w:cs="Traditional Arabic"/>
      <w:szCs w:val="30"/>
      <w:lang w:val="en-US" w:eastAsia="en-US"/>
    </w:rPr>
  </w:style>
  <w:style w:type="paragraph" w:customStyle="1" w:styleId="Questiondate">
    <w:name w:val="Question_date"/>
    <w:basedOn w:val="Normal"/>
    <w:next w:val="Normal"/>
    <w:qFormat/>
    <w:rsid w:val="00426D61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PMingLiU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426D61"/>
    <w:rPr>
      <w:rFonts w:ascii="Calibri" w:eastAsia="Times New Roman" w:hAnsi="Calibri" w:cs="Traditional Arabic"/>
      <w:b/>
      <w:bCs/>
      <w:sz w:val="28"/>
      <w:szCs w:val="40"/>
      <w:lang w:val="en-US" w:eastAsia="en-US" w:bidi="ar-EG"/>
    </w:rPr>
  </w:style>
  <w:style w:type="paragraph" w:styleId="Header">
    <w:name w:val="header"/>
    <w:basedOn w:val="Normal"/>
    <w:link w:val="HeaderChar"/>
    <w:uiPriority w:val="99"/>
    <w:unhideWhenUsed/>
    <w:rsid w:val="00426D61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61"/>
    <w:rPr>
      <w:rFonts w:ascii="Calibri" w:eastAsia="Times New Roman" w:hAnsi="Calibri" w:cs="Traditional Arabic"/>
      <w:szCs w:val="3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6D61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61"/>
    <w:rPr>
      <w:rFonts w:ascii="Calibri" w:eastAsia="Times New Roman" w:hAnsi="Calibri" w:cs="Traditional Arabic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2019-08-23T07:35:00Z</dcterms:created>
  <dcterms:modified xsi:type="dcterms:W3CDTF">2019-08-23T07:37:00Z</dcterms:modified>
</cp:coreProperties>
</file>