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C25E" w14:textId="77777777" w:rsidR="00FB0D88" w:rsidRPr="00486F32" w:rsidRDefault="00FB0D88" w:rsidP="009F3F44">
      <w:pPr>
        <w:pStyle w:val="QuestionNo"/>
        <w:rPr>
          <w:lang w:val="ru-RU"/>
        </w:rPr>
      </w:pPr>
      <w:r w:rsidRPr="002D4AED">
        <w:rPr>
          <w:lang w:val="ru-RU"/>
        </w:rPr>
        <w:t>ВОПРОС</w:t>
      </w:r>
      <w:r w:rsidRPr="001F799C">
        <w:rPr>
          <w:lang w:val="ru-RU"/>
        </w:rPr>
        <w:t xml:space="preserve"> мсэ-r </w:t>
      </w:r>
      <w:r>
        <w:rPr>
          <w:szCs w:val="26"/>
          <w:lang w:val="ru-RU" w:eastAsia="ja-JP"/>
        </w:rPr>
        <w:t>237</w:t>
      </w:r>
      <w:r w:rsidRPr="001F799C">
        <w:rPr>
          <w:szCs w:val="26"/>
          <w:lang w:val="ru-RU" w:eastAsia="ja-JP"/>
        </w:rPr>
        <w:t>/1</w:t>
      </w:r>
      <w:r w:rsidR="009F3F44">
        <w:rPr>
          <w:rStyle w:val="FootnoteReference"/>
          <w:szCs w:val="26"/>
          <w:lang w:val="ru-RU" w:eastAsia="ja-JP"/>
        </w:rPr>
        <w:footnoteReference w:customMarkFollows="1" w:id="1"/>
        <w:t>*</w:t>
      </w:r>
      <w:r w:rsidRPr="00486F32">
        <w:rPr>
          <w:lang w:val="ru-RU"/>
        </w:rPr>
        <w:t xml:space="preserve">, </w:t>
      </w:r>
      <w:r w:rsidR="009F3F44">
        <w:rPr>
          <w:rStyle w:val="FootnoteReference"/>
          <w:lang w:val="ru-RU"/>
        </w:rPr>
        <w:footnoteReference w:customMarkFollows="1" w:id="2"/>
        <w:t>**</w:t>
      </w:r>
    </w:p>
    <w:p w14:paraId="54114918" w14:textId="77777777" w:rsidR="00FB0D88" w:rsidRPr="00231C47" w:rsidRDefault="00FB0D88" w:rsidP="009F3F44">
      <w:pPr>
        <w:pStyle w:val="Questiontitle"/>
        <w:rPr>
          <w:lang w:val="ru-RU"/>
        </w:rPr>
      </w:pPr>
      <w:r w:rsidRPr="00231C47">
        <w:rPr>
          <w:lang w:val="ru-RU"/>
        </w:rPr>
        <w:t>Технические и эксплуатационные характеристики активных служб,</w:t>
      </w:r>
      <w:r w:rsidRPr="00231C47">
        <w:rPr>
          <w:lang w:val="ru-RU"/>
        </w:rPr>
        <w:br/>
        <w:t xml:space="preserve">работающих в </w:t>
      </w:r>
      <w:r w:rsidR="009F3F44">
        <w:rPr>
          <w:lang w:val="ru-RU"/>
        </w:rPr>
        <w:t>диапазоне</w:t>
      </w:r>
      <w:r w:rsidRPr="00231C47">
        <w:rPr>
          <w:lang w:val="ru-RU"/>
        </w:rPr>
        <w:t xml:space="preserve"> 275–1000 ГГц</w:t>
      </w:r>
    </w:p>
    <w:p w14:paraId="362DF95B" w14:textId="77777777" w:rsidR="00FB0D88" w:rsidRPr="00340276" w:rsidRDefault="00FB0D88" w:rsidP="00FB0D88">
      <w:pPr>
        <w:pStyle w:val="Questiondate"/>
        <w:rPr>
          <w:lang w:val="ru-RU"/>
        </w:rPr>
      </w:pPr>
      <w:r w:rsidRPr="00340276">
        <w:rPr>
          <w:lang w:val="ru-RU"/>
        </w:rPr>
        <w:t>(2013)</w:t>
      </w:r>
    </w:p>
    <w:p w14:paraId="1CC3F785" w14:textId="77777777" w:rsidR="00FB0D88" w:rsidRPr="00FB0D88" w:rsidRDefault="00FB0D88" w:rsidP="00FB0D88">
      <w:pPr>
        <w:pStyle w:val="Normalaftertitle"/>
        <w:rPr>
          <w:lang w:val="ru-RU"/>
        </w:rPr>
      </w:pPr>
      <w:r w:rsidRPr="00FB0D88">
        <w:rPr>
          <w:lang w:val="ru-RU"/>
        </w:rPr>
        <w:t>Ассамблея радиосвязи МСЭ,</w:t>
      </w:r>
    </w:p>
    <w:p w14:paraId="24FB6C87" w14:textId="77777777" w:rsidR="00FB0D88" w:rsidRPr="00231C47" w:rsidRDefault="00FB0D88" w:rsidP="00FB0D88">
      <w:pPr>
        <w:pStyle w:val="Call"/>
        <w:rPr>
          <w:lang w:val="ru-RU"/>
        </w:rPr>
      </w:pPr>
      <w:r w:rsidRPr="00231C47">
        <w:rPr>
          <w:lang w:val="ru-RU"/>
        </w:rPr>
        <w:t>учитывая</w:t>
      </w:r>
      <w:r w:rsidRPr="00231C47">
        <w:rPr>
          <w:i w:val="0"/>
          <w:lang w:val="ru-RU"/>
        </w:rPr>
        <w:t>,</w:t>
      </w:r>
    </w:p>
    <w:p w14:paraId="5C7F4E42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a)</w:t>
      </w:r>
      <w:r w:rsidRPr="00231C47">
        <w:rPr>
          <w:lang w:val="ru-RU"/>
        </w:rPr>
        <w:tab/>
        <w:t>что Всемирная конференция радиосвязи 2012 года (ВКР-12) внесла изменения в п. </w:t>
      </w:r>
      <w:r w:rsidRPr="00231C47">
        <w:rPr>
          <w:b/>
          <w:bCs/>
          <w:lang w:val="ru-RU"/>
        </w:rPr>
        <w:t>5.565</w:t>
      </w:r>
      <w:r w:rsidRPr="00231C47">
        <w:rPr>
          <w:lang w:val="ru-RU"/>
        </w:rPr>
        <w:t xml:space="preserve"> Регламента радиосвязи и определила использование диапазона 275–1000 ГГц пассивными и активными службами;</w:t>
      </w:r>
    </w:p>
    <w:p w14:paraId="1AEA244D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b)</w:t>
      </w:r>
      <w:r w:rsidRPr="00231C47">
        <w:rPr>
          <w:lang w:val="ru-RU"/>
        </w:rPr>
        <w:tab/>
        <w:t>что администрациям, желающим предоставить частоты в диапазоне 275–1000 ГГц для применений активных служб, настоятельно предлагается принимать все практически возможные меры для защиты этих пассивных служб от вредных помех;</w:t>
      </w:r>
    </w:p>
    <w:p w14:paraId="237F6E26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c)</w:t>
      </w:r>
      <w:r w:rsidRPr="00231C47">
        <w:rPr>
          <w:lang w:val="ru-RU"/>
        </w:rPr>
        <w:tab/>
        <w:t>что исследования технических и эксплуатационных характеристик сетей фиксированной спутниковой службы, работающих на частотах выше 275 ГГц, проводятся 4-й Исследовательской комиссией;</w:t>
      </w:r>
    </w:p>
    <w:p w14:paraId="6AB168EA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d)</w:t>
      </w:r>
      <w:r w:rsidRPr="00231C47">
        <w:rPr>
          <w:lang w:val="ru-RU"/>
        </w:rPr>
        <w:tab/>
        <w:t>что исследования технических и эксплуатационных характеристик применений научных служб, работающих на частотах выше 275 ГГц, проводятся 7-й Исследовательской комиссией;</w:t>
      </w:r>
    </w:p>
    <w:p w14:paraId="3312D34B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e)</w:t>
      </w:r>
      <w:r w:rsidRPr="00231C47">
        <w:rPr>
          <w:lang w:val="ru-RU"/>
        </w:rPr>
        <w:tab/>
        <w:t>что исследования данных о распространении, необходимых для планирования систем радиосвязи, работающих на частотах выше 275 ГГц, проводятся 3-й Исследовательской комиссией;</w:t>
      </w:r>
    </w:p>
    <w:p w14:paraId="7440A881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f)</w:t>
      </w:r>
      <w:r w:rsidRPr="00231C47">
        <w:rPr>
          <w:lang w:val="ru-RU"/>
        </w:rPr>
        <w:tab/>
        <w:t>что на частотах выше 275 ГГц совместное использование частот службами не исключается;</w:t>
      </w:r>
    </w:p>
    <w:p w14:paraId="6F8D48E8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g)</w:t>
      </w:r>
      <w:r w:rsidRPr="00231C47">
        <w:rPr>
          <w:lang w:val="ru-RU"/>
        </w:rPr>
        <w:tab/>
        <w:t>что Комитет IEEE 802 по стандартам LAN/MAN создал в рамках рабочей группы IEEE 802.15 специальную группу по терагерцовым частотам для стандартизации связи на терагерцовых частотах и соответствующих сетевых применений, работающих в терагерцовых полосах частот в диапазоне 275</w:t>
      </w:r>
      <w:r w:rsidRPr="00231C47">
        <w:rPr>
          <w:lang w:val="ru-RU"/>
        </w:rPr>
        <w:sym w:font="Symbol" w:char="F02D"/>
      </w:r>
      <w:r w:rsidRPr="00231C47">
        <w:rPr>
          <w:lang w:val="ru-RU"/>
        </w:rPr>
        <w:t>1000 ГГц,</w:t>
      </w:r>
    </w:p>
    <w:p w14:paraId="1A32E9CA" w14:textId="77777777" w:rsidR="00FB0D88" w:rsidRPr="00231C47" w:rsidRDefault="00FB0D88" w:rsidP="00FB0D88">
      <w:pPr>
        <w:pStyle w:val="Call"/>
        <w:rPr>
          <w:lang w:val="ru-RU"/>
        </w:rPr>
      </w:pPr>
      <w:r w:rsidRPr="00231C47">
        <w:rPr>
          <w:lang w:val="ru-RU"/>
        </w:rPr>
        <w:t>признавая</w:t>
      </w:r>
      <w:r w:rsidRPr="00231C47">
        <w:rPr>
          <w:i w:val="0"/>
          <w:lang w:val="ru-RU"/>
        </w:rPr>
        <w:t>,</w:t>
      </w:r>
    </w:p>
    <w:p w14:paraId="2E3FA773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a)</w:t>
      </w:r>
      <w:r w:rsidRPr="00231C47">
        <w:rPr>
          <w:lang w:val="ru-RU"/>
        </w:rPr>
        <w:tab/>
        <w:t>что в Рекомендации МСЭ-R P.676 представлены характеристики распространения при затухании в атмосферных газах;</w:t>
      </w:r>
    </w:p>
    <w:p w14:paraId="5B07C20A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b)</w:t>
      </w:r>
      <w:r w:rsidRPr="00231C47">
        <w:rPr>
          <w:lang w:val="ru-RU"/>
        </w:rPr>
        <w:tab/>
        <w:t>что в Рекомендации МСЭ-R P.838 представлена модель погонного ослабления в дожде, используемая в методах прогнозирования;</w:t>
      </w:r>
    </w:p>
    <w:p w14:paraId="53ABDC9D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c)</w:t>
      </w:r>
      <w:r w:rsidRPr="00231C47">
        <w:rPr>
          <w:lang w:val="ru-RU"/>
        </w:rPr>
        <w:tab/>
        <w:t>что в Рекомендации МСЭ-R P.840 представлены характеристики распространения при ослаблении из-за облачности и тумана;</w:t>
      </w:r>
    </w:p>
    <w:p w14:paraId="033B4ADB" w14:textId="77777777" w:rsidR="00FB0D88" w:rsidRPr="00231C47" w:rsidRDefault="00FB0D88" w:rsidP="00FB0D88">
      <w:pPr>
        <w:rPr>
          <w:lang w:val="ru-RU"/>
        </w:rPr>
      </w:pPr>
      <w:r w:rsidRPr="00231C47">
        <w:rPr>
          <w:i/>
          <w:iCs/>
          <w:lang w:val="ru-RU"/>
        </w:rPr>
        <w:t>d)</w:t>
      </w:r>
      <w:r w:rsidRPr="00231C47">
        <w:rPr>
          <w:lang w:val="ru-RU"/>
        </w:rPr>
        <w:tab/>
        <w:t>что в Отчете МСЭ-R RA.2189 представлена техническая информация и критерии защиты для любых исследований совместного использования частот активными службами и радиоастрономической службой в полосе частот 275–3000 ГГц,</w:t>
      </w:r>
    </w:p>
    <w:p w14:paraId="14B3628B" w14:textId="77777777" w:rsidR="00FB0D88" w:rsidRPr="00231C47" w:rsidRDefault="00FB0D88" w:rsidP="00FB0D88">
      <w:pPr>
        <w:pStyle w:val="Call"/>
        <w:rPr>
          <w:lang w:val="ru-RU"/>
        </w:rPr>
      </w:pPr>
      <w:r w:rsidRPr="00231C47">
        <w:rPr>
          <w:lang w:val="ru-RU"/>
        </w:rPr>
        <w:lastRenderedPageBreak/>
        <w:t>решает, что необходимо изучить следующий Вопрос</w:t>
      </w:r>
      <w:r w:rsidRPr="00231C47">
        <w:rPr>
          <w:i w:val="0"/>
          <w:lang w:val="ru-RU"/>
        </w:rPr>
        <w:t>:</w:t>
      </w:r>
    </w:p>
    <w:p w14:paraId="40D81DB4" w14:textId="77777777" w:rsidR="00FB0D88" w:rsidRPr="00231C47" w:rsidRDefault="00FB0D88" w:rsidP="009F3F44">
      <w:pPr>
        <w:rPr>
          <w:lang w:val="ru-RU"/>
        </w:rPr>
      </w:pPr>
      <w:r w:rsidRPr="00231C47">
        <w:rPr>
          <w:lang w:val="ru-RU"/>
        </w:rPr>
        <w:t xml:space="preserve">Каковы технические и эксплуатационные характеристики активных служб в </w:t>
      </w:r>
      <w:r w:rsidR="009F3F44">
        <w:rPr>
          <w:lang w:val="ru-RU"/>
        </w:rPr>
        <w:t>диапазоне</w:t>
      </w:r>
      <w:r w:rsidRPr="00231C47">
        <w:rPr>
          <w:lang w:val="ru-RU"/>
        </w:rPr>
        <w:t xml:space="preserve"> частот </w:t>
      </w:r>
      <w:proofErr w:type="gramStart"/>
      <w:r w:rsidRPr="00231C47">
        <w:rPr>
          <w:lang w:val="ru-RU"/>
        </w:rPr>
        <w:t>275−1000</w:t>
      </w:r>
      <w:proofErr w:type="gramEnd"/>
      <w:r w:rsidRPr="00231C47">
        <w:rPr>
          <w:lang w:val="ru-RU"/>
        </w:rPr>
        <w:t> ГГц?</w:t>
      </w:r>
    </w:p>
    <w:p w14:paraId="3DF85D81" w14:textId="77777777" w:rsidR="00FB0D88" w:rsidRPr="00231C47" w:rsidRDefault="00FB0D88" w:rsidP="00FB0D88">
      <w:pPr>
        <w:pStyle w:val="Call"/>
        <w:rPr>
          <w:lang w:val="ru-RU"/>
        </w:rPr>
      </w:pPr>
      <w:r w:rsidRPr="00231C47">
        <w:rPr>
          <w:lang w:val="ru-RU"/>
        </w:rPr>
        <w:t>решает далее</w:t>
      </w:r>
      <w:r w:rsidRPr="00231C47">
        <w:rPr>
          <w:i w:val="0"/>
          <w:lang w:val="ru-RU"/>
        </w:rPr>
        <w:t>,</w:t>
      </w:r>
    </w:p>
    <w:p w14:paraId="7C27F2E7" w14:textId="77777777" w:rsidR="00FB0D88" w:rsidRPr="00231C47" w:rsidRDefault="00FB0D88" w:rsidP="00FB0D88">
      <w:pPr>
        <w:rPr>
          <w:lang w:val="ru-RU"/>
        </w:rPr>
      </w:pPr>
      <w:r w:rsidRPr="00231C47">
        <w:rPr>
          <w:bCs/>
          <w:lang w:val="ru-RU"/>
        </w:rPr>
        <w:t>1</w:t>
      </w:r>
      <w:r w:rsidRPr="00231C47">
        <w:rPr>
          <w:b/>
          <w:lang w:val="ru-RU"/>
        </w:rPr>
        <w:tab/>
      </w:r>
      <w:r w:rsidRPr="00231C47">
        <w:rPr>
          <w:bCs/>
          <w:lang w:val="ru-RU"/>
        </w:rPr>
        <w:t xml:space="preserve">что исследования </w:t>
      </w:r>
      <w:r w:rsidRPr="00231C47">
        <w:rPr>
          <w:lang w:val="ru-RU"/>
        </w:rPr>
        <w:t xml:space="preserve">совместного использования частот активными и пассивными службами, а также активными службами должны проводиться с учетом характеристик служб, упомянутых в разделе </w:t>
      </w:r>
      <w:r w:rsidRPr="00231C47">
        <w:rPr>
          <w:i/>
          <w:iCs/>
          <w:lang w:val="ru-RU"/>
        </w:rPr>
        <w:t>решает</w:t>
      </w:r>
      <w:r w:rsidRPr="00231C47">
        <w:rPr>
          <w:lang w:val="ru-RU"/>
        </w:rPr>
        <w:t>;</w:t>
      </w:r>
    </w:p>
    <w:p w14:paraId="239E8E57" w14:textId="77777777" w:rsidR="00FB0D88" w:rsidRPr="00231C47" w:rsidRDefault="00FB0D88" w:rsidP="009F3F44">
      <w:pPr>
        <w:rPr>
          <w:b/>
          <w:bCs/>
          <w:lang w:val="ru-RU"/>
        </w:rPr>
      </w:pPr>
      <w:r w:rsidRPr="00231C47">
        <w:rPr>
          <w:lang w:val="ru-RU"/>
        </w:rPr>
        <w:t>2</w:t>
      </w:r>
      <w:r w:rsidRPr="00231C47">
        <w:rPr>
          <w:b/>
          <w:bCs/>
          <w:lang w:val="ru-RU"/>
        </w:rPr>
        <w:tab/>
      </w:r>
      <w:r w:rsidRPr="00231C47">
        <w:rPr>
          <w:lang w:val="ru-RU"/>
        </w:rPr>
        <w:t xml:space="preserve">что результаты исследований в </w:t>
      </w:r>
      <w:r w:rsidR="009F3F44">
        <w:rPr>
          <w:lang w:val="ru-RU"/>
        </w:rPr>
        <w:t>диапазоне</w:t>
      </w:r>
      <w:r w:rsidRPr="00231C47">
        <w:rPr>
          <w:lang w:val="ru-RU"/>
        </w:rPr>
        <w:t xml:space="preserve"> </w:t>
      </w:r>
      <w:proofErr w:type="gramStart"/>
      <w:r w:rsidRPr="00231C47">
        <w:rPr>
          <w:lang w:val="ru-RU"/>
        </w:rPr>
        <w:t>275−1000</w:t>
      </w:r>
      <w:proofErr w:type="gramEnd"/>
      <w:r w:rsidRPr="00231C47">
        <w:rPr>
          <w:lang w:val="ru-RU"/>
        </w:rPr>
        <w:t xml:space="preserve"> ГГц следует довести до сведения других исследовательских комиссий;</w:t>
      </w:r>
    </w:p>
    <w:p w14:paraId="14C7745A" w14:textId="77777777" w:rsidR="00FB0D88" w:rsidRPr="00231C47" w:rsidRDefault="00FB0D88" w:rsidP="00FB0D88">
      <w:pPr>
        <w:rPr>
          <w:lang w:val="ru-RU"/>
        </w:rPr>
      </w:pPr>
      <w:r w:rsidRPr="00231C47">
        <w:rPr>
          <w:lang w:val="ru-RU"/>
        </w:rPr>
        <w:t>3</w:t>
      </w:r>
      <w:r w:rsidRPr="00231C47">
        <w:rPr>
          <w:lang w:val="ru-RU"/>
        </w:rPr>
        <w:tab/>
        <w:t>что результаты вышеуказанных исследований следует включить в Рекомендации и/или Отчеты;</w:t>
      </w:r>
    </w:p>
    <w:p w14:paraId="42C764E1" w14:textId="296983FD" w:rsidR="00FB0D88" w:rsidRPr="00231C47" w:rsidRDefault="00FB0D88" w:rsidP="00FB0D88">
      <w:pPr>
        <w:rPr>
          <w:lang w:val="ru-RU"/>
        </w:rPr>
      </w:pPr>
      <w:r w:rsidRPr="00231C47">
        <w:rPr>
          <w:lang w:val="ru-RU"/>
        </w:rPr>
        <w:t>4</w:t>
      </w:r>
      <w:r w:rsidRPr="00231C47">
        <w:rPr>
          <w:lang w:val="ru-RU"/>
        </w:rPr>
        <w:tab/>
        <w:t>что предварительные результаты иссл</w:t>
      </w:r>
      <w:r>
        <w:rPr>
          <w:lang w:val="ru-RU"/>
        </w:rPr>
        <w:t>едований следует получить к 20</w:t>
      </w:r>
      <w:r w:rsidRPr="00FB0D88">
        <w:rPr>
          <w:lang w:val="ru-RU"/>
        </w:rPr>
        <w:t>2</w:t>
      </w:r>
      <w:r w:rsidR="00BA1B7E">
        <w:rPr>
          <w:lang w:val="ru-RU"/>
        </w:rPr>
        <w:t>7</w:t>
      </w:r>
      <w:r w:rsidRPr="00231C47">
        <w:rPr>
          <w:lang w:val="ru-RU"/>
        </w:rPr>
        <w:t> году.</w:t>
      </w:r>
    </w:p>
    <w:p w14:paraId="7675F0D0" w14:textId="77777777" w:rsidR="00FB0D88" w:rsidRPr="00FB0D88" w:rsidRDefault="00FB0D88" w:rsidP="00FB0D88">
      <w:pPr>
        <w:spacing w:before="360"/>
        <w:rPr>
          <w:lang w:val="en-US"/>
        </w:rPr>
      </w:pPr>
      <w:r w:rsidRPr="00231C47">
        <w:rPr>
          <w:lang w:val="ru-RU"/>
        </w:rPr>
        <w:t>Категория: S</w:t>
      </w:r>
      <w:r>
        <w:rPr>
          <w:lang w:val="en-US"/>
        </w:rPr>
        <w:t>3</w:t>
      </w:r>
    </w:p>
    <w:sectPr w:rsidR="00FB0D88" w:rsidRPr="00FB0D88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4ADE" w14:textId="77777777" w:rsidR="009D57BF" w:rsidRDefault="009D57BF">
      <w:r>
        <w:separator/>
      </w:r>
    </w:p>
  </w:endnote>
  <w:endnote w:type="continuationSeparator" w:id="0">
    <w:p w14:paraId="6AC7AC2D" w14:textId="77777777" w:rsidR="009D57BF" w:rsidRDefault="009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7F44" w14:textId="7777777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D57BF">
      <w:rPr>
        <w:noProof/>
        <w:lang w:val="fr-FR"/>
      </w:rPr>
      <w:t>Document1004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1B7E">
      <w:rPr>
        <w:noProof/>
      </w:rPr>
      <w:t>02.07.19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57BF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1E66" w14:textId="77777777" w:rsidR="00F52FFE" w:rsidRPr="00D668E8" w:rsidRDefault="00F52FFE" w:rsidP="00D66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6C4C" w14:textId="77777777" w:rsidR="00EE146A" w:rsidRPr="00D668E8" w:rsidRDefault="00EE146A" w:rsidP="00D66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1DAE" w14:textId="77777777" w:rsidR="009D57BF" w:rsidRDefault="009D57BF">
      <w:r>
        <w:rPr>
          <w:b/>
        </w:rPr>
        <w:t>_______________</w:t>
      </w:r>
    </w:p>
  </w:footnote>
  <w:footnote w:type="continuationSeparator" w:id="0">
    <w:p w14:paraId="04B179E1" w14:textId="77777777" w:rsidR="009D57BF" w:rsidRDefault="009D57BF">
      <w:r>
        <w:continuationSeparator/>
      </w:r>
    </w:p>
  </w:footnote>
  <w:footnote w:id="1">
    <w:p w14:paraId="4062C84E" w14:textId="77777777" w:rsidR="009F3F44" w:rsidRPr="009F3F44" w:rsidRDefault="009F3F44" w:rsidP="009F3F44">
      <w:pPr>
        <w:pStyle w:val="FootnoteText"/>
        <w:ind w:left="284" w:hanging="284"/>
        <w:rPr>
          <w:lang w:val="ru-RU"/>
        </w:rPr>
      </w:pPr>
      <w:r w:rsidRPr="009F3F44">
        <w:rPr>
          <w:rStyle w:val="FootnoteReference"/>
          <w:lang w:val="ru-RU"/>
        </w:rPr>
        <w:t>*</w:t>
      </w:r>
      <w:r w:rsidRPr="009F3F44">
        <w:rPr>
          <w:lang w:val="ru-RU"/>
        </w:rPr>
        <w:tab/>
      </w:r>
      <w:r w:rsidRPr="002D4AED">
        <w:rPr>
          <w:lang w:val="ru-RU"/>
        </w:rPr>
        <w:t>Настоящий Вопрос следует довести до сведения 3-й, 4-й и 7-й</w:t>
      </w:r>
      <w:r w:rsidRPr="000E0633">
        <w:t> </w:t>
      </w:r>
      <w:r w:rsidRPr="002D4AED">
        <w:rPr>
          <w:lang w:val="ru-RU"/>
        </w:rPr>
        <w:t>Исследовательских комиссий МСЭ</w:t>
      </w:r>
      <w:r>
        <w:rPr>
          <w:lang w:val="ru-RU"/>
        </w:rPr>
        <w:noBreakHyphen/>
      </w:r>
      <w:r w:rsidRPr="000E0633">
        <w:t>R</w:t>
      </w:r>
      <w:r w:rsidRPr="002D4AED">
        <w:rPr>
          <w:lang w:val="ru-RU"/>
        </w:rPr>
        <w:t>.</w:t>
      </w:r>
    </w:p>
  </w:footnote>
  <w:footnote w:id="2">
    <w:p w14:paraId="28AB304E" w14:textId="220DC140" w:rsidR="009F3F44" w:rsidRPr="009F3F44" w:rsidRDefault="009F3F44" w:rsidP="009F3F44">
      <w:pPr>
        <w:pStyle w:val="FootnoteText"/>
        <w:ind w:left="284" w:hanging="284"/>
        <w:rPr>
          <w:lang w:val="ru-RU"/>
        </w:rPr>
      </w:pPr>
      <w:r w:rsidRPr="009F3F44">
        <w:rPr>
          <w:rStyle w:val="FootnoteReference"/>
          <w:lang w:val="ru-RU"/>
        </w:rPr>
        <w:t>**</w:t>
      </w:r>
      <w:r w:rsidRPr="009F3F44">
        <w:rPr>
          <w:lang w:val="ru-RU"/>
        </w:rPr>
        <w:tab/>
      </w:r>
      <w:r>
        <w:rPr>
          <w:lang w:val="ru-RU"/>
        </w:rPr>
        <w:t>В 201</w:t>
      </w:r>
      <w:r w:rsidRPr="00486F32">
        <w:rPr>
          <w:lang w:val="ru-RU"/>
        </w:rPr>
        <w:t>7</w:t>
      </w:r>
      <w:r w:rsidR="00BA1B7E">
        <w:rPr>
          <w:lang w:val="ru-RU"/>
        </w:rPr>
        <w:t>,</w:t>
      </w:r>
      <w:r>
        <w:rPr>
          <w:lang w:val="ru-RU"/>
        </w:rPr>
        <w:t xml:space="preserve"> 2019</w:t>
      </w:r>
      <w:r w:rsidR="00BA1B7E">
        <w:rPr>
          <w:lang w:val="ru-RU"/>
        </w:rPr>
        <w:t xml:space="preserve"> и 2023</w:t>
      </w:r>
      <w:r w:rsidRPr="00203029">
        <w:rPr>
          <w:lang w:val="ru-RU"/>
        </w:rPr>
        <w:t xml:space="preserve"> год</w:t>
      </w:r>
      <w:r>
        <w:rPr>
          <w:lang w:val="ru-RU"/>
        </w:rPr>
        <w:t>ах</w:t>
      </w:r>
      <w:r w:rsidRPr="00203029">
        <w:rPr>
          <w:lang w:val="ru-RU"/>
        </w:rPr>
        <w:t xml:space="preserve"> 1-я Исследовательская комиссия по радиосвязи перенесла дату завершения исследований по этому Вопросу</w:t>
      </w:r>
      <w:r w:rsidRPr="00FB0D88">
        <w:rPr>
          <w:rFonts w:asciiTheme="majorBidi" w:hAnsiTheme="majorBidi" w:cstheme="majorBidi"/>
          <w:spacing w:val="-2"/>
          <w:sz w:val="24"/>
          <w:szCs w:val="24"/>
          <w:lang w:val="ru-RU"/>
        </w:rPr>
        <w:t xml:space="preserve">, </w:t>
      </w:r>
      <w:r>
        <w:rPr>
          <w:rFonts w:asciiTheme="majorBidi" w:eastAsia="Arial Unicode MS" w:hAnsiTheme="majorBidi" w:cstheme="majorBidi"/>
          <w:spacing w:val="-2"/>
          <w:sz w:val="24"/>
          <w:szCs w:val="24"/>
          <w:lang w:val="ru-RU"/>
        </w:rPr>
        <w:t>и в 2019 году</w:t>
      </w:r>
      <w:r w:rsidRPr="00FB0D88">
        <w:rPr>
          <w:rFonts w:asciiTheme="majorBidi" w:eastAsia="Arial Unicode MS" w:hAnsiTheme="majorBidi" w:cstheme="majorBidi"/>
          <w:spacing w:val="-2"/>
          <w:sz w:val="24"/>
          <w:szCs w:val="24"/>
          <w:lang w:val="ru-RU"/>
        </w:rPr>
        <w:t xml:space="preserve"> </w:t>
      </w:r>
      <w:r w:rsidRPr="00203029">
        <w:rPr>
          <w:lang w:val="ru-RU"/>
        </w:rPr>
        <w:t>1-я Исследовательская комиссия по радиосвязи</w:t>
      </w:r>
      <w:r w:rsidRPr="009F3F44">
        <w:rPr>
          <w:lang w:val="ru-RU"/>
        </w:rPr>
        <w:t xml:space="preserve"> </w:t>
      </w:r>
      <w:r>
        <w:rPr>
          <w:lang w:val="ru-RU"/>
        </w:rPr>
        <w:t>также изменила категорию.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F767" w14:textId="77777777" w:rsidR="00D668E8" w:rsidRDefault="00D66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C32A" w14:textId="77777777" w:rsidR="00F52FFE" w:rsidRPr="009447A3" w:rsidRDefault="00F52FFE" w:rsidP="00FB0D88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668E8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B4B5" w14:textId="77777777" w:rsidR="00D668E8" w:rsidRDefault="00D66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89546735">
    <w:abstractNumId w:val="0"/>
  </w:num>
  <w:num w:numId="2" w16cid:durableId="9983825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BF"/>
    <w:rsid w:val="0007259F"/>
    <w:rsid w:val="000D3202"/>
    <w:rsid w:val="001355A1"/>
    <w:rsid w:val="00150CF5"/>
    <w:rsid w:val="001B225D"/>
    <w:rsid w:val="00213F8F"/>
    <w:rsid w:val="002C3E03"/>
    <w:rsid w:val="003E26B6"/>
    <w:rsid w:val="00432094"/>
    <w:rsid w:val="004844C1"/>
    <w:rsid w:val="00541AC7"/>
    <w:rsid w:val="00645B0F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9D57BF"/>
    <w:rsid w:val="009F3F44"/>
    <w:rsid w:val="00A05CE9"/>
    <w:rsid w:val="00AD4505"/>
    <w:rsid w:val="00BA1B7E"/>
    <w:rsid w:val="00BE5003"/>
    <w:rsid w:val="00C52226"/>
    <w:rsid w:val="00D35AF0"/>
    <w:rsid w:val="00D471A9"/>
    <w:rsid w:val="00D668E8"/>
    <w:rsid w:val="00EA5A4A"/>
    <w:rsid w:val="00EE146A"/>
    <w:rsid w:val="00EE7B72"/>
    <w:rsid w:val="00F36624"/>
    <w:rsid w:val="00F451F5"/>
    <w:rsid w:val="00F52FFE"/>
    <w:rsid w:val="00F579FC"/>
    <w:rsid w:val="00F80DF5"/>
    <w:rsid w:val="00F9578C"/>
    <w:rsid w:val="00FB0D88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5B896A"/>
  <w15:docId w15:val="{0A77500D-AB09-4EA8-AA8B-58B1AB9E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link w:val="QuestiontitleChar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B0D88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FB0D8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B0D88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4642-B15D-42C9-BB82-D9CB899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16</TotalTime>
  <Pages>2</Pages>
  <Words>348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Chamova, Alisa</cp:lastModifiedBy>
  <cp:revision>7</cp:revision>
  <cp:lastPrinted>2007-04-05T14:30:00Z</cp:lastPrinted>
  <dcterms:created xsi:type="dcterms:W3CDTF">2019-06-13T06:54:00Z</dcterms:created>
  <dcterms:modified xsi:type="dcterms:W3CDTF">2023-06-22T09:22:00Z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