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E2" w:rsidRDefault="003356E2" w:rsidP="003356E2">
      <w:pPr>
        <w:pStyle w:val="Annex"/>
        <w:spacing w:before="0"/>
        <w:rPr>
          <w:sz w:val="28"/>
        </w:rPr>
      </w:pPr>
      <w:r>
        <w:rPr>
          <w:sz w:val="28"/>
        </w:rPr>
        <w:t>QUESTION UIT-R 224/1</w:t>
      </w:r>
      <w:r>
        <w:rPr>
          <w:rStyle w:val="FootnoteReference"/>
        </w:rPr>
        <w:footnoteReference w:customMarkFollows="1" w:id="1"/>
        <w:t>*</w:t>
      </w:r>
      <w:r>
        <w:rPr>
          <w:sz w:val="28"/>
        </w:rPr>
        <w:t>,</w:t>
      </w:r>
      <w:r>
        <w:rPr>
          <w:rStyle w:val="FootnoteReference"/>
        </w:rPr>
        <w:footnoteReference w:customMarkFollows="1" w:id="2"/>
        <w:t>**</w:t>
      </w:r>
    </w:p>
    <w:p w:rsidR="003356E2" w:rsidRDefault="003356E2" w:rsidP="003356E2">
      <w:pPr>
        <w:pStyle w:val="AppendixTitle"/>
        <w:rPr>
          <w:sz w:val="28"/>
        </w:rPr>
      </w:pPr>
      <w:r>
        <w:rPr>
          <w:sz w:val="28"/>
        </w:rPr>
        <w:t>Convergence technique des applications de terre multimédia interactives fixes, mobiles et de radiodiffusion et environnement réglementaire associé</w:t>
      </w:r>
    </w:p>
    <w:p w:rsidR="003356E2" w:rsidRDefault="003356E2" w:rsidP="003356E2">
      <w:pPr>
        <w:pStyle w:val="RecTitleDate"/>
        <w:rPr>
          <w:sz w:val="24"/>
          <w:lang w:val="fr-CH"/>
        </w:rPr>
      </w:pPr>
      <w:r>
        <w:rPr>
          <w:sz w:val="24"/>
          <w:lang w:val="fr-CH"/>
        </w:rPr>
        <w:t>(2001)</w:t>
      </w:r>
    </w:p>
    <w:p w:rsidR="003356E2" w:rsidRDefault="003356E2" w:rsidP="003356E2">
      <w:r>
        <w:t>L'Assemblée des radiocommunications de l'UIT,</w:t>
      </w:r>
    </w:p>
    <w:p w:rsidR="003356E2" w:rsidRDefault="003356E2" w:rsidP="003356E2">
      <w:pPr>
        <w:pStyle w:val="call"/>
      </w:pPr>
      <w:r>
        <w:t>considérant</w:t>
      </w:r>
    </w:p>
    <w:p w:rsidR="003356E2" w:rsidRDefault="003356E2" w:rsidP="003356E2">
      <w:r w:rsidRPr="00AE7C5B">
        <w:rPr>
          <w:i/>
          <w:iCs/>
        </w:rPr>
        <w:t>a)</w:t>
      </w:r>
      <w:r>
        <w:tab/>
        <w:t>que le partage des fréquences contribue pour une grande part à l'efficacité d'utilisation du spectre;</w:t>
      </w:r>
    </w:p>
    <w:p w:rsidR="003356E2" w:rsidRDefault="003356E2" w:rsidP="003356E2">
      <w:r w:rsidRPr="00AE7C5B">
        <w:rPr>
          <w:i/>
          <w:iCs/>
        </w:rPr>
        <w:t>b)</w:t>
      </w:r>
      <w:r>
        <w:tab/>
        <w:t>que des bandes de fréquences sont attribuées à différents services dans le but d'éviter des incompatibilités importantes entre utilisations du spectre radioélectrique;</w:t>
      </w:r>
    </w:p>
    <w:p w:rsidR="003356E2" w:rsidRDefault="003356E2" w:rsidP="003356E2">
      <w:r w:rsidRPr="00AE7C5B">
        <w:rPr>
          <w:i/>
          <w:iCs/>
        </w:rPr>
        <w:t>c)</w:t>
      </w:r>
      <w:r>
        <w:tab/>
        <w:t>que l'attribution de certaines bandes de fréquences à plusieurs services se fonde sur l'hypothèse que les critères de partage étant respectés, ces services seront compatibles;</w:t>
      </w:r>
    </w:p>
    <w:p w:rsidR="003356E2" w:rsidRDefault="003356E2" w:rsidP="003356E2">
      <w:r w:rsidRPr="00AE7C5B">
        <w:rPr>
          <w:i/>
          <w:iCs/>
        </w:rPr>
        <w:t>d)</w:t>
      </w:r>
      <w:r>
        <w:tab/>
        <w:t>qu'il existe une convergence technique de certaines applications de Terre multimédias interactives fixes, mobiles et de radiodiffusion;</w:t>
      </w:r>
    </w:p>
    <w:p w:rsidR="003356E2" w:rsidRDefault="003356E2" w:rsidP="003356E2">
      <w:r w:rsidRPr="00AE7C5B">
        <w:rPr>
          <w:i/>
          <w:iCs/>
        </w:rPr>
        <w:t>e)</w:t>
      </w:r>
      <w:r>
        <w:tab/>
        <w:t>que compte tenu de cette convergence technique, il peut être nécessaire de modifier l'environnement réglementaire afin de faciliter le développement de ces nouvelles applications unifiées;</w:t>
      </w:r>
    </w:p>
    <w:p w:rsidR="003356E2" w:rsidRDefault="003356E2" w:rsidP="003356E2">
      <w:r w:rsidRPr="00AE7C5B">
        <w:rPr>
          <w:i/>
          <w:iCs/>
        </w:rPr>
        <w:t>f)</w:t>
      </w:r>
      <w:r>
        <w:tab/>
        <w:t>qu'une modification de l'environnement réglementaire peut entraîner la révision des définitions des services figurant dans l'article S1 du Règlement des radiocommunications (RR),</w:t>
      </w:r>
    </w:p>
    <w:p w:rsidR="003356E2" w:rsidRDefault="003356E2" w:rsidP="003356E2">
      <w:pPr>
        <w:pStyle w:val="call"/>
        <w:rPr>
          <w:i w:val="0"/>
          <w:iCs/>
        </w:rPr>
      </w:pPr>
      <w:r>
        <w:t xml:space="preserve">décide </w:t>
      </w:r>
      <w:r>
        <w:rPr>
          <w:i w:val="0"/>
          <w:iCs/>
        </w:rPr>
        <w:t>de mettre à l'étude la Question suivante</w:t>
      </w:r>
    </w:p>
    <w:p w:rsidR="003356E2" w:rsidRDefault="003356E2" w:rsidP="003356E2">
      <w:r w:rsidRPr="00AE7C5B">
        <w:t>1</w:t>
      </w:r>
      <w:r>
        <w:rPr>
          <w:b/>
          <w:bCs/>
        </w:rPr>
        <w:tab/>
      </w:r>
      <w:r>
        <w:t>Comment convergent du point de vue technique les applications multimédias interactives des services de Terre fixes, mobiles et de radiodiffusion?</w:t>
      </w:r>
    </w:p>
    <w:p w:rsidR="003356E2" w:rsidRDefault="003356E2" w:rsidP="003356E2">
      <w:r w:rsidRPr="00AE7C5B">
        <w:t>2</w:t>
      </w:r>
      <w:r>
        <w:tab/>
        <w:t>Quelle est l'influence de cette convergence technique sur l'environnement réglementaire national et international des radiocommunications?</w:t>
      </w:r>
    </w:p>
    <w:p w:rsidR="003356E2" w:rsidRDefault="003356E2" w:rsidP="003356E2">
      <w:r w:rsidRPr="00AE7C5B">
        <w:t>3</w:t>
      </w:r>
      <w:r>
        <w:tab/>
        <w:t>Si cette convergence technique influe sur les définitions des services figurant dans l'article S1 du RR, comment faut-il modifier ces définitions?</w:t>
      </w:r>
    </w:p>
    <w:p w:rsidR="003356E2" w:rsidRDefault="003356E2" w:rsidP="003356E2">
      <w:pPr>
        <w:pStyle w:val="call"/>
      </w:pPr>
      <w:r>
        <w:t>décide en outre</w:t>
      </w:r>
    </w:p>
    <w:p w:rsidR="003356E2" w:rsidRDefault="003356E2" w:rsidP="003356E2">
      <w:r w:rsidRPr="00AE7C5B">
        <w:t>1</w:t>
      </w:r>
      <w:r>
        <w:rPr>
          <w:b/>
          <w:bCs/>
        </w:rPr>
        <w:tab/>
      </w:r>
      <w:r>
        <w:t>que les résultats des études précitées doivent être inclus dans un ou plusieurs rapports et une ou plusieurs recommandations;</w:t>
      </w:r>
    </w:p>
    <w:p w:rsidR="003356E2" w:rsidRDefault="003356E2" w:rsidP="003356E2">
      <w:r w:rsidRPr="00AE7C5B">
        <w:t>2</w:t>
      </w:r>
      <w:r>
        <w:tab/>
        <w:t>que les études précitées doivent êt</w:t>
      </w:r>
      <w:r w:rsidR="00E45E62">
        <w:t>re achevées avant la fin de 2015</w:t>
      </w:r>
      <w:r>
        <w:t>;</w:t>
      </w:r>
    </w:p>
    <w:p w:rsidR="003356E2" w:rsidRDefault="003356E2" w:rsidP="003356E2">
      <w:r w:rsidRPr="00AE7C5B">
        <w:lastRenderedPageBreak/>
        <w:t>3</w:t>
      </w:r>
      <w:r>
        <w:tab/>
        <w:t>que les CMR-03 et 05/06 seront tenues informées de l'état d'avancement des études précitées par l'intermédiaire de la RPC.</w:t>
      </w:r>
    </w:p>
    <w:p w:rsidR="003356E2" w:rsidRDefault="003356E2" w:rsidP="003356E2">
      <w:pPr>
        <w:spacing w:before="160"/>
      </w:pPr>
      <w:r>
        <w:t>Catégorie: C1</w:t>
      </w:r>
    </w:p>
    <w:p w:rsidR="0006217E" w:rsidRDefault="0006217E"/>
    <w:sectPr w:rsidR="0006217E" w:rsidSect="001A4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E2" w:rsidRDefault="003356E2" w:rsidP="003356E2">
      <w:pPr>
        <w:spacing w:before="0"/>
      </w:pPr>
      <w:r>
        <w:separator/>
      </w:r>
    </w:p>
  </w:endnote>
  <w:endnote w:type="continuationSeparator" w:id="0">
    <w:p w:rsidR="003356E2" w:rsidRDefault="003356E2" w:rsidP="00335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Default="001A4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Default="001A4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Default="001A4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E2" w:rsidRDefault="003356E2" w:rsidP="003356E2">
      <w:pPr>
        <w:spacing w:before="0"/>
      </w:pPr>
      <w:r>
        <w:separator/>
      </w:r>
    </w:p>
  </w:footnote>
  <w:footnote w:type="continuationSeparator" w:id="0">
    <w:p w:rsidR="003356E2" w:rsidRDefault="003356E2" w:rsidP="003356E2">
      <w:pPr>
        <w:spacing w:before="0"/>
      </w:pPr>
      <w:r>
        <w:continuationSeparator/>
      </w:r>
    </w:p>
  </w:footnote>
  <w:footnote w:id="1">
    <w:p w:rsidR="003356E2" w:rsidRPr="00A8026E" w:rsidRDefault="003356E2" w:rsidP="003356E2">
      <w:pPr>
        <w:pStyle w:val="FootnoteText"/>
        <w:ind w:left="0" w:firstLine="0"/>
        <w:rPr>
          <w:lang w:val="fr-CH"/>
        </w:rPr>
      </w:pPr>
      <w:r>
        <w:rPr>
          <w:rStyle w:val="FootnoteReference"/>
        </w:rPr>
        <w:t>*</w:t>
      </w:r>
      <w:r>
        <w:tab/>
      </w:r>
      <w:r w:rsidRPr="00AE7C5B">
        <w:rPr>
          <w:sz w:val="24"/>
          <w:szCs w:val="24"/>
        </w:rPr>
        <w:t>Il convient de porter cette Question à l'attention des Commissions d'études 6, 8, 9 et des Commissions d'études 1 et 2 du Secteur du développement des télécommunications.</w:t>
      </w:r>
    </w:p>
  </w:footnote>
  <w:footnote w:id="2">
    <w:p w:rsidR="003356E2" w:rsidRPr="007166FB" w:rsidRDefault="003356E2" w:rsidP="003356E2">
      <w:pPr>
        <w:pStyle w:val="FootnoteText"/>
        <w:ind w:left="0" w:firstLine="0"/>
        <w:rPr>
          <w:lang w:val="fr-CH"/>
        </w:rPr>
      </w:pPr>
      <w:r>
        <w:rPr>
          <w:rStyle w:val="FootnoteReference"/>
        </w:rPr>
        <w:t>**</w:t>
      </w:r>
      <w:r>
        <w:tab/>
      </w:r>
      <w:r w:rsidR="00E45E62">
        <w:rPr>
          <w:sz w:val="24"/>
          <w:szCs w:val="24"/>
          <w:lang w:val="fr-CH"/>
        </w:rPr>
        <w:t>En 2013</w:t>
      </w:r>
      <w:bookmarkStart w:id="0" w:name="_GoBack"/>
      <w:bookmarkEnd w:id="0"/>
      <w:r w:rsidRPr="00AE7C5B">
        <w:rPr>
          <w:sz w:val="24"/>
          <w:szCs w:val="24"/>
          <w:lang w:val="fr-CH"/>
        </w:rPr>
        <w:t>, la Commission d'études 1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Default="001A4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Pr="001A45EE" w:rsidRDefault="001A45EE">
    <w:pPr>
      <w:pStyle w:val="Header"/>
      <w:jc w:val="center"/>
      <w:rPr>
        <w:sz w:val="20"/>
      </w:rPr>
    </w:pPr>
    <w:r w:rsidRPr="001A45EE">
      <w:rPr>
        <w:sz w:val="20"/>
      </w:rPr>
      <w:t>-</w:t>
    </w:r>
    <w:sdt>
      <w:sdtPr>
        <w:rPr>
          <w:sz w:val="20"/>
        </w:rPr>
        <w:id w:val="-6078904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A45EE">
          <w:rPr>
            <w:sz w:val="20"/>
          </w:rPr>
          <w:fldChar w:fldCharType="begin"/>
        </w:r>
        <w:r w:rsidRPr="001A45EE">
          <w:rPr>
            <w:sz w:val="20"/>
          </w:rPr>
          <w:instrText xml:space="preserve"> PAGE   \* MERGEFORMAT </w:instrText>
        </w:r>
        <w:r w:rsidRPr="001A45EE">
          <w:rPr>
            <w:sz w:val="20"/>
          </w:rPr>
          <w:fldChar w:fldCharType="separate"/>
        </w:r>
        <w:r w:rsidR="00E45E62">
          <w:rPr>
            <w:noProof/>
            <w:sz w:val="20"/>
          </w:rPr>
          <w:t>2</w:t>
        </w:r>
        <w:r w:rsidRPr="001A45EE">
          <w:rPr>
            <w:noProof/>
            <w:sz w:val="20"/>
          </w:rPr>
          <w:fldChar w:fldCharType="end"/>
        </w:r>
        <w:r w:rsidRPr="001A45EE">
          <w:rPr>
            <w:noProof/>
            <w:sz w:val="20"/>
          </w:rPr>
          <w:t>-</w:t>
        </w:r>
      </w:sdtContent>
    </w:sdt>
  </w:p>
  <w:p w:rsidR="001A45EE" w:rsidRDefault="001A4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EE" w:rsidRDefault="001A4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E2"/>
    <w:rsid w:val="0006217E"/>
    <w:rsid w:val="001A45EE"/>
    <w:rsid w:val="003356E2"/>
    <w:rsid w:val="00E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"/>
    <w:basedOn w:val="DefaultParagraphFont"/>
    <w:rsid w:val="003356E2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 Зн"/>
    <w:basedOn w:val="Normal"/>
    <w:link w:val="FootnoteTextChar"/>
    <w:rsid w:val="003356E2"/>
    <w:pPr>
      <w:keepLines/>
      <w:tabs>
        <w:tab w:val="left" w:pos="255"/>
      </w:tabs>
      <w:spacing w:before="80"/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3356E2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call">
    <w:name w:val="call"/>
    <w:basedOn w:val="Normal"/>
    <w:next w:val="Normal"/>
    <w:rsid w:val="003356E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Annex">
    <w:name w:val="Annex_#"/>
    <w:basedOn w:val="Normal"/>
    <w:next w:val="Normal"/>
    <w:rsid w:val="003356E2"/>
    <w:pPr>
      <w:keepNext/>
      <w:keepLines/>
      <w:spacing w:before="480" w:after="80"/>
      <w:jc w:val="center"/>
    </w:pPr>
    <w:rPr>
      <w:caps/>
    </w:rPr>
  </w:style>
  <w:style w:type="paragraph" w:customStyle="1" w:styleId="AppendixTitle">
    <w:name w:val="Appendix_Title"/>
    <w:basedOn w:val="Normal"/>
    <w:next w:val="Normal"/>
    <w:rsid w:val="003356E2"/>
    <w:pPr>
      <w:keepNext/>
      <w:keepLines/>
      <w:spacing w:before="240" w:after="280"/>
      <w:jc w:val="center"/>
    </w:pPr>
    <w:rPr>
      <w:b/>
    </w:rPr>
  </w:style>
  <w:style w:type="paragraph" w:customStyle="1" w:styleId="RecTitleDate">
    <w:name w:val="Rec Title/Date"/>
    <w:basedOn w:val="Normal"/>
    <w:next w:val="Normal"/>
    <w:rsid w:val="003356E2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45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45EE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1A45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45EE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"/>
    <w:basedOn w:val="DefaultParagraphFont"/>
    <w:rsid w:val="003356E2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 Зн"/>
    <w:basedOn w:val="Normal"/>
    <w:link w:val="FootnoteTextChar"/>
    <w:rsid w:val="003356E2"/>
    <w:pPr>
      <w:keepLines/>
      <w:tabs>
        <w:tab w:val="left" w:pos="255"/>
      </w:tabs>
      <w:spacing w:before="80"/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3356E2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call">
    <w:name w:val="call"/>
    <w:basedOn w:val="Normal"/>
    <w:next w:val="Normal"/>
    <w:rsid w:val="003356E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Annex">
    <w:name w:val="Annex_#"/>
    <w:basedOn w:val="Normal"/>
    <w:next w:val="Normal"/>
    <w:rsid w:val="003356E2"/>
    <w:pPr>
      <w:keepNext/>
      <w:keepLines/>
      <w:spacing w:before="480" w:after="80"/>
      <w:jc w:val="center"/>
    </w:pPr>
    <w:rPr>
      <w:caps/>
    </w:rPr>
  </w:style>
  <w:style w:type="paragraph" w:customStyle="1" w:styleId="AppendixTitle">
    <w:name w:val="Appendix_Title"/>
    <w:basedOn w:val="Normal"/>
    <w:next w:val="Normal"/>
    <w:rsid w:val="003356E2"/>
    <w:pPr>
      <w:keepNext/>
      <w:keepLines/>
      <w:spacing w:before="240" w:after="280"/>
      <w:jc w:val="center"/>
    </w:pPr>
    <w:rPr>
      <w:b/>
    </w:rPr>
  </w:style>
  <w:style w:type="paragraph" w:customStyle="1" w:styleId="RecTitleDate">
    <w:name w:val="Rec Title/Date"/>
    <w:basedOn w:val="Normal"/>
    <w:next w:val="Normal"/>
    <w:rsid w:val="003356E2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45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45EE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1A45E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45EE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3</cp:revision>
  <dcterms:created xsi:type="dcterms:W3CDTF">2012-03-07T11:18:00Z</dcterms:created>
  <dcterms:modified xsi:type="dcterms:W3CDTF">2013-06-20T09:30:00Z</dcterms:modified>
</cp:coreProperties>
</file>