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394D" w14:textId="77777777" w:rsidR="008D45AE" w:rsidRPr="00E732CF" w:rsidRDefault="008D45AE" w:rsidP="008D45AE">
      <w:pPr>
        <w:pStyle w:val="QuestionNo"/>
      </w:pPr>
      <w:r w:rsidRPr="00E732CF">
        <w:rPr>
          <w:rtl/>
        </w:rPr>
        <w:t xml:space="preserve">المسألة </w:t>
      </w:r>
      <w:r w:rsidRPr="00E732CF">
        <w:t>ITU-R 222/1</w:t>
      </w:r>
      <w:r w:rsidRPr="00E732CF">
        <w:rPr>
          <w:vertAlign w:val="superscript"/>
          <w:rtl/>
          <w:lang w:bidi="ar-SA"/>
        </w:rPr>
        <w:footnoteReference w:customMarkFollows="1" w:id="1"/>
        <w:t>*</w:t>
      </w:r>
    </w:p>
    <w:p w14:paraId="3CD034D6" w14:textId="77777777" w:rsidR="008D45AE" w:rsidRPr="00E732CF" w:rsidRDefault="008D45AE" w:rsidP="008D45AE">
      <w:pPr>
        <w:pStyle w:val="Questiontitle"/>
        <w:rPr>
          <w:rtl/>
        </w:rPr>
      </w:pPr>
      <w:r w:rsidRPr="00E732CF">
        <w:rPr>
          <w:rtl/>
        </w:rPr>
        <w:t>تعريف الخصائص الطيفية لإرسالات أجهزة الإرسال</w:t>
      </w:r>
    </w:p>
    <w:p w14:paraId="1A87C4F2" w14:textId="42765F5A" w:rsidR="008D45AE" w:rsidRPr="00E732CF" w:rsidRDefault="008D45AE" w:rsidP="006D2735">
      <w:pPr>
        <w:pStyle w:val="Questiondate"/>
        <w:rPr>
          <w:rtl/>
        </w:rPr>
      </w:pPr>
      <w:r w:rsidRPr="00E732CF">
        <w:t>(2000)</w:t>
      </w:r>
    </w:p>
    <w:p w14:paraId="659B2B2A" w14:textId="77777777" w:rsidR="008D45AE" w:rsidRPr="00E732CF" w:rsidRDefault="008D45AE" w:rsidP="008D45AE">
      <w:pPr>
        <w:pStyle w:val="Normalaftertitle"/>
        <w:rPr>
          <w:lang w:bidi="ar-EG"/>
        </w:rPr>
      </w:pPr>
      <w:r w:rsidRPr="00E732CF">
        <w:rPr>
          <w:rtl/>
          <w:lang w:bidi="ar-EG"/>
        </w:rPr>
        <w:t>إن جمعية الاتصالات الراديوية للاتحاد الدولي للاتصالات،</w:t>
      </w:r>
    </w:p>
    <w:p w14:paraId="0CD3CD64" w14:textId="77777777" w:rsidR="008D45AE" w:rsidRPr="00E732CF" w:rsidRDefault="008D45AE" w:rsidP="008D45AE">
      <w:pPr>
        <w:pStyle w:val="Call"/>
        <w:rPr>
          <w:rtl/>
          <w:lang w:bidi="ar-EG"/>
        </w:rPr>
      </w:pPr>
      <w:r w:rsidRPr="00E732CF">
        <w:rPr>
          <w:rtl/>
          <w:lang w:bidi="ar-EG"/>
        </w:rPr>
        <w:t>إذ تضع في اعتبارها</w:t>
      </w:r>
    </w:p>
    <w:p w14:paraId="347B34B8" w14:textId="77777777" w:rsidR="008D45AE" w:rsidRPr="00E732CF" w:rsidRDefault="008D45AE" w:rsidP="008D45AE">
      <w:pPr>
        <w:rPr>
          <w:rtl/>
          <w:lang w:bidi="ar-EG"/>
        </w:rPr>
      </w:pPr>
      <w:r w:rsidRPr="00E732CF">
        <w:rPr>
          <w:i/>
          <w:iCs/>
          <w:rtl/>
          <w:lang w:bidi="ar-EG"/>
        </w:rPr>
        <w:t xml:space="preserve"> أ )</w:t>
      </w:r>
      <w:r w:rsidRPr="00E732CF">
        <w:rPr>
          <w:rtl/>
          <w:lang w:bidi="ar-EG"/>
        </w:rPr>
        <w:tab/>
        <w:t xml:space="preserve">أن مجموعة التعاريف الراهنة للخصائص الطيفية لإرسالات أجهزة الإرسال (عرض النطاق اللازم وعرض النطاق </w:t>
      </w:r>
      <w:r w:rsidRPr="003D3191">
        <w:rPr>
          <w:rtl/>
        </w:rPr>
        <w:t xml:space="preserve">المشغول والإرسال خارج النطاق والإرسال الهامشي إلخ.) الواردة في المادة </w:t>
      </w:r>
      <w:r w:rsidRPr="003D3191">
        <w:t>1</w:t>
      </w:r>
      <w:r w:rsidRPr="003D3191">
        <w:rPr>
          <w:rtl/>
        </w:rPr>
        <w:t xml:space="preserve">، القسم </w:t>
      </w:r>
      <w:r w:rsidRPr="003D3191">
        <w:t>VI</w:t>
      </w:r>
      <w:r w:rsidRPr="003D3191">
        <w:rPr>
          <w:rtl/>
        </w:rPr>
        <w:t>، من لوائح الراديو</w:t>
      </w:r>
      <w:r w:rsidRPr="003D3191">
        <w:rPr>
          <w:rFonts w:hint="cs"/>
          <w:rtl/>
        </w:rPr>
        <w:t> </w:t>
      </w:r>
      <w:r w:rsidRPr="003D3191">
        <w:t>(RR)</w:t>
      </w:r>
      <w:r w:rsidRPr="003D3191">
        <w:rPr>
          <w:rtl/>
        </w:rPr>
        <w:t xml:space="preserve">، ظهرت إلى حيز </w:t>
      </w:r>
      <w:r w:rsidRPr="00E732CF">
        <w:rPr>
          <w:rtl/>
          <w:lang w:bidi="ar-EG"/>
        </w:rPr>
        <w:t xml:space="preserve">الوجود في المقام الأول نتيجة عمل المؤتمر الإداري العالمي للراديو (جنيف، </w:t>
      </w:r>
      <w:r w:rsidRPr="00E732CF">
        <w:rPr>
          <w:lang w:bidi="ar-EG"/>
        </w:rPr>
        <w:t>1979</w:t>
      </w:r>
      <w:r w:rsidRPr="00E732CF">
        <w:rPr>
          <w:rtl/>
          <w:lang w:bidi="ar-EG"/>
        </w:rPr>
        <w:t>)؛</w:t>
      </w:r>
    </w:p>
    <w:p w14:paraId="75A243F1" w14:textId="77777777" w:rsidR="008D45AE" w:rsidRPr="00E732CF" w:rsidRDefault="008D45AE" w:rsidP="008D45AE">
      <w:pPr>
        <w:rPr>
          <w:rtl/>
          <w:lang w:bidi="ar-EG"/>
        </w:rPr>
      </w:pPr>
      <w:r w:rsidRPr="00E732CF">
        <w:rPr>
          <w:i/>
          <w:iCs/>
          <w:rtl/>
          <w:lang w:bidi="ar-EG"/>
        </w:rPr>
        <w:t>ب)</w:t>
      </w:r>
      <w:r w:rsidRPr="00E732CF">
        <w:rPr>
          <w:rtl/>
          <w:lang w:bidi="ar-EG"/>
        </w:rPr>
        <w:tab/>
        <w:t>أن النجاح في وضع حدود بالنسبة لهذه الخصائص والقدرة على إجراء المراقبة المناظرة بواسطة قياسات، يتوقفان إلى حد بعيد على صحة ووضوح جميع هذه التعاريف، كل على حدة وكلها معاً على حد سواء؛</w:t>
      </w:r>
    </w:p>
    <w:p w14:paraId="6D15713B" w14:textId="77777777" w:rsidR="008D45AE" w:rsidRPr="00E732CF" w:rsidRDefault="008D45AE" w:rsidP="008D45AE">
      <w:pPr>
        <w:rPr>
          <w:rtl/>
          <w:lang w:bidi="ar-EG"/>
        </w:rPr>
      </w:pPr>
      <w:r w:rsidRPr="00E732CF">
        <w:rPr>
          <w:i/>
          <w:iCs/>
          <w:rtl/>
          <w:lang w:bidi="ar-EG"/>
        </w:rPr>
        <w:t>ج)</w:t>
      </w:r>
      <w:r w:rsidRPr="00E732CF">
        <w:rPr>
          <w:rtl/>
          <w:lang w:bidi="ar-EG"/>
        </w:rPr>
        <w:tab/>
        <w:t xml:space="preserve">أن الجهود التي بذلتها لجنة الدراسات </w:t>
      </w:r>
      <w:r w:rsidRPr="00E732CF">
        <w:rPr>
          <w:lang w:bidi="ar-EG"/>
        </w:rPr>
        <w:t>1</w:t>
      </w:r>
      <w:r w:rsidRPr="00E732CF">
        <w:rPr>
          <w:rtl/>
          <w:lang w:bidi="ar-EG"/>
        </w:rPr>
        <w:t xml:space="preserve"> للاتصالات الراديوية لتطوير حدود للإرسالات خارج النطاق ووضع حدود بين الإرسالات خارج النطاق والإرسالات الهامشية قد اعترضتها صعوبات، وذلك على وجه الخصوص بسبب جوانب قصور هذه المجموعة من تعاريف الخصائص الطيفية للإرسالات؛</w:t>
      </w:r>
    </w:p>
    <w:p w14:paraId="6AA5C7DC" w14:textId="5108EE55" w:rsidR="008D45AE" w:rsidRPr="008D45AE" w:rsidRDefault="008D45AE" w:rsidP="008D45AE">
      <w:pPr>
        <w:rPr>
          <w:spacing w:val="-6"/>
          <w:rtl/>
          <w:lang w:bidi="ar-EG"/>
        </w:rPr>
      </w:pPr>
      <w:r w:rsidRPr="008D45AE">
        <w:rPr>
          <w:i/>
          <w:iCs/>
          <w:spacing w:val="-6"/>
          <w:rtl/>
          <w:lang w:bidi="ar-EG"/>
        </w:rPr>
        <w:t>د )</w:t>
      </w:r>
      <w:r w:rsidRPr="008D45AE">
        <w:rPr>
          <w:spacing w:val="-6"/>
          <w:rtl/>
          <w:lang w:bidi="ar-EG"/>
        </w:rPr>
        <w:tab/>
        <w:t xml:space="preserve">أن التعريفين الراهنين لعرض النطاق اللازم وعرض النطاق المشغول (الرقمين </w:t>
      </w:r>
      <w:r w:rsidRPr="008D45AE">
        <w:rPr>
          <w:spacing w:val="-6"/>
          <w:lang w:bidi="ar-EG"/>
        </w:rPr>
        <w:t>152.1</w:t>
      </w:r>
      <w:r w:rsidRPr="008D45AE">
        <w:rPr>
          <w:spacing w:val="-6"/>
          <w:rtl/>
          <w:lang w:bidi="ar-EG"/>
        </w:rPr>
        <w:t xml:space="preserve"> و</w:t>
      </w:r>
      <w:r w:rsidRPr="008D45AE">
        <w:rPr>
          <w:spacing w:val="-6"/>
          <w:lang w:bidi="ar-EG"/>
        </w:rPr>
        <w:t>153.1</w:t>
      </w:r>
      <w:r w:rsidRPr="008D45AE">
        <w:rPr>
          <w:spacing w:val="-6"/>
          <w:rtl/>
          <w:lang w:bidi="ar-EG"/>
        </w:rPr>
        <w:t xml:space="preserve"> من لوائح الراديو) غير واضحين، من حيث </w:t>
      </w:r>
      <w:r w:rsidRPr="008D45AE">
        <w:rPr>
          <w:rFonts w:hint="cs"/>
          <w:spacing w:val="-6"/>
          <w:rtl/>
          <w:lang w:bidi="ar-EG"/>
        </w:rPr>
        <w:t>إن</w:t>
      </w:r>
      <w:r w:rsidRPr="008D45AE">
        <w:rPr>
          <w:spacing w:val="-6"/>
          <w:rtl/>
          <w:lang w:bidi="ar-EG"/>
        </w:rPr>
        <w:t xml:space="preserve"> هذين النطاقين لا يظهران على الإطلاق في طيف الإرسال إلا إذا أجريت حسابات إضافية أو قياسات محددة إضافية؛</w:t>
      </w:r>
    </w:p>
    <w:p w14:paraId="74F1449F" w14:textId="77777777" w:rsidR="008D45AE" w:rsidRPr="00E732CF" w:rsidRDefault="008D45AE" w:rsidP="008D45AE">
      <w:pPr>
        <w:rPr>
          <w:rtl/>
          <w:lang w:bidi="ar-EG"/>
        </w:rPr>
      </w:pPr>
      <w:r w:rsidRPr="00E732CF">
        <w:rPr>
          <w:i/>
          <w:iCs/>
          <w:rtl/>
          <w:lang w:bidi="ar-EG"/>
        </w:rPr>
        <w:t>ﻫ )</w:t>
      </w:r>
      <w:r w:rsidRPr="00E732CF">
        <w:rPr>
          <w:rtl/>
          <w:lang w:bidi="ar-EG"/>
        </w:rPr>
        <w:tab/>
        <w:t xml:space="preserve">أن هناك أيضاً صعوبات تعترض تحديد الإرسالات خارج النطاق وذلك لأنها، طبقاً للرقم </w:t>
      </w:r>
      <w:r w:rsidRPr="00E732CF">
        <w:rPr>
          <w:lang w:bidi="ar-EG"/>
        </w:rPr>
        <w:t>144.1</w:t>
      </w:r>
      <w:r w:rsidRPr="00E732CF">
        <w:rPr>
          <w:rtl/>
          <w:lang w:bidi="ar-EG"/>
        </w:rPr>
        <w:t xml:space="preserve"> من لوائح الراديو، تبدأ مباشرة عند حدود عرض النطاق اللازم، الذي لا يظهر على الإطلاق في طيف الإرسال؛</w:t>
      </w:r>
    </w:p>
    <w:p w14:paraId="66E271B5" w14:textId="77777777" w:rsidR="008D45AE" w:rsidRPr="00E732CF" w:rsidRDefault="008D45AE" w:rsidP="008D45AE">
      <w:pPr>
        <w:rPr>
          <w:rtl/>
          <w:lang w:bidi="ar-EG"/>
        </w:rPr>
      </w:pPr>
      <w:r w:rsidRPr="00E732CF">
        <w:rPr>
          <w:i/>
          <w:iCs/>
          <w:rtl/>
          <w:lang w:bidi="ar-EG"/>
        </w:rPr>
        <w:t>و )</w:t>
      </w:r>
      <w:r w:rsidRPr="00E732CF">
        <w:rPr>
          <w:rtl/>
          <w:lang w:bidi="ar-EG"/>
        </w:rPr>
        <w:tab/>
        <w:t xml:space="preserve">أن هناك أيضاً صعوبات تعترض تعيين الحدود بين الإرسال خارج النطاق والإرسال الهامشي لأن هذه الحدود معيّنة في الفقرة </w:t>
      </w:r>
      <w:r w:rsidRPr="00E732CF">
        <w:rPr>
          <w:lang w:val="en-GB" w:bidi="ar-EG"/>
        </w:rPr>
        <w:t>1.1</w:t>
      </w:r>
      <w:r w:rsidRPr="00E732CF">
        <w:rPr>
          <w:rtl/>
          <w:lang w:bidi="ar-EG"/>
        </w:rPr>
        <w:t xml:space="preserve"> من التوصية </w:t>
      </w:r>
      <w:r w:rsidRPr="00E732CF">
        <w:rPr>
          <w:lang w:bidi="ar-EG"/>
        </w:rPr>
        <w:t>ITU</w:t>
      </w:r>
      <w:r>
        <w:rPr>
          <w:lang w:bidi="ar-EG"/>
        </w:rPr>
        <w:noBreakHyphen/>
      </w:r>
      <w:r w:rsidRPr="00E732CF">
        <w:rPr>
          <w:lang w:bidi="ar-EG"/>
        </w:rPr>
        <w:t>R SM.329</w:t>
      </w:r>
      <w:r w:rsidRPr="00E732CF">
        <w:rPr>
          <w:rtl/>
          <w:lang w:bidi="ar-EG"/>
        </w:rPr>
        <w:t>، وفقاً لمنطق تعاريف الخصائص الطيفية الواردة في لوائح الراديو، على أساس نسبة مئوية من عرض النطاق اللازم، الذي لا يظهر على الإطلاق في طيف الإرسال؛</w:t>
      </w:r>
    </w:p>
    <w:p w14:paraId="183126F7" w14:textId="77777777" w:rsidR="008D45AE" w:rsidRPr="00E732CF" w:rsidRDefault="008D45AE" w:rsidP="008D45AE">
      <w:pPr>
        <w:rPr>
          <w:spacing w:val="2"/>
          <w:rtl/>
          <w:lang w:bidi="ar-EG"/>
        </w:rPr>
      </w:pPr>
      <w:r w:rsidRPr="00E732CF">
        <w:rPr>
          <w:i/>
          <w:iCs/>
          <w:spacing w:val="2"/>
          <w:rtl/>
          <w:lang w:bidi="ar-EG"/>
        </w:rPr>
        <w:t>ز )</w:t>
      </w:r>
      <w:r w:rsidRPr="00E732CF">
        <w:rPr>
          <w:spacing w:val="2"/>
          <w:rtl/>
          <w:lang w:bidi="ar-EG"/>
        </w:rPr>
        <w:tab/>
        <w:t xml:space="preserve">أنه على الرغم من وجود تعريف لعرض النطاق المشغول كدالة للقدرة في الرقم </w:t>
      </w:r>
      <w:r w:rsidRPr="00E732CF">
        <w:rPr>
          <w:spacing w:val="2"/>
          <w:lang w:bidi="ar-EG"/>
        </w:rPr>
        <w:t>153.1</w:t>
      </w:r>
      <w:r w:rsidRPr="00E732CF">
        <w:rPr>
          <w:spacing w:val="2"/>
          <w:rtl/>
          <w:lang w:bidi="ar-EG"/>
        </w:rPr>
        <w:t xml:space="preserve"> من لوائح الراديو (المعيار </w:t>
      </w:r>
      <w:r w:rsidRPr="00E732CF">
        <w:rPr>
          <w:spacing w:val="2"/>
          <w:lang w:bidi="ar-EG"/>
        </w:rPr>
        <w:t>%0,5</w:t>
      </w:r>
      <w:r w:rsidRPr="00E732CF">
        <w:rPr>
          <w:spacing w:val="2"/>
          <w:rtl/>
          <w:lang w:bidi="ar-EG"/>
        </w:rPr>
        <w:t xml:space="preserve"> أو </w:t>
      </w:r>
      <w:r w:rsidRPr="00E732CF">
        <w:rPr>
          <w:spacing w:val="2"/>
          <w:lang w:bidi="ar-EG"/>
        </w:rPr>
        <w:t>%</w:t>
      </w:r>
      <w:r w:rsidRPr="00E732CF">
        <w:rPr>
          <w:spacing w:val="2"/>
          <w:lang w:bidi="ar-EG"/>
        </w:rPr>
        <w:sym w:font="Symbol" w:char="F062"/>
      </w:r>
      <w:r w:rsidRPr="00E732CF">
        <w:rPr>
          <w:spacing w:val="2"/>
          <w:lang w:bidi="ar-EG"/>
        </w:rPr>
        <w:t>/2</w:t>
      </w:r>
      <w:r w:rsidRPr="00E732CF">
        <w:rPr>
          <w:spacing w:val="2"/>
          <w:rtl/>
          <w:lang w:bidi="ar-EG"/>
        </w:rPr>
        <w:t xml:space="preserve"> من متوسط قدرة الإرسال)، فقد انقضى حتى الآن </w:t>
      </w:r>
      <w:r w:rsidRPr="00E732CF">
        <w:rPr>
          <w:spacing w:val="2"/>
          <w:lang w:val="en-GB" w:bidi="ar-EG"/>
        </w:rPr>
        <w:t>50</w:t>
      </w:r>
      <w:r w:rsidRPr="00E732CF">
        <w:rPr>
          <w:spacing w:val="2"/>
          <w:rtl/>
          <w:lang w:bidi="ar-EG"/>
        </w:rPr>
        <w:t xml:space="preserve"> عاماً دون أن تعطي وثيقة واحدة لقطاع الاتصالات الراديوية قيمة محددة واحدة للقدرة النسبية خارج النطاق </w:t>
      </w:r>
      <w:r w:rsidRPr="00E732CF">
        <w:rPr>
          <w:spacing w:val="2"/>
          <w:lang w:bidi="ar-EG"/>
        </w:rPr>
        <w:t>%</w:t>
      </w:r>
      <w:r w:rsidRPr="00E732CF">
        <w:rPr>
          <w:spacing w:val="2"/>
          <w:lang w:bidi="ar-EG"/>
        </w:rPr>
        <w:sym w:font="Symbol" w:char="F062"/>
      </w:r>
      <w:r w:rsidRPr="00E732CF">
        <w:rPr>
          <w:spacing w:val="2"/>
          <w:lang w:bidi="ar-EG"/>
        </w:rPr>
        <w:t>/2</w:t>
      </w:r>
      <w:r w:rsidRPr="00E732CF">
        <w:rPr>
          <w:spacing w:val="2"/>
          <w:rtl/>
          <w:lang w:bidi="ar-EG"/>
        </w:rPr>
        <w:t xml:space="preserve"> مختلفة عن </w:t>
      </w:r>
      <w:r w:rsidRPr="00E732CF">
        <w:rPr>
          <w:spacing w:val="2"/>
          <w:lang w:bidi="ar-EG"/>
        </w:rPr>
        <w:t>%0,5</w:t>
      </w:r>
      <w:r w:rsidRPr="00E732CF">
        <w:rPr>
          <w:spacing w:val="2"/>
          <w:rtl/>
          <w:lang w:bidi="ar-EG"/>
        </w:rPr>
        <w:t xml:space="preserve"> لتحديد عرض النطاق المشغول لفئة ما من الإرسالات، في الوقت نفسه الذي لا يوجد فيه ما يعزّز هذه القيمة نفسها، أي </w:t>
      </w:r>
      <w:r w:rsidRPr="00E732CF">
        <w:rPr>
          <w:spacing w:val="2"/>
          <w:lang w:bidi="ar-EG"/>
        </w:rPr>
        <w:t>%0,5</w:t>
      </w:r>
      <w:r w:rsidRPr="00E732CF">
        <w:rPr>
          <w:spacing w:val="2"/>
          <w:rtl/>
          <w:lang w:bidi="ar-EG"/>
        </w:rPr>
        <w:t>، ولا يُثبتها ولا حتى لفئة واحدة محددة من الإرسالات؛</w:t>
      </w:r>
    </w:p>
    <w:p w14:paraId="30B08F06" w14:textId="4E7B1151" w:rsidR="008D45AE" w:rsidRPr="00E732CF" w:rsidRDefault="008D45AE" w:rsidP="008D45AE">
      <w:pPr>
        <w:rPr>
          <w:rtl/>
          <w:lang w:bidi="ar-EG"/>
        </w:rPr>
      </w:pPr>
      <w:r w:rsidRPr="00E732CF">
        <w:rPr>
          <w:i/>
          <w:iCs/>
          <w:rtl/>
          <w:lang w:bidi="ar-EG"/>
        </w:rPr>
        <w:t>ح)</w:t>
      </w:r>
      <w:r w:rsidRPr="00E732CF">
        <w:rPr>
          <w:rtl/>
          <w:lang w:bidi="ar-EG"/>
        </w:rPr>
        <w:tab/>
        <w:t xml:space="preserve">أنه على مدى هذه الفترة التي امتدت لأكثر من </w:t>
      </w:r>
      <w:r w:rsidRPr="00E732CF">
        <w:rPr>
          <w:lang w:bidi="ar-EG"/>
        </w:rPr>
        <w:t>50</w:t>
      </w:r>
      <w:r w:rsidRPr="00E732CF">
        <w:rPr>
          <w:rtl/>
          <w:lang w:bidi="ar-EG"/>
        </w:rPr>
        <w:t xml:space="preserve"> عاماً، لم يُستخدم عرض النطاق تقريباً، حسب التعريف الوارد في</w:t>
      </w:r>
      <w:r>
        <w:rPr>
          <w:rFonts w:hint="cs"/>
          <w:rtl/>
          <w:lang w:bidi="ar-EG"/>
        </w:rPr>
        <w:t> </w:t>
      </w:r>
      <w:r w:rsidRPr="00E732CF">
        <w:rPr>
          <w:rtl/>
          <w:lang w:bidi="ar-EG"/>
        </w:rPr>
        <w:t xml:space="preserve">الرقم </w:t>
      </w:r>
      <w:r w:rsidRPr="00E732CF">
        <w:rPr>
          <w:lang w:bidi="ar-EG"/>
        </w:rPr>
        <w:t>153.1</w:t>
      </w:r>
      <w:r w:rsidRPr="00E732CF">
        <w:rPr>
          <w:rtl/>
          <w:lang w:bidi="ar-EG"/>
        </w:rPr>
        <w:t xml:space="preserve"> من لوائح الراديو، لا في عملية التبليغ بتخصيص تردد وتسجيله (يجري التبليغ بعرض النطاق اللازم وتسجيله مباشرة ومن خلال نطاق الترددات المخصص على حد سواء) ولا في عملية المراقبة (يُراقب عرض النطاق </w:t>
      </w:r>
      <w:r w:rsidRPr="005A3E3B">
        <w:rPr>
          <w:i/>
          <w:iCs/>
          <w:lang w:bidi="ar-EG"/>
        </w:rPr>
        <w:t>B</w:t>
      </w:r>
      <w:r w:rsidRPr="005A3E3B">
        <w:rPr>
          <w:i/>
          <w:iCs/>
          <w:vertAlign w:val="subscript"/>
          <w:lang w:bidi="ar-EG"/>
        </w:rPr>
        <w:t>26</w:t>
      </w:r>
      <w:r w:rsidRPr="00E732CF">
        <w:rPr>
          <w:rtl/>
          <w:lang w:bidi="ar-EG"/>
        </w:rPr>
        <w:t xml:space="preserve"> عند التردد</w:t>
      </w:r>
      <w:r>
        <w:rPr>
          <w:rFonts w:hint="cs"/>
          <w:rtl/>
          <w:lang w:bidi="ar-EG"/>
        </w:rPr>
        <w:t> </w:t>
      </w:r>
      <w:r w:rsidRPr="00E732CF">
        <w:rPr>
          <w:lang w:bidi="ar-EG"/>
        </w:rPr>
        <w:t>dB 26</w:t>
      </w:r>
      <w:r>
        <w:rPr>
          <w:lang w:bidi="ar-EG"/>
        </w:rPr>
        <w:t>–</w:t>
      </w:r>
      <w:r w:rsidRPr="00E732CF">
        <w:rPr>
          <w:rtl/>
          <w:lang w:bidi="ar-EG"/>
        </w:rPr>
        <w:t>)، وذلك كله يلقي بظلال من الشك حول الفائدة العملية عرض النطاق المشغول حسب التعريف الراهن،</w:t>
      </w:r>
    </w:p>
    <w:p w14:paraId="006BA2FD" w14:textId="77777777" w:rsidR="008D45AE" w:rsidRPr="00E732CF" w:rsidRDefault="008D45AE" w:rsidP="008D45AE">
      <w:pPr>
        <w:pStyle w:val="Call"/>
        <w:rPr>
          <w:lang w:bidi="ar-EG"/>
        </w:rPr>
      </w:pPr>
      <w:r w:rsidRPr="00E732CF">
        <w:rPr>
          <w:rtl/>
          <w:lang w:bidi="ar-EG"/>
        </w:rPr>
        <w:t xml:space="preserve">تُقرِّر </w:t>
      </w:r>
      <w:r w:rsidRPr="00D47EB8">
        <w:rPr>
          <w:i w:val="0"/>
          <w:iCs w:val="0"/>
          <w:rtl/>
          <w:lang w:bidi="ar-EG"/>
        </w:rPr>
        <w:t>أن</w:t>
      </w:r>
      <w:r w:rsidRPr="00D47EB8">
        <w:rPr>
          <w:rFonts w:hint="cs"/>
          <w:i w:val="0"/>
          <w:iCs w:val="0"/>
          <w:rtl/>
          <w:lang w:bidi="ar-EG"/>
        </w:rPr>
        <w:t xml:space="preserve"> تخضع</w:t>
      </w:r>
      <w:r w:rsidRPr="00D47EB8">
        <w:rPr>
          <w:i w:val="0"/>
          <w:iCs w:val="0"/>
          <w:rtl/>
          <w:lang w:bidi="ar-EG"/>
        </w:rPr>
        <w:t xml:space="preserve"> المسألة التالية </w:t>
      </w:r>
      <w:r w:rsidRPr="00D47EB8">
        <w:rPr>
          <w:rFonts w:hint="cs"/>
          <w:i w:val="0"/>
          <w:iCs w:val="0"/>
          <w:rtl/>
          <w:lang w:bidi="ar-EG"/>
        </w:rPr>
        <w:t>للدراسة</w:t>
      </w:r>
    </w:p>
    <w:p w14:paraId="3C58742A" w14:textId="77777777" w:rsidR="008D45AE" w:rsidRPr="00E732CF" w:rsidRDefault="008D45AE" w:rsidP="008D45AE">
      <w:pPr>
        <w:rPr>
          <w:lang w:bidi="ar-EG"/>
        </w:rPr>
      </w:pPr>
      <w:r w:rsidRPr="00E732CF">
        <w:rPr>
          <w:b/>
          <w:bCs/>
          <w:lang w:val="en-GB" w:bidi="ar-EG"/>
        </w:rPr>
        <w:t>1</w:t>
      </w:r>
      <w:r w:rsidRPr="00E732CF">
        <w:rPr>
          <w:rtl/>
          <w:lang w:bidi="ar-EG"/>
        </w:rPr>
        <w:tab/>
        <w:t xml:space="preserve">ما التغييرات التي يمكن إدخالها على تعاريف الخصائص الطيفية للإرسالات الواردة في المادة </w:t>
      </w:r>
      <w:r w:rsidRPr="00E732CF">
        <w:rPr>
          <w:lang w:val="en-GB" w:bidi="ar-EG"/>
        </w:rPr>
        <w:t>1</w:t>
      </w:r>
      <w:r w:rsidRPr="00E732CF">
        <w:rPr>
          <w:rtl/>
          <w:lang w:bidi="ar-EG"/>
        </w:rPr>
        <w:t xml:space="preserve">، القسم </w:t>
      </w:r>
      <w:r w:rsidRPr="00E732CF">
        <w:rPr>
          <w:lang w:bidi="ar-EG"/>
        </w:rPr>
        <w:t>VI</w:t>
      </w:r>
      <w:r w:rsidRPr="00E732CF">
        <w:rPr>
          <w:rtl/>
          <w:lang w:bidi="ar-EG"/>
        </w:rPr>
        <w:t>، من لوائح الراديو من أجل جعل هذه التعاريف، كل على حدة وكلها معاً، أكثر وضوحاً وسهلة التنظيم والمراقبة من خلال قياسات لتعزيز الاستعمال الفعال للطيف، وعلى وجه الخصوص:</w:t>
      </w:r>
    </w:p>
    <w:p w14:paraId="286D4833" w14:textId="77777777" w:rsidR="008D45AE" w:rsidRPr="00E732CF" w:rsidRDefault="008D45AE" w:rsidP="008D45AE">
      <w:pPr>
        <w:pStyle w:val="enumlev1"/>
        <w:rPr>
          <w:rtl/>
        </w:rPr>
      </w:pPr>
      <w:r w:rsidRPr="00E732CF">
        <w:rPr>
          <w:b/>
          <w:bCs/>
        </w:rPr>
        <w:t>1.1</w:t>
      </w:r>
      <w:r w:rsidRPr="00E732CF">
        <w:rPr>
          <w:rtl/>
        </w:rPr>
        <w:tab/>
        <w:t>كيف يمكن استعم</w:t>
      </w:r>
      <w:r>
        <w:rPr>
          <w:rtl/>
        </w:rPr>
        <w:t>ال مفهوم عرض النطاق المشغول بف</w:t>
      </w:r>
      <w:r>
        <w:rPr>
          <w:rFonts w:hint="cs"/>
          <w:rtl/>
        </w:rPr>
        <w:t>عّا</w:t>
      </w:r>
      <w:r w:rsidRPr="00E732CF">
        <w:rPr>
          <w:rtl/>
        </w:rPr>
        <w:t>لية في تحديد خصائص الإرسالات خارج النطاق؟</w:t>
      </w:r>
    </w:p>
    <w:p w14:paraId="0377A2C6" w14:textId="77777777" w:rsidR="008D45AE" w:rsidRPr="00D8428B" w:rsidRDefault="008D45AE" w:rsidP="008D45AE">
      <w:pPr>
        <w:pStyle w:val="enumlev1"/>
        <w:rPr>
          <w:spacing w:val="-2"/>
          <w:rtl/>
        </w:rPr>
      </w:pPr>
      <w:r w:rsidRPr="00D8428B">
        <w:rPr>
          <w:b/>
          <w:bCs/>
          <w:spacing w:val="-2"/>
        </w:rPr>
        <w:lastRenderedPageBreak/>
        <w:t>2.1</w:t>
      </w:r>
      <w:r w:rsidRPr="00D8428B">
        <w:rPr>
          <w:spacing w:val="-2"/>
          <w:rtl/>
        </w:rPr>
        <w:tab/>
      </w:r>
      <w:r w:rsidRPr="003D3191">
        <w:rPr>
          <w:rtl/>
        </w:rPr>
        <w:t xml:space="preserve">ما مزايا الانتقال من معيار القدرة الراهن في تعريف عرض النطاق المشغول الوارد في الرقم </w:t>
      </w:r>
      <w:r w:rsidRPr="003D3191">
        <w:t>153.1</w:t>
      </w:r>
      <w:r w:rsidRPr="003D3191">
        <w:rPr>
          <w:rtl/>
        </w:rPr>
        <w:t xml:space="preserve"> من لوائح الراديو</w:t>
      </w:r>
      <w:r w:rsidRPr="003D3191">
        <w:rPr>
          <w:rFonts w:hint="cs"/>
          <w:rtl/>
        </w:rPr>
        <w:t> </w:t>
      </w:r>
      <w:r w:rsidRPr="003D3191">
        <w:t>(</w:t>
      </w:r>
      <w:r w:rsidRPr="003D3191">
        <w:rPr>
          <w:i/>
          <w:iCs/>
        </w:rPr>
        <w:t>B</w:t>
      </w:r>
      <w:r w:rsidRPr="003D3191">
        <w:rPr>
          <w:i/>
          <w:iCs/>
          <w:vertAlign w:val="subscript"/>
        </w:rPr>
        <w:sym w:font="Symbol" w:char="F062"/>
      </w:r>
      <w:r w:rsidRPr="003D3191">
        <w:t>)</w:t>
      </w:r>
      <w:r w:rsidRPr="003D3191">
        <w:rPr>
          <w:rtl/>
        </w:rPr>
        <w:t xml:space="preserve"> إلى معيار المستوى </w:t>
      </w:r>
      <w:r w:rsidRPr="003D3191">
        <w:t>(</w:t>
      </w:r>
      <w:r w:rsidRPr="003D3191">
        <w:rPr>
          <w:i/>
          <w:iCs/>
        </w:rPr>
        <w:t>B</w:t>
      </w:r>
      <w:r w:rsidRPr="003D3191">
        <w:rPr>
          <w:i/>
          <w:iCs/>
          <w:vertAlign w:val="subscript"/>
        </w:rPr>
        <w:t>x</w:t>
      </w:r>
      <w:r w:rsidRPr="003D3191">
        <w:t>)</w:t>
      </w:r>
      <w:r w:rsidRPr="003D3191">
        <w:rPr>
          <w:rtl/>
        </w:rPr>
        <w:t xml:space="preserve"> حسب استخدامه في تعريف عرض النطاق </w:t>
      </w:r>
      <w:r w:rsidRPr="003D3191">
        <w:t>dB</w:t>
      </w:r>
      <w:r>
        <w:t> </w:t>
      </w:r>
      <w:r w:rsidRPr="003D3191">
        <w:rPr>
          <w:i/>
          <w:iCs/>
        </w:rPr>
        <w:t>x</w:t>
      </w:r>
      <w:r w:rsidRPr="003D3191">
        <w:rPr>
          <w:rtl/>
        </w:rPr>
        <w:t xml:space="preserve"> في</w:t>
      </w:r>
      <w:r w:rsidRPr="003D3191">
        <w:rPr>
          <w:rFonts w:hint="cs"/>
          <w:rtl/>
        </w:rPr>
        <w:t xml:space="preserve"> الفقرة </w:t>
      </w:r>
      <w:r w:rsidRPr="003D3191">
        <w:t>14.1</w:t>
      </w:r>
      <w:r w:rsidRPr="003D3191">
        <w:rPr>
          <w:rFonts w:hint="cs"/>
          <w:rtl/>
        </w:rPr>
        <w:t xml:space="preserve"> من </w:t>
      </w:r>
      <w:r w:rsidRPr="003D3191">
        <w:rPr>
          <w:rtl/>
        </w:rPr>
        <w:t>التوصية</w:t>
      </w:r>
      <w:r w:rsidRPr="003D3191">
        <w:rPr>
          <w:rFonts w:hint="cs"/>
          <w:rtl/>
        </w:rPr>
        <w:t> </w:t>
      </w:r>
      <w:r w:rsidRPr="003D3191">
        <w:t>ITU</w:t>
      </w:r>
      <w:r w:rsidRPr="003D3191">
        <w:noBreakHyphen/>
        <w:t>R SM.328</w:t>
      </w:r>
      <w:r w:rsidRPr="003D3191">
        <w:rPr>
          <w:rtl/>
        </w:rPr>
        <w:t xml:space="preserve">، وما قيم مستويات </w:t>
      </w:r>
      <w:r w:rsidRPr="003D3191">
        <w:t>dB </w:t>
      </w:r>
      <w:r w:rsidRPr="003D3191">
        <w:rPr>
          <w:i/>
          <w:iCs/>
        </w:rPr>
        <w:t>x</w:t>
      </w:r>
      <w:r w:rsidRPr="003D3191">
        <w:rPr>
          <w:rtl/>
        </w:rPr>
        <w:t xml:space="preserve"> التي يوصى بها للتطبيق؟</w:t>
      </w:r>
    </w:p>
    <w:p w14:paraId="1FAC3C08" w14:textId="77777777" w:rsidR="008D45AE" w:rsidRPr="00E732CF" w:rsidRDefault="008D45AE" w:rsidP="008D45AE">
      <w:pPr>
        <w:pStyle w:val="Call"/>
        <w:rPr>
          <w:rtl/>
          <w:lang w:bidi="ar-EG"/>
        </w:rPr>
      </w:pPr>
      <w:r w:rsidRPr="00E732CF">
        <w:rPr>
          <w:rtl/>
          <w:lang w:bidi="ar-EG"/>
        </w:rPr>
        <w:t>تقرر كذلك</w:t>
      </w:r>
    </w:p>
    <w:p w14:paraId="2D87B7EE" w14:textId="77777777" w:rsidR="008D45AE" w:rsidRPr="00E732CF" w:rsidRDefault="008D45AE" w:rsidP="008D45AE">
      <w:pPr>
        <w:rPr>
          <w:rtl/>
          <w:lang w:bidi="ar-EG"/>
        </w:rPr>
      </w:pPr>
      <w:r w:rsidRPr="00E732CF">
        <w:rPr>
          <w:b/>
          <w:bCs/>
          <w:lang w:val="en-GB" w:bidi="ar-EG"/>
        </w:rPr>
        <w:t>1</w:t>
      </w:r>
      <w:r w:rsidRPr="00E732CF">
        <w:rPr>
          <w:rtl/>
          <w:lang w:bidi="ar-EG"/>
        </w:rPr>
        <w:tab/>
        <w:t>أنه ينبغي إدراج نتائج الدراسات المذكورة أعلاه في توصية (</w:t>
      </w:r>
      <w:r>
        <w:rPr>
          <w:rFonts w:hint="cs"/>
          <w:rtl/>
          <w:lang w:bidi="ar-EG"/>
        </w:rPr>
        <w:t>توصيات</w:t>
      </w:r>
      <w:proofErr w:type="gramStart"/>
      <w:r w:rsidRPr="00E732CF">
        <w:rPr>
          <w:rtl/>
          <w:lang w:bidi="ar-EG"/>
        </w:rPr>
        <w:t>)؛</w:t>
      </w:r>
      <w:proofErr w:type="gramEnd"/>
    </w:p>
    <w:p w14:paraId="4AA7E1B4" w14:textId="77777777" w:rsidR="008D45AE" w:rsidRPr="00E732CF" w:rsidRDefault="008D45AE" w:rsidP="008D45AE">
      <w:pPr>
        <w:rPr>
          <w:rtl/>
          <w:lang w:bidi="ar-EG"/>
        </w:rPr>
      </w:pPr>
      <w:r w:rsidRPr="00E732CF">
        <w:rPr>
          <w:b/>
          <w:bCs/>
          <w:lang w:val="en-GB" w:bidi="ar-EG"/>
        </w:rPr>
        <w:t>2</w:t>
      </w:r>
      <w:r w:rsidRPr="00E732CF">
        <w:rPr>
          <w:rtl/>
          <w:lang w:bidi="ar-EG"/>
        </w:rPr>
        <w:tab/>
        <w:t xml:space="preserve">أنه ينبغي إتمام الدراسات المذكورة أعلاه بحلول عام </w:t>
      </w:r>
      <w:r w:rsidRPr="00E732CF">
        <w:rPr>
          <w:lang w:val="en-GB" w:bidi="ar-EG"/>
        </w:rPr>
        <w:t>202</w:t>
      </w:r>
      <w:r>
        <w:rPr>
          <w:lang w:val="en-GB" w:bidi="ar-EG"/>
        </w:rPr>
        <w:t>7</w:t>
      </w:r>
      <w:r w:rsidRPr="00E732CF">
        <w:rPr>
          <w:rtl/>
          <w:lang w:bidi="ar-EG"/>
        </w:rPr>
        <w:t>.</w:t>
      </w:r>
    </w:p>
    <w:p w14:paraId="3F722911" w14:textId="3C23F898" w:rsidR="00E61BE8" w:rsidRDefault="008D45AE" w:rsidP="008D45AE">
      <w:pPr>
        <w:spacing w:before="480"/>
        <w:rPr>
          <w:rtl/>
          <w:lang w:bidi="ar-EG"/>
        </w:rPr>
      </w:pPr>
      <w:r w:rsidRPr="00E732CF">
        <w:rPr>
          <w:rtl/>
          <w:lang w:bidi="ar-EG"/>
        </w:rPr>
        <w:t xml:space="preserve">الفئة: </w:t>
      </w:r>
      <w:r w:rsidRPr="00E732CF">
        <w:rPr>
          <w:lang w:bidi="ar-EG"/>
        </w:rPr>
        <w:t>S2</w:t>
      </w:r>
    </w:p>
    <w:p w14:paraId="199E58E1" w14:textId="77777777" w:rsidR="00E61BE8" w:rsidRDefault="00E61BE8" w:rsidP="00E61BE8">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E61BE8"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D496" w14:textId="77777777" w:rsidR="008D45AE" w:rsidRDefault="008D45AE" w:rsidP="006C3242">
      <w:pPr>
        <w:spacing w:before="0" w:line="240" w:lineRule="auto"/>
      </w:pPr>
      <w:r>
        <w:separator/>
      </w:r>
    </w:p>
  </w:endnote>
  <w:endnote w:type="continuationSeparator" w:id="0">
    <w:p w14:paraId="688E1AC8" w14:textId="77777777" w:rsidR="008D45AE" w:rsidRDefault="008D45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E64" w14:textId="77777777" w:rsidR="004B2136" w:rsidRDefault="004B2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F02E" w14:textId="57E4CBC8" w:rsidR="006C3242" w:rsidRPr="004B2136" w:rsidRDefault="006C3242" w:rsidP="004B2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1F61" w14:textId="0054FFC5" w:rsidR="0006468A" w:rsidRPr="004B2136" w:rsidRDefault="0006468A" w:rsidP="004B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1994" w14:textId="77777777" w:rsidR="008D45AE" w:rsidRDefault="008D45AE" w:rsidP="006C3242">
      <w:pPr>
        <w:spacing w:before="0" w:line="240" w:lineRule="auto"/>
      </w:pPr>
      <w:r>
        <w:separator/>
      </w:r>
    </w:p>
  </w:footnote>
  <w:footnote w:type="continuationSeparator" w:id="0">
    <w:p w14:paraId="6B22BAC5" w14:textId="77777777" w:rsidR="008D45AE" w:rsidRDefault="008D45AE" w:rsidP="006C3242">
      <w:pPr>
        <w:spacing w:before="0" w:line="240" w:lineRule="auto"/>
      </w:pPr>
      <w:r>
        <w:continuationSeparator/>
      </w:r>
    </w:p>
  </w:footnote>
  <w:footnote w:id="1">
    <w:p w14:paraId="50057685" w14:textId="091ED747" w:rsidR="008D45AE" w:rsidRPr="008D45AE" w:rsidRDefault="008D45AE" w:rsidP="008D45AE">
      <w:pPr>
        <w:pStyle w:val="FootnoteText"/>
        <w:ind w:left="283" w:hanging="283"/>
        <w:rPr>
          <w:sz w:val="18"/>
          <w:szCs w:val="18"/>
          <w:rtl/>
        </w:rPr>
      </w:pPr>
      <w:r w:rsidRPr="008D45AE">
        <w:rPr>
          <w:rStyle w:val="FootnoteReference"/>
          <w:rtl/>
        </w:rPr>
        <w:t>*</w:t>
      </w:r>
      <w:r w:rsidRPr="008D45AE">
        <w:rPr>
          <w:sz w:val="18"/>
          <w:szCs w:val="18"/>
          <w:rtl/>
        </w:rPr>
        <w:tab/>
      </w:r>
      <w:r w:rsidRPr="008D45AE">
        <w:rPr>
          <w:rFonts w:hint="cs"/>
          <w:spacing w:val="2"/>
          <w:sz w:val="18"/>
          <w:szCs w:val="18"/>
          <w:rtl/>
        </w:rPr>
        <w:t xml:space="preserve">قامت لجنة الدراسات </w:t>
      </w:r>
      <w:r w:rsidRPr="008D45AE">
        <w:rPr>
          <w:spacing w:val="2"/>
          <w:sz w:val="18"/>
          <w:szCs w:val="18"/>
          <w:lang w:val="es-ES"/>
        </w:rPr>
        <w:t>1</w:t>
      </w:r>
      <w:r w:rsidRPr="008D45AE">
        <w:rPr>
          <w:rFonts w:hint="cs"/>
          <w:spacing w:val="2"/>
          <w:sz w:val="18"/>
          <w:szCs w:val="18"/>
          <w:rtl/>
        </w:rPr>
        <w:t xml:space="preserve"> للاتصالات الراديوية في الأعوام </w:t>
      </w:r>
      <w:r w:rsidRPr="008D45AE">
        <w:rPr>
          <w:spacing w:val="2"/>
          <w:sz w:val="18"/>
          <w:szCs w:val="18"/>
          <w:lang w:val="es-ES"/>
        </w:rPr>
        <w:t>2017</w:t>
      </w:r>
      <w:r w:rsidRPr="008D45AE">
        <w:rPr>
          <w:spacing w:val="2"/>
          <w:sz w:val="18"/>
          <w:szCs w:val="18"/>
          <w:rtl/>
        </w:rPr>
        <w:t xml:space="preserve"> و</w:t>
      </w:r>
      <w:r w:rsidRPr="008D45AE">
        <w:rPr>
          <w:spacing w:val="2"/>
          <w:sz w:val="18"/>
          <w:szCs w:val="18"/>
          <w:lang w:val="es-ES"/>
        </w:rPr>
        <w:t>2019</w:t>
      </w:r>
      <w:r w:rsidRPr="008D45AE">
        <w:rPr>
          <w:spacing w:val="2"/>
          <w:sz w:val="18"/>
          <w:szCs w:val="18"/>
          <w:rtl/>
        </w:rPr>
        <w:t xml:space="preserve"> و2023</w:t>
      </w:r>
      <w:r w:rsidRPr="008D45AE">
        <w:rPr>
          <w:rFonts w:hint="cs"/>
          <w:spacing w:val="2"/>
          <w:sz w:val="18"/>
          <w:szCs w:val="18"/>
          <w:rtl/>
        </w:rPr>
        <w:t xml:space="preserve"> بتمديد تاريخ إنجاز الدراسات المتعلقة بهذه المسألة، كما قامت في عام </w:t>
      </w:r>
      <w:r w:rsidRPr="008D45AE">
        <w:rPr>
          <w:spacing w:val="2"/>
          <w:sz w:val="18"/>
          <w:szCs w:val="18"/>
          <w:lang w:val="es-ES"/>
        </w:rPr>
        <w:t>2019</w:t>
      </w:r>
      <w:r w:rsidRPr="008D45AE">
        <w:rPr>
          <w:rFonts w:hint="cs"/>
          <w:spacing w:val="2"/>
          <w:sz w:val="18"/>
          <w:szCs w:val="18"/>
          <w:rtl/>
        </w:rPr>
        <w:t xml:space="preserve"> بتغيير الفئة.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9415" w14:textId="77777777" w:rsidR="004B2136" w:rsidRDefault="004B2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DFB6" w14:textId="7294B374" w:rsidR="00447F32" w:rsidRPr="00447F32" w:rsidRDefault="00300B15" w:rsidP="00300B15">
    <w:pPr>
      <w:pStyle w:val="Header"/>
      <w:spacing w:before="120" w:after="240" w:line="192" w:lineRule="auto"/>
      <w:jc w:val="center"/>
      <w:rPr>
        <w:rFonts w:cs="Calibri"/>
        <w:sz w:val="20"/>
        <w:szCs w:val="20"/>
      </w:rPr>
    </w:pPr>
    <w:r>
      <w:t>-</w:t>
    </w: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t xml:space="preserve"> </w:t>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83FC" w14:textId="77777777" w:rsidR="004B2136" w:rsidRDefault="004B2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42A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CE9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4D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A3D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FED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E00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6F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EF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AA8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2A3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AE"/>
    <w:rsid w:val="0006468A"/>
    <w:rsid w:val="00090574"/>
    <w:rsid w:val="000C1C0E"/>
    <w:rsid w:val="000C548A"/>
    <w:rsid w:val="001C0169"/>
    <w:rsid w:val="001D1D50"/>
    <w:rsid w:val="001D6745"/>
    <w:rsid w:val="001E446E"/>
    <w:rsid w:val="001F0FFC"/>
    <w:rsid w:val="002154EE"/>
    <w:rsid w:val="002276D2"/>
    <w:rsid w:val="0023283D"/>
    <w:rsid w:val="0026373E"/>
    <w:rsid w:val="00271C43"/>
    <w:rsid w:val="00290728"/>
    <w:rsid w:val="002978F4"/>
    <w:rsid w:val="002B028D"/>
    <w:rsid w:val="002E6541"/>
    <w:rsid w:val="00300B15"/>
    <w:rsid w:val="00334924"/>
    <w:rsid w:val="003409BC"/>
    <w:rsid w:val="00357185"/>
    <w:rsid w:val="00383829"/>
    <w:rsid w:val="003F4B29"/>
    <w:rsid w:val="0042686F"/>
    <w:rsid w:val="004317D8"/>
    <w:rsid w:val="00434183"/>
    <w:rsid w:val="00443869"/>
    <w:rsid w:val="00447F32"/>
    <w:rsid w:val="004B2136"/>
    <w:rsid w:val="004E11DC"/>
    <w:rsid w:val="00525DDD"/>
    <w:rsid w:val="005409AC"/>
    <w:rsid w:val="0055516A"/>
    <w:rsid w:val="0058491B"/>
    <w:rsid w:val="00592EA5"/>
    <w:rsid w:val="00596822"/>
    <w:rsid w:val="005A3170"/>
    <w:rsid w:val="00677396"/>
    <w:rsid w:val="0069200F"/>
    <w:rsid w:val="006A65CB"/>
    <w:rsid w:val="006C3242"/>
    <w:rsid w:val="006C7CC0"/>
    <w:rsid w:val="006D2735"/>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339C0"/>
    <w:rsid w:val="00840B10"/>
    <w:rsid w:val="008513CB"/>
    <w:rsid w:val="008A7F84"/>
    <w:rsid w:val="008D45AE"/>
    <w:rsid w:val="0091702E"/>
    <w:rsid w:val="00923B0C"/>
    <w:rsid w:val="0094021C"/>
    <w:rsid w:val="00952F86"/>
    <w:rsid w:val="00982B28"/>
    <w:rsid w:val="009D313F"/>
    <w:rsid w:val="00A47A5A"/>
    <w:rsid w:val="00A6683B"/>
    <w:rsid w:val="00A97F94"/>
    <w:rsid w:val="00AA7EA2"/>
    <w:rsid w:val="00AF0607"/>
    <w:rsid w:val="00B03099"/>
    <w:rsid w:val="00B05BC8"/>
    <w:rsid w:val="00B64B47"/>
    <w:rsid w:val="00C002DE"/>
    <w:rsid w:val="00C53BF8"/>
    <w:rsid w:val="00C66157"/>
    <w:rsid w:val="00C674FE"/>
    <w:rsid w:val="00C67501"/>
    <w:rsid w:val="00C75633"/>
    <w:rsid w:val="00CE2EE1"/>
    <w:rsid w:val="00CE3349"/>
    <w:rsid w:val="00CE36E5"/>
    <w:rsid w:val="00CF27F5"/>
    <w:rsid w:val="00CF3FFD"/>
    <w:rsid w:val="00D10CCF"/>
    <w:rsid w:val="00D47EB8"/>
    <w:rsid w:val="00D77D0F"/>
    <w:rsid w:val="00DA1CF0"/>
    <w:rsid w:val="00DC1E02"/>
    <w:rsid w:val="00DC24B4"/>
    <w:rsid w:val="00DC5FB0"/>
    <w:rsid w:val="00DF16DC"/>
    <w:rsid w:val="00E45211"/>
    <w:rsid w:val="00E473C5"/>
    <w:rsid w:val="00E61BE8"/>
    <w:rsid w:val="00E92863"/>
    <w:rsid w:val="00EB796D"/>
    <w:rsid w:val="00F058DC"/>
    <w:rsid w:val="00F24FC4"/>
    <w:rsid w:val="00F2676C"/>
    <w:rsid w:val="00F84366"/>
    <w:rsid w:val="00F85089"/>
    <w:rsid w:val="00F905C8"/>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3E83"/>
  <w15:chartTrackingRefBased/>
  <w15:docId w15:val="{C7B6E8C7-81AE-4226-BC14-C80A1AA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596822"/>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enumlev10">
    <w:name w:val="enumlev1"/>
    <w:basedOn w:val="Normal"/>
    <w:next w:val="Normal"/>
    <w:link w:val="enumlev1Char"/>
    <w:qFormat/>
    <w:rsid w:val="008D45AE"/>
    <w:pPr>
      <w:tabs>
        <w:tab w:val="clear" w:pos="794"/>
        <w:tab w:val="left" w:pos="1134"/>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rsid w:val="008D45AE"/>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8D45AE"/>
    <w:rPr>
      <w:rFonts w:ascii="Dubai" w:hAnsi="Dubai" w:cs="Dubai"/>
      <w:i/>
      <w:iCs/>
    </w:rPr>
  </w:style>
  <w:style w:type="character" w:customStyle="1" w:styleId="NormalaftertitleChar">
    <w:name w:val="Normal after title Char"/>
    <w:basedOn w:val="DefaultParagraphFont"/>
    <w:link w:val="Normalaftertitle"/>
    <w:rsid w:val="008D45AE"/>
    <w:rPr>
      <w:rFonts w:ascii="Dubai" w:hAnsi="Dubai" w:cs="Dubai"/>
      <w:lang w:bidi="ar-SY"/>
    </w:rPr>
  </w:style>
  <w:style w:type="paragraph" w:customStyle="1" w:styleId="Questiondate">
    <w:name w:val="Question_date"/>
    <w:basedOn w:val="Normal"/>
    <w:rsid w:val="006D2735"/>
    <w:pPr>
      <w:jc w:val="righ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Limousin, Catherine</cp:lastModifiedBy>
  <cp:revision>3</cp:revision>
  <dcterms:created xsi:type="dcterms:W3CDTF">2023-06-29T06:12:00Z</dcterms:created>
  <dcterms:modified xsi:type="dcterms:W3CDTF">2023-06-29T06:17:00Z</dcterms:modified>
</cp:coreProperties>
</file>