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D8" w:rsidRPr="006D12B7" w:rsidRDefault="004820D8" w:rsidP="00E56B57">
      <w:pPr>
        <w:pStyle w:val="RecNo"/>
        <w:rPr>
          <w:rFonts w:eastAsia="SimSun"/>
          <w:rtl/>
          <w:lang w:bidi="ar-EG"/>
        </w:rPr>
      </w:pPr>
      <w:r w:rsidRPr="006D12B7">
        <w:rPr>
          <w:rFonts w:eastAsia="SimSun" w:hint="cs"/>
          <w:rtl/>
        </w:rPr>
        <w:t xml:space="preserve">الـرأي </w:t>
      </w:r>
      <w:r w:rsidRPr="006D12B7">
        <w:rPr>
          <w:rFonts w:eastAsia="SimSun"/>
        </w:rPr>
        <w:t>ITU-R </w:t>
      </w:r>
      <w:r w:rsidR="00A856C5">
        <w:rPr>
          <w:rFonts w:eastAsia="SimSun"/>
        </w:rPr>
        <w:t>99</w:t>
      </w:r>
      <w:r w:rsidR="001C0FE5">
        <w:rPr>
          <w:rFonts w:eastAsia="SimSun"/>
        </w:rPr>
        <w:t>-1</w:t>
      </w:r>
      <w:r w:rsidR="00E56B57">
        <w:rPr>
          <w:rStyle w:val="FootnoteReference"/>
          <w:rFonts w:eastAsia="SimSun"/>
          <w:rtl/>
        </w:rPr>
        <w:footnoteReference w:customMarkFollows="1" w:id="1"/>
        <w:t>*</w:t>
      </w:r>
    </w:p>
    <w:p w:rsidR="004820D8" w:rsidRPr="006D12B7" w:rsidRDefault="00A856C5" w:rsidP="00AE44E9">
      <w:pPr>
        <w:pStyle w:val="Rectitle"/>
        <w:rPr>
          <w:rFonts w:ascii="Times New Roman" w:eastAsia="SimSun" w:hAnsi="Times New Roman"/>
          <w:rtl/>
          <w:lang w:bidi="ar-EG"/>
        </w:rPr>
      </w:pPr>
      <w:r w:rsidRPr="00A856C5">
        <w:rPr>
          <w:rFonts w:ascii="Times New Roman" w:eastAsia="SimSun" w:hAnsi="Times New Roman" w:hint="cs"/>
          <w:rtl/>
        </w:rPr>
        <w:t>سلم التوقيت القائم</w:t>
      </w:r>
      <w:r w:rsidRPr="00A856C5">
        <w:rPr>
          <w:rFonts w:ascii="Times New Roman" w:eastAsia="SimSun" w:hAnsi="Times New Roman"/>
          <w:rtl/>
        </w:rPr>
        <w:t xml:space="preserve"> </w:t>
      </w:r>
      <w:r w:rsidRPr="00A856C5">
        <w:rPr>
          <w:rFonts w:ascii="Times New Roman" w:eastAsia="SimSun" w:hAnsi="Times New Roman" w:hint="cs"/>
          <w:rtl/>
        </w:rPr>
        <w:t xml:space="preserve">على </w:t>
      </w:r>
      <w:r w:rsidR="00AE44E9">
        <w:rPr>
          <w:rFonts w:ascii="Times New Roman" w:eastAsia="SimSun" w:hAnsi="Times New Roman" w:hint="cs"/>
          <w:rtl/>
        </w:rPr>
        <w:t>مدة دوران</w:t>
      </w:r>
      <w:r w:rsidRPr="00A856C5">
        <w:rPr>
          <w:rFonts w:ascii="Times New Roman" w:eastAsia="SimSun" w:hAnsi="Times New Roman"/>
          <w:rtl/>
        </w:rPr>
        <w:t xml:space="preserve"> </w:t>
      </w:r>
      <w:r w:rsidRPr="00A856C5">
        <w:rPr>
          <w:rFonts w:ascii="Times New Roman" w:eastAsia="SimSun" w:hAnsi="Times New Roman" w:hint="cs"/>
          <w:rtl/>
        </w:rPr>
        <w:t>النجوم النابضة</w:t>
      </w:r>
    </w:p>
    <w:p w:rsidR="004820D8" w:rsidRPr="00983066" w:rsidRDefault="004820D8" w:rsidP="00A856C5">
      <w:pPr>
        <w:pStyle w:val="Recdate"/>
        <w:rPr>
          <w:rtl/>
          <w:lang w:val="en-US"/>
        </w:rPr>
      </w:pPr>
      <w:r w:rsidRPr="006D12B7">
        <w:t>(</w:t>
      </w:r>
      <w:r w:rsidR="00A856C5">
        <w:t>2017-2003</w:t>
      </w:r>
      <w:r w:rsidRPr="006D12B7">
        <w:t>)</w:t>
      </w:r>
    </w:p>
    <w:p w:rsidR="00A856C5" w:rsidRPr="00FD7251" w:rsidRDefault="00A856C5" w:rsidP="00B164B8">
      <w:pPr>
        <w:pStyle w:val="Normalaftertitle"/>
        <w:rPr>
          <w:rtl/>
        </w:rPr>
      </w:pPr>
      <w:r w:rsidRPr="00FD7251">
        <w:rPr>
          <w:rFonts w:hint="cs"/>
          <w:rtl/>
        </w:rPr>
        <w:t xml:space="preserve">إن لجنة الدراسات </w:t>
      </w:r>
      <w:r w:rsidRPr="00FD7251">
        <w:t>7</w:t>
      </w:r>
      <w:r w:rsidRPr="00FD7251">
        <w:rPr>
          <w:rFonts w:hint="cs"/>
          <w:rtl/>
        </w:rPr>
        <w:t xml:space="preserve"> لقطاع الاتصالات الراديوية</w:t>
      </w:r>
      <w:r w:rsidR="00363390" w:rsidRPr="00FD7251">
        <w:rPr>
          <w:rFonts w:hint="cs"/>
          <w:rtl/>
        </w:rPr>
        <w:t xml:space="preserve"> بالاتحاد الدولي للاتصالات</w:t>
      </w:r>
      <w:r w:rsidRPr="00FD7251">
        <w:rPr>
          <w:rFonts w:hint="cs"/>
          <w:rtl/>
        </w:rPr>
        <w:t>،</w:t>
      </w:r>
    </w:p>
    <w:p w:rsidR="00A856C5" w:rsidRPr="00FD7251" w:rsidRDefault="00A856C5" w:rsidP="00B164B8">
      <w:pPr>
        <w:pStyle w:val="Call"/>
        <w:rPr>
          <w:rFonts w:ascii="Times New Roman" w:hAnsi="Times New Roman"/>
          <w:rtl/>
          <w:lang w:eastAsia="ja-JP" w:bidi="ar-EG"/>
        </w:rPr>
      </w:pPr>
      <w:r w:rsidRPr="00FD7251">
        <w:rPr>
          <w:rFonts w:ascii="Times New Roman" w:hAnsi="Times New Roman" w:hint="cs"/>
          <w:rtl/>
          <w:lang w:eastAsia="ja-JP" w:bidi="ar-EG"/>
        </w:rPr>
        <w:t>إذ تضع في اعتبارها</w:t>
      </w:r>
    </w:p>
    <w:p w:rsidR="00A856C5" w:rsidRPr="00FD7251" w:rsidRDefault="00B64F54" w:rsidP="00B64F54">
      <w:pPr>
        <w:rPr>
          <w:rtl/>
          <w:lang w:eastAsia="ja-JP" w:bidi="ar-EG"/>
        </w:rPr>
      </w:pPr>
      <w:r w:rsidRPr="00B64F54">
        <w:rPr>
          <w:i/>
          <w:iCs/>
          <w:rtl/>
          <w:lang w:eastAsia="ja-JP" w:bidi="ar-EG"/>
        </w:rPr>
        <w:t> ﺃ )</w:t>
      </w:r>
      <w:r w:rsidR="00A856C5" w:rsidRPr="00FD7251">
        <w:rPr>
          <w:rtl/>
          <w:lang w:eastAsia="ja-JP" w:bidi="ar-EG"/>
        </w:rPr>
        <w:tab/>
      </w:r>
      <w:r w:rsidR="00A856C5" w:rsidRPr="00FD7251">
        <w:rPr>
          <w:rFonts w:hint="cs"/>
          <w:rtl/>
          <w:lang w:eastAsia="ja-JP" w:bidi="ar-EG"/>
        </w:rPr>
        <w:t>أن عمليات رصد النجوم النابضة الراديوية المنفردة والثنائية مهمة للفيزياء الفلكية والقياس الدقيق للوقت على السواء؛</w:t>
      </w:r>
    </w:p>
    <w:p w:rsidR="00A856C5" w:rsidRPr="00FD7251" w:rsidRDefault="00B64F54" w:rsidP="00B64F54">
      <w:pPr>
        <w:rPr>
          <w:rtl/>
          <w:lang w:eastAsia="ja-JP" w:bidi="ar-EG"/>
        </w:rPr>
      </w:pPr>
      <w:r w:rsidRPr="00B64F54">
        <w:rPr>
          <w:i/>
          <w:iCs/>
          <w:rtl/>
          <w:lang w:eastAsia="ja-JP" w:bidi="ar-EG"/>
        </w:rPr>
        <w:t>ﺏ)</w:t>
      </w:r>
      <w:r w:rsidR="006A642A" w:rsidRPr="00FD7251">
        <w:rPr>
          <w:rFonts w:hint="cs"/>
          <w:rtl/>
          <w:lang w:eastAsia="ja-JP" w:bidi="ar-EG"/>
        </w:rPr>
        <w:tab/>
        <w:t>أن</w:t>
      </w:r>
      <w:r w:rsidR="00A856C5" w:rsidRPr="00FD7251">
        <w:rPr>
          <w:rFonts w:hint="cs"/>
          <w:rtl/>
          <w:lang w:eastAsia="ja-JP" w:bidi="ar-EG"/>
        </w:rPr>
        <w:t xml:space="preserve"> من بين النجوم النابضة التي </w:t>
      </w:r>
      <w:r w:rsidR="006A642A" w:rsidRPr="00FD7251">
        <w:rPr>
          <w:rFonts w:hint="cs"/>
          <w:rtl/>
          <w:lang w:eastAsia="ja-JP" w:bidi="ar-EG"/>
        </w:rPr>
        <w:t>يبلغ عددها</w:t>
      </w:r>
      <w:r w:rsidR="00A856C5" w:rsidRPr="00FD7251">
        <w:rPr>
          <w:rFonts w:hint="cs"/>
          <w:rtl/>
          <w:lang w:eastAsia="ja-JP" w:bidi="ar-EG"/>
        </w:rPr>
        <w:t xml:space="preserve"> أكثر من </w:t>
      </w:r>
      <w:r w:rsidR="00A856C5" w:rsidRPr="00FD7251">
        <w:rPr>
          <w:lang w:eastAsia="ja-JP" w:bidi="ar-EG"/>
        </w:rPr>
        <w:t>1</w:t>
      </w:r>
      <w:r w:rsidR="006A642A" w:rsidRPr="00FD7251">
        <w:rPr>
          <w:lang w:eastAsia="ja-JP" w:bidi="ar-EG"/>
        </w:rPr>
        <w:t> </w:t>
      </w:r>
      <w:r w:rsidR="00A856C5" w:rsidRPr="00FD7251">
        <w:rPr>
          <w:lang w:eastAsia="ja-JP" w:bidi="ar-EG"/>
        </w:rPr>
        <w:t>000</w:t>
      </w:r>
      <w:r w:rsidR="00A856C5" w:rsidRPr="00FD7251">
        <w:rPr>
          <w:rFonts w:hint="cs"/>
          <w:rtl/>
          <w:lang w:eastAsia="ja-JP" w:bidi="ar-EG"/>
        </w:rPr>
        <w:t xml:space="preserve"> نجم نابض والتي خضعت للرصد حتى الآن، هناك بعض النجوم النابضة التي </w:t>
      </w:r>
      <w:r w:rsidR="006A642A" w:rsidRPr="00FD7251">
        <w:rPr>
          <w:rFonts w:hint="cs"/>
          <w:rtl/>
          <w:lang w:eastAsia="ja-JP" w:bidi="ar-EG"/>
        </w:rPr>
        <w:t>تتسم مدة دورانها الذاتي ومدة دورانها في المدار بالاستقرار البالغ</w:t>
      </w:r>
      <w:r w:rsidR="00A856C5" w:rsidRPr="00FD7251">
        <w:rPr>
          <w:rFonts w:hint="cs"/>
          <w:rtl/>
          <w:lang w:eastAsia="ja-JP" w:bidi="ar-EG"/>
        </w:rPr>
        <w:t>، لا سيما النجوم النابضة</w:t>
      </w:r>
      <w:r w:rsidR="006A642A" w:rsidRPr="00FD7251">
        <w:rPr>
          <w:rFonts w:hint="cs"/>
          <w:rtl/>
          <w:lang w:eastAsia="ja-JP" w:bidi="ar-EG"/>
        </w:rPr>
        <w:t xml:space="preserve"> التي تقاس دورتها</w:t>
      </w:r>
      <w:r w:rsidR="00A856C5" w:rsidRPr="00FD7251">
        <w:rPr>
          <w:rFonts w:hint="cs"/>
          <w:rtl/>
          <w:lang w:eastAsia="ja-JP" w:bidi="ar-EG"/>
        </w:rPr>
        <w:t xml:space="preserve"> بالملي ثانية؛</w:t>
      </w:r>
    </w:p>
    <w:p w:rsidR="00A856C5" w:rsidRPr="00FD7251" w:rsidRDefault="00B64F54" w:rsidP="00B64F54">
      <w:pPr>
        <w:rPr>
          <w:rtl/>
          <w:lang w:eastAsia="ja-JP" w:bidi="ar-EG"/>
        </w:rPr>
      </w:pPr>
      <w:r w:rsidRPr="00B64F54">
        <w:rPr>
          <w:i/>
          <w:iCs/>
          <w:rtl/>
          <w:lang w:eastAsia="ja-JP" w:bidi="ar-EG"/>
        </w:rPr>
        <w:t>ﺝ</w:t>
      </w:r>
      <w:r>
        <w:rPr>
          <w:rFonts w:hint="cs"/>
          <w:i/>
          <w:iCs/>
          <w:rtl/>
          <w:lang w:eastAsia="ja-JP" w:bidi="ar-EG"/>
        </w:rPr>
        <w:t> </w:t>
      </w:r>
      <w:r w:rsidRPr="00B64F54">
        <w:rPr>
          <w:i/>
          <w:iCs/>
          <w:rtl/>
          <w:lang w:eastAsia="ja-JP" w:bidi="ar-EG"/>
        </w:rPr>
        <w:t>)</w:t>
      </w:r>
      <w:r w:rsidR="00F05973" w:rsidRPr="00FD7251">
        <w:rPr>
          <w:rFonts w:hint="cs"/>
          <w:rtl/>
          <w:lang w:eastAsia="ja-JP" w:bidi="ar-EG"/>
        </w:rPr>
        <w:tab/>
        <w:t>أن</w:t>
      </w:r>
      <w:r w:rsidR="00A856C5" w:rsidRPr="00FD7251">
        <w:rPr>
          <w:rFonts w:hint="cs"/>
          <w:rtl/>
          <w:lang w:eastAsia="ja-JP" w:bidi="ar-EG"/>
        </w:rPr>
        <w:t xml:space="preserve"> </w:t>
      </w:r>
      <w:r w:rsidR="00F05973" w:rsidRPr="00FD7251">
        <w:rPr>
          <w:rFonts w:hint="cs"/>
          <w:rtl/>
          <w:lang w:eastAsia="ja-JP" w:bidi="ar-EG"/>
        </w:rPr>
        <w:t>الزيادة في مدة</w:t>
      </w:r>
      <w:r w:rsidR="00A856C5" w:rsidRPr="00FD7251">
        <w:rPr>
          <w:rFonts w:hint="cs"/>
          <w:rtl/>
          <w:lang w:eastAsia="ja-JP" w:bidi="ar-EG"/>
        </w:rPr>
        <w:t xml:space="preserve"> الدوران</w:t>
      </w:r>
      <w:r w:rsidR="00F05973" w:rsidRPr="00FD7251">
        <w:rPr>
          <w:rFonts w:hint="cs"/>
          <w:rtl/>
          <w:lang w:eastAsia="ja-JP" w:bidi="ar-EG"/>
        </w:rPr>
        <w:t xml:space="preserve"> الذاتي</w:t>
      </w:r>
      <w:r w:rsidR="00A856C5" w:rsidRPr="00FD7251">
        <w:rPr>
          <w:rFonts w:hint="cs"/>
          <w:rtl/>
          <w:lang w:eastAsia="ja-JP" w:bidi="ar-EG"/>
        </w:rPr>
        <w:t xml:space="preserve"> الظاهرة فيما</w:t>
      </w:r>
      <w:r w:rsidR="00F05973" w:rsidRPr="00FD7251">
        <w:rPr>
          <w:rFonts w:hint="eastAsia"/>
          <w:rtl/>
          <w:lang w:eastAsia="ja-JP" w:bidi="ar-EG"/>
        </w:rPr>
        <w:t> </w:t>
      </w:r>
      <w:r w:rsidR="00A856C5" w:rsidRPr="00FD7251">
        <w:rPr>
          <w:rFonts w:hint="cs"/>
          <w:rtl/>
          <w:lang w:eastAsia="ja-JP" w:bidi="ar-EG"/>
        </w:rPr>
        <w:t>يتعلق بمعظم النجوم النابضة مع الوقت</w:t>
      </w:r>
      <w:r w:rsidR="000A6084" w:rsidRPr="00FD7251">
        <w:rPr>
          <w:rFonts w:hint="cs"/>
          <w:rtl/>
          <w:lang w:eastAsia="ja-JP" w:bidi="ar-EG"/>
        </w:rPr>
        <w:t xml:space="preserve"> هي زيادة معروفة تماماً،</w:t>
      </w:r>
      <w:r w:rsidR="00A856C5" w:rsidRPr="00FD7251">
        <w:rPr>
          <w:rFonts w:hint="cs"/>
          <w:rtl/>
          <w:lang w:eastAsia="ja-JP" w:bidi="ar-EG"/>
        </w:rPr>
        <w:t xml:space="preserve"> وأن هذه الزيادة تكون ضئيلة بمقدار </w:t>
      </w:r>
      <w:r w:rsidR="009419DA">
        <w:t>s/s </w:t>
      </w:r>
      <w:r w:rsidR="009419DA" w:rsidRPr="00FD7251">
        <w:rPr>
          <w:vertAlign w:val="superscript"/>
        </w:rPr>
        <w:t>21–</w:t>
      </w:r>
      <w:r w:rsidR="00A856C5" w:rsidRPr="00FD7251">
        <w:t>10</w:t>
      </w:r>
      <w:r w:rsidR="00A856C5" w:rsidRPr="00FD7251">
        <w:rPr>
          <w:rFonts w:hint="cs"/>
          <w:rtl/>
          <w:lang w:eastAsia="ja-JP" w:bidi="ar-EG"/>
        </w:rPr>
        <w:t>؛</w:t>
      </w:r>
    </w:p>
    <w:p w:rsidR="00A856C5" w:rsidRPr="00FD7251" w:rsidRDefault="00B64F54" w:rsidP="00B64F54">
      <w:pPr>
        <w:rPr>
          <w:rtl/>
          <w:lang w:eastAsia="ja-JP" w:bidi="ar-EG"/>
        </w:rPr>
      </w:pPr>
      <w:r w:rsidRPr="00B64F54">
        <w:rPr>
          <w:i/>
          <w:iCs/>
          <w:rtl/>
          <w:lang w:eastAsia="ja-JP" w:bidi="ar-EG"/>
        </w:rPr>
        <w:t>ﺩ )</w:t>
      </w:r>
      <w:r w:rsidR="00A856C5" w:rsidRPr="00FD7251">
        <w:rPr>
          <w:rFonts w:hint="cs"/>
          <w:rtl/>
          <w:lang w:eastAsia="ja-JP" w:bidi="ar-EG"/>
        </w:rPr>
        <w:tab/>
        <w:t xml:space="preserve">أن وقت وصول </w:t>
      </w:r>
      <w:r w:rsidR="00A856C5" w:rsidRPr="00FD7251">
        <w:rPr>
          <w:lang w:eastAsia="ja-JP" w:bidi="ar-EG"/>
        </w:rPr>
        <w:t>(TOA)</w:t>
      </w:r>
      <w:r w:rsidR="00A856C5" w:rsidRPr="00FD7251">
        <w:rPr>
          <w:rFonts w:hint="cs"/>
          <w:rtl/>
          <w:lang w:eastAsia="ja-JP" w:bidi="ar-EG"/>
        </w:rPr>
        <w:t xml:space="preserve"> </w:t>
      </w:r>
      <w:r w:rsidR="00D00F25" w:rsidRPr="00FD7251">
        <w:rPr>
          <w:rFonts w:hint="cs"/>
          <w:rtl/>
          <w:lang w:eastAsia="ja-JP" w:bidi="ar-EG"/>
        </w:rPr>
        <w:t xml:space="preserve">نبضات </w:t>
      </w:r>
      <w:r w:rsidR="00A856C5" w:rsidRPr="00FD7251">
        <w:rPr>
          <w:rFonts w:hint="cs"/>
          <w:rtl/>
          <w:lang w:eastAsia="ja-JP" w:bidi="ar-EG"/>
        </w:rPr>
        <w:t xml:space="preserve">النجوم النابضة إلى </w:t>
      </w:r>
      <w:r w:rsidR="00A856C5" w:rsidRPr="00FD7251">
        <w:rPr>
          <w:color w:val="000000"/>
          <w:rtl/>
        </w:rPr>
        <w:t>مركز كتلة النظام الشمسي</w:t>
      </w:r>
      <w:r w:rsidR="00A856C5" w:rsidRPr="00FD7251">
        <w:rPr>
          <w:rFonts w:hint="cs"/>
          <w:rtl/>
          <w:lang w:eastAsia="ja-JP"/>
        </w:rPr>
        <w:t xml:space="preserve"> يُقاس بدقة تبلغ حوالي </w:t>
      </w:r>
      <w:r w:rsidR="00D00F25" w:rsidRPr="00FD7251">
        <w:rPr>
          <w:lang w:eastAsia="ja-JP"/>
        </w:rPr>
        <w:t>ns </w:t>
      </w:r>
      <w:r w:rsidR="00A856C5" w:rsidRPr="00FD7251">
        <w:rPr>
          <w:lang w:eastAsia="ja-JP"/>
        </w:rPr>
        <w:t>100</w:t>
      </w:r>
      <w:r w:rsidR="00A856C5" w:rsidRPr="00FD7251">
        <w:rPr>
          <w:rFonts w:hint="cs"/>
          <w:rtl/>
          <w:lang w:eastAsia="ja-JP" w:bidi="ar-EG"/>
        </w:rPr>
        <w:t xml:space="preserve"> أو</w:t>
      </w:r>
      <w:r w:rsidR="00D00F25" w:rsidRPr="00FD7251">
        <w:rPr>
          <w:rFonts w:hint="eastAsia"/>
          <w:rtl/>
          <w:lang w:eastAsia="ja-JP" w:bidi="ar-EG"/>
        </w:rPr>
        <w:t> </w:t>
      </w:r>
      <w:r w:rsidR="00A856C5" w:rsidRPr="00FD7251">
        <w:rPr>
          <w:rFonts w:hint="cs"/>
          <w:rtl/>
          <w:lang w:eastAsia="ja-JP" w:bidi="ar-EG"/>
        </w:rPr>
        <w:t>أفضل بواسطة التقنيات الحديثة؛</w:t>
      </w:r>
    </w:p>
    <w:p w:rsidR="00A856C5" w:rsidRPr="00DD43A9" w:rsidRDefault="00B64F54" w:rsidP="00B64F54">
      <w:pPr>
        <w:rPr>
          <w:spacing w:val="-2"/>
          <w:rtl/>
          <w:lang w:eastAsia="ja-JP" w:bidi="ar-EG"/>
        </w:rPr>
      </w:pPr>
      <w:r w:rsidRPr="00B64F54">
        <w:rPr>
          <w:i/>
          <w:iCs/>
          <w:spacing w:val="-2"/>
          <w:rtl/>
          <w:lang w:eastAsia="ja-JP" w:bidi="ar-EG"/>
        </w:rPr>
        <w:t>ﻫ )</w:t>
      </w:r>
      <w:r w:rsidR="00A856C5" w:rsidRPr="00DD43A9">
        <w:rPr>
          <w:rFonts w:hint="cs"/>
          <w:spacing w:val="-2"/>
          <w:rtl/>
          <w:lang w:eastAsia="ja-JP" w:bidi="ar-EG"/>
        </w:rPr>
        <w:tab/>
        <w:t>أن عمليات رصد</w:t>
      </w:r>
      <w:r w:rsidR="005E0A8B" w:rsidRPr="00DD43A9">
        <w:rPr>
          <w:rFonts w:hint="cs"/>
          <w:spacing w:val="-2"/>
          <w:rtl/>
          <w:lang w:eastAsia="ja-JP" w:bidi="ar-EG"/>
        </w:rPr>
        <w:t xml:space="preserve"> مدة دوران</w:t>
      </w:r>
      <w:r w:rsidR="00A856C5" w:rsidRPr="00DD43A9">
        <w:rPr>
          <w:rFonts w:hint="cs"/>
          <w:spacing w:val="-2"/>
          <w:rtl/>
          <w:lang w:eastAsia="ja-JP" w:bidi="ar-EG"/>
        </w:rPr>
        <w:t xml:space="preserve"> العديد من النجوم النابضة </w:t>
      </w:r>
      <w:r w:rsidR="005E0A8B" w:rsidRPr="00DD43A9">
        <w:rPr>
          <w:rFonts w:hint="cs"/>
          <w:spacing w:val="-2"/>
          <w:rtl/>
          <w:lang w:eastAsia="ja-JP" w:bidi="ar-EG"/>
        </w:rPr>
        <w:t xml:space="preserve">التي تقاس دورتها </w:t>
      </w:r>
      <w:r w:rsidR="00A856C5" w:rsidRPr="00DD43A9">
        <w:rPr>
          <w:rFonts w:hint="cs"/>
          <w:spacing w:val="-2"/>
          <w:rtl/>
          <w:lang w:eastAsia="ja-JP" w:bidi="ar-EG"/>
        </w:rPr>
        <w:t xml:space="preserve">بالملي ثانية </w:t>
      </w:r>
      <w:r w:rsidR="00BE5840" w:rsidRPr="00DD43A9">
        <w:rPr>
          <w:rFonts w:hint="cs"/>
          <w:spacing w:val="-2"/>
          <w:rtl/>
          <w:lang w:eastAsia="ja-JP" w:bidi="ar-EG"/>
        </w:rPr>
        <w:t xml:space="preserve">على فترات موسعة أظهرت وقت وصول </w:t>
      </w:r>
      <w:r w:rsidR="00A856C5" w:rsidRPr="00DD43A9">
        <w:rPr>
          <w:rFonts w:hint="cs"/>
          <w:spacing w:val="-2"/>
          <w:rtl/>
          <w:lang w:eastAsia="ja-JP" w:bidi="ar-EG"/>
        </w:rPr>
        <w:t>ضوضاء شبه بيضاء مع مستوى</w:t>
      </w:r>
      <w:r w:rsidR="0001104A" w:rsidRPr="00DD43A9">
        <w:rPr>
          <w:rFonts w:hint="cs"/>
          <w:spacing w:val="-2"/>
          <w:rtl/>
          <w:lang w:eastAsia="ja-JP" w:bidi="ar-EG"/>
        </w:rPr>
        <w:t xml:space="preserve"> جذر متوسط تربيع</w:t>
      </w:r>
      <w:r w:rsidR="00A856C5" w:rsidRPr="00DD43A9">
        <w:rPr>
          <w:rFonts w:hint="cs"/>
          <w:spacing w:val="-2"/>
          <w:rtl/>
          <w:lang w:eastAsia="ja-JP" w:bidi="ar-EG"/>
        </w:rPr>
        <w:t xml:space="preserve"> </w:t>
      </w:r>
      <w:r w:rsidR="009332DD" w:rsidRPr="00DD43A9">
        <w:rPr>
          <w:spacing w:val="-2"/>
          <w:lang w:eastAsia="ja-JP" w:bidi="ar-EG"/>
        </w:rPr>
        <w:t>(</w:t>
      </w:r>
      <w:r w:rsidR="00A856C5" w:rsidRPr="00DD43A9">
        <w:rPr>
          <w:spacing w:val="-2"/>
          <w:lang w:eastAsia="ja-JP" w:bidi="ar-EG"/>
        </w:rPr>
        <w:t>RMS</w:t>
      </w:r>
      <w:r w:rsidR="009332DD" w:rsidRPr="00DD43A9">
        <w:rPr>
          <w:spacing w:val="-2"/>
          <w:lang w:eastAsia="ja-JP" w:bidi="ar-EG"/>
        </w:rPr>
        <w:t>)</w:t>
      </w:r>
      <w:r w:rsidR="00A856C5" w:rsidRPr="00DD43A9">
        <w:rPr>
          <w:rFonts w:hint="cs"/>
          <w:spacing w:val="-2"/>
          <w:rtl/>
          <w:lang w:eastAsia="ja-JP" w:bidi="ar-EG"/>
        </w:rPr>
        <w:t xml:space="preserve"> دون </w:t>
      </w:r>
      <w:r w:rsidR="00967288" w:rsidRPr="00DD43A9">
        <w:rPr>
          <w:spacing w:val="-2"/>
        </w:rPr>
        <w:sym w:font="Symbol" w:char="F06D"/>
      </w:r>
      <w:r w:rsidR="00967288" w:rsidRPr="00DD43A9">
        <w:rPr>
          <w:spacing w:val="-2"/>
        </w:rPr>
        <w:t>s</w:t>
      </w:r>
      <w:r w:rsidR="00967288" w:rsidRPr="00DD43A9">
        <w:rPr>
          <w:spacing w:val="-2"/>
          <w:lang w:eastAsia="ja-JP" w:bidi="ar-EG"/>
        </w:rPr>
        <w:t> </w:t>
      </w:r>
      <w:r w:rsidR="00A856C5" w:rsidRPr="00DD43A9">
        <w:rPr>
          <w:spacing w:val="-2"/>
          <w:lang w:eastAsia="ja-JP" w:bidi="ar-EG"/>
        </w:rPr>
        <w:t>2</w:t>
      </w:r>
      <w:r w:rsidR="00A856C5" w:rsidRPr="00DD43A9">
        <w:rPr>
          <w:rFonts w:hint="cs"/>
          <w:spacing w:val="-2"/>
          <w:rtl/>
          <w:lang w:eastAsia="ja-JP" w:bidi="ar-EG"/>
        </w:rPr>
        <w:t xml:space="preserve"> </w:t>
      </w:r>
      <w:r w:rsidR="00967288" w:rsidRPr="00DD43A9">
        <w:rPr>
          <w:rFonts w:hint="cs"/>
          <w:spacing w:val="-2"/>
          <w:rtl/>
          <w:lang w:eastAsia="ja-JP" w:bidi="ar-EG"/>
        </w:rPr>
        <w:t>على النحو المبين في</w:t>
      </w:r>
      <w:r w:rsidR="00967288" w:rsidRPr="00DD43A9">
        <w:rPr>
          <w:rFonts w:hint="eastAsia"/>
          <w:spacing w:val="-2"/>
          <w:rtl/>
          <w:lang w:eastAsia="ja-JP" w:bidi="ar-EG"/>
        </w:rPr>
        <w:t> </w:t>
      </w:r>
      <w:r w:rsidR="00A856C5" w:rsidRPr="00DD43A9">
        <w:rPr>
          <w:rFonts w:hint="cs"/>
          <w:spacing w:val="-2"/>
          <w:rtl/>
          <w:lang w:eastAsia="ja-JP" w:bidi="ar-EG"/>
        </w:rPr>
        <w:t>التقرير</w:t>
      </w:r>
      <w:r w:rsidR="00CF0367">
        <w:rPr>
          <w:rFonts w:hint="eastAsia"/>
          <w:spacing w:val="-2"/>
          <w:rtl/>
          <w:lang w:eastAsia="ja-JP" w:bidi="ar-EG"/>
        </w:rPr>
        <w:t> </w:t>
      </w:r>
      <w:r w:rsidR="00A856C5" w:rsidRPr="00DD43A9">
        <w:rPr>
          <w:spacing w:val="-2"/>
          <w:lang w:eastAsia="ja-JP" w:bidi="ar-EG"/>
        </w:rPr>
        <w:t>ITU</w:t>
      </w:r>
      <w:r w:rsidR="00967288" w:rsidRPr="00DD43A9">
        <w:rPr>
          <w:spacing w:val="-2"/>
          <w:lang w:eastAsia="ja-JP" w:bidi="ar-EG"/>
        </w:rPr>
        <w:noBreakHyphen/>
      </w:r>
      <w:r w:rsidR="00A856C5" w:rsidRPr="00DD43A9">
        <w:rPr>
          <w:spacing w:val="-2"/>
          <w:lang w:eastAsia="ja-JP" w:bidi="ar-EG"/>
        </w:rPr>
        <w:t>R RA.2009</w:t>
      </w:r>
      <w:r w:rsidR="00967288" w:rsidRPr="00DD43A9">
        <w:rPr>
          <w:spacing w:val="-2"/>
          <w:lang w:eastAsia="ja-JP" w:bidi="ar-EG"/>
        </w:rPr>
        <w:noBreakHyphen/>
      </w:r>
      <w:r w:rsidR="00A856C5" w:rsidRPr="00DD43A9">
        <w:rPr>
          <w:spacing w:val="-2"/>
          <w:lang w:eastAsia="ja-JP" w:bidi="ar-EG"/>
        </w:rPr>
        <w:t>1</w:t>
      </w:r>
      <w:r w:rsidR="00A856C5" w:rsidRPr="00DD43A9">
        <w:rPr>
          <w:rFonts w:hint="cs"/>
          <w:spacing w:val="-2"/>
          <w:rtl/>
          <w:lang w:eastAsia="ja-JP" w:bidi="ar-EG"/>
        </w:rPr>
        <w:t>؛</w:t>
      </w:r>
    </w:p>
    <w:p w:rsidR="00A856C5" w:rsidRPr="00FD7251" w:rsidRDefault="00B64F54" w:rsidP="00B64F54">
      <w:pPr>
        <w:rPr>
          <w:rtl/>
          <w:lang w:eastAsia="ja-JP" w:bidi="ar-EG"/>
        </w:rPr>
      </w:pPr>
      <w:r w:rsidRPr="00B64F54">
        <w:rPr>
          <w:i/>
          <w:iCs/>
          <w:rtl/>
          <w:lang w:eastAsia="ja-JP" w:bidi="ar-EG"/>
        </w:rPr>
        <w:t>ﻭ )</w:t>
      </w:r>
      <w:r w:rsidR="00533C54" w:rsidRPr="00FD7251">
        <w:rPr>
          <w:rFonts w:hint="cs"/>
          <w:rtl/>
          <w:lang w:eastAsia="ja-JP" w:bidi="ar-EG"/>
        </w:rPr>
        <w:tab/>
        <w:t xml:space="preserve">أن </w:t>
      </w:r>
      <w:r w:rsidR="00A856C5" w:rsidRPr="00FD7251">
        <w:rPr>
          <w:rFonts w:hint="cs"/>
          <w:rtl/>
          <w:lang w:eastAsia="ja-JP" w:bidi="ar-EG"/>
        </w:rPr>
        <w:t xml:space="preserve">عمر </w:t>
      </w:r>
      <w:r w:rsidR="00533C54" w:rsidRPr="00FD7251">
        <w:rPr>
          <w:rFonts w:hint="cs"/>
          <w:rtl/>
          <w:lang w:eastAsia="ja-JP" w:bidi="ar-EG"/>
        </w:rPr>
        <w:t>النجوم</w:t>
      </w:r>
      <w:r w:rsidR="00A856C5" w:rsidRPr="00FD7251">
        <w:rPr>
          <w:rFonts w:hint="cs"/>
          <w:rtl/>
          <w:lang w:eastAsia="ja-JP" w:bidi="ar-EG"/>
        </w:rPr>
        <w:t xml:space="preserve"> النابضة يبلغ عدة ملايين من الأعوام ويوفر مرجعاً زمنياً موحداً لجميع راصدي الأرض؛</w:t>
      </w:r>
    </w:p>
    <w:p w:rsidR="00A856C5" w:rsidRPr="00FD7251" w:rsidRDefault="00B64F54" w:rsidP="00B64F54">
      <w:pPr>
        <w:rPr>
          <w:rtl/>
          <w:lang w:eastAsia="ja-JP" w:bidi="ar-EG"/>
        </w:rPr>
      </w:pPr>
      <w:r w:rsidRPr="00B64F54">
        <w:rPr>
          <w:i/>
          <w:iCs/>
          <w:rtl/>
          <w:lang w:eastAsia="ja-JP" w:bidi="ar-EG"/>
        </w:rPr>
        <w:t>ﺯ )</w:t>
      </w:r>
      <w:r w:rsidR="00A856C5" w:rsidRPr="00FD7251">
        <w:rPr>
          <w:rFonts w:hint="cs"/>
          <w:rtl/>
          <w:lang w:eastAsia="ja-JP" w:bidi="ar-EG"/>
        </w:rPr>
        <w:tab/>
        <w:t xml:space="preserve">أن نطاق الترددات الراديوية </w:t>
      </w:r>
      <w:r w:rsidR="00A856C5" w:rsidRPr="00FD7251">
        <w:rPr>
          <w:lang w:eastAsia="ja-JP" w:bidi="ar-EG"/>
        </w:rPr>
        <w:t>Hz 1 427</w:t>
      </w:r>
      <w:r w:rsidR="00967288" w:rsidRPr="00FD7251">
        <w:rPr>
          <w:lang w:eastAsia="ja-JP" w:bidi="ar-EG"/>
        </w:rPr>
        <w:noBreakHyphen/>
      </w:r>
      <w:r w:rsidR="00A856C5" w:rsidRPr="00FD7251">
        <w:rPr>
          <w:lang w:eastAsia="ja-JP" w:bidi="ar-EG"/>
        </w:rPr>
        <w:t>1 400</w:t>
      </w:r>
      <w:r w:rsidR="00A856C5" w:rsidRPr="00FD7251">
        <w:rPr>
          <w:rFonts w:hint="cs"/>
          <w:rtl/>
          <w:lang w:eastAsia="ja-JP" w:bidi="ar-EG"/>
        </w:rPr>
        <w:t xml:space="preserve"> موزع لعمليات رصد الفلك الراديوي (الرقم</w:t>
      </w:r>
      <w:r w:rsidR="003253C1">
        <w:rPr>
          <w:rFonts w:hint="eastAsia"/>
          <w:rtl/>
          <w:lang w:eastAsia="ja-JP" w:bidi="ar-EG"/>
        </w:rPr>
        <w:t> </w:t>
      </w:r>
      <w:r w:rsidR="00A856C5" w:rsidRPr="00FD7251">
        <w:rPr>
          <w:b/>
          <w:bCs/>
          <w:lang w:eastAsia="ja-JP" w:bidi="ar-EG"/>
        </w:rPr>
        <w:t>340.5</w:t>
      </w:r>
      <w:r w:rsidR="00A856C5" w:rsidRPr="00FD7251">
        <w:rPr>
          <w:rFonts w:hint="cs"/>
          <w:rtl/>
          <w:lang w:eastAsia="ja-JP" w:bidi="ar-EG"/>
        </w:rPr>
        <w:t xml:space="preserve"> من لوائح الراديو) وأن هذا النطاق يوفر نسبة </w:t>
      </w:r>
      <w:r w:rsidR="00967288" w:rsidRPr="00FD7251">
        <w:rPr>
          <w:rFonts w:hint="cs"/>
          <w:rtl/>
          <w:lang w:eastAsia="ja-JP" w:bidi="ar-EG"/>
        </w:rPr>
        <w:t>ال</w:t>
      </w:r>
      <w:r w:rsidR="00A856C5" w:rsidRPr="00FD7251">
        <w:rPr>
          <w:rFonts w:hint="cs"/>
          <w:rtl/>
          <w:lang w:eastAsia="ja-JP" w:bidi="ar-EG"/>
        </w:rPr>
        <w:t xml:space="preserve">إشارة إلى الضوضاء </w:t>
      </w:r>
      <w:r w:rsidR="00967288" w:rsidRPr="00FD7251">
        <w:rPr>
          <w:rFonts w:hint="cs"/>
          <w:rtl/>
          <w:lang w:eastAsia="ja-JP" w:bidi="ar-EG"/>
        </w:rPr>
        <w:t>ال</w:t>
      </w:r>
      <w:r w:rsidR="00A856C5" w:rsidRPr="00FD7251">
        <w:rPr>
          <w:rFonts w:hint="cs"/>
          <w:rtl/>
          <w:lang w:eastAsia="ja-JP" w:bidi="ar-EG"/>
        </w:rPr>
        <w:t xml:space="preserve">مثلى لقياس </w:t>
      </w:r>
      <w:r w:rsidR="00967288" w:rsidRPr="00FD7251">
        <w:rPr>
          <w:rFonts w:hint="cs"/>
          <w:rtl/>
          <w:lang w:eastAsia="ja-JP" w:bidi="ar-EG"/>
        </w:rPr>
        <w:t>مدة دوران</w:t>
      </w:r>
      <w:r w:rsidR="00A856C5" w:rsidRPr="00FD7251">
        <w:rPr>
          <w:rFonts w:hint="cs"/>
          <w:rtl/>
          <w:lang w:eastAsia="ja-JP" w:bidi="ar-EG"/>
        </w:rPr>
        <w:t xml:space="preserve"> النجوم النابضة،</w:t>
      </w:r>
    </w:p>
    <w:p w:rsidR="00A856C5" w:rsidRPr="00FD7251" w:rsidRDefault="0070583F" w:rsidP="00B164B8">
      <w:pPr>
        <w:pStyle w:val="Call"/>
        <w:rPr>
          <w:rFonts w:ascii="Times New Roman" w:hAnsi="Times New Roman"/>
          <w:rtl/>
          <w:lang w:eastAsia="ja-JP" w:bidi="ar-EG"/>
        </w:rPr>
      </w:pPr>
      <w:r w:rsidRPr="00FD7251">
        <w:rPr>
          <w:rFonts w:ascii="Times New Roman" w:hAnsi="Times New Roman" w:hint="cs"/>
          <w:rtl/>
          <w:lang w:eastAsia="ja-JP" w:bidi="ar-EG"/>
        </w:rPr>
        <w:t>تُعرب عن الرأي التالي</w:t>
      </w:r>
    </w:p>
    <w:p w:rsidR="00A856C5" w:rsidRPr="00FD7251" w:rsidRDefault="00A856C5" w:rsidP="00E0681B">
      <w:pPr>
        <w:rPr>
          <w:rtl/>
          <w:lang w:eastAsia="ja-JP" w:bidi="ar-EG"/>
        </w:rPr>
      </w:pPr>
      <w:r w:rsidRPr="00FD7251">
        <w:rPr>
          <w:lang w:eastAsia="ja-JP" w:bidi="ar-EG"/>
        </w:rPr>
        <w:t>1</w:t>
      </w:r>
      <w:r w:rsidRPr="00FD7251">
        <w:rPr>
          <w:rtl/>
          <w:lang w:eastAsia="ja-JP" w:bidi="ar-EG"/>
        </w:rPr>
        <w:tab/>
      </w:r>
      <w:r w:rsidRPr="00FD7251">
        <w:rPr>
          <w:rFonts w:hint="cs"/>
          <w:rtl/>
          <w:lang w:eastAsia="ja-JP" w:bidi="ar-EG"/>
        </w:rPr>
        <w:t xml:space="preserve">أنه ينبغي تشجيع </w:t>
      </w:r>
      <w:r w:rsidR="00BC49E1" w:rsidRPr="00FD7251">
        <w:rPr>
          <w:rFonts w:hint="cs"/>
          <w:rtl/>
          <w:lang w:eastAsia="ja-JP" w:bidi="ar-EG"/>
        </w:rPr>
        <w:t>ال</w:t>
      </w:r>
      <w:r w:rsidRPr="00FD7251">
        <w:rPr>
          <w:rFonts w:hint="cs"/>
          <w:rtl/>
          <w:lang w:eastAsia="ja-JP" w:bidi="ar-EG"/>
        </w:rPr>
        <w:t>رصد طويل الأجل</w:t>
      </w:r>
      <w:r w:rsidR="00BC49E1" w:rsidRPr="00FD7251">
        <w:rPr>
          <w:rFonts w:hint="cs"/>
          <w:rtl/>
          <w:lang w:eastAsia="ja-JP" w:bidi="ar-EG"/>
        </w:rPr>
        <w:t xml:space="preserve"> لمدة دوران ا</w:t>
      </w:r>
      <w:r w:rsidRPr="00FD7251">
        <w:rPr>
          <w:rFonts w:hint="cs"/>
          <w:rtl/>
          <w:lang w:eastAsia="ja-JP" w:bidi="ar-EG"/>
        </w:rPr>
        <w:t xml:space="preserve">لنجوم النابضة المرجعية المستقرة جداً مثل </w:t>
      </w:r>
      <w:r w:rsidRPr="00FD7251">
        <w:t>J1600</w:t>
      </w:r>
      <w:r w:rsidR="00351082" w:rsidRPr="00FD7251">
        <w:noBreakHyphen/>
      </w:r>
      <w:r w:rsidRPr="00FD7251">
        <w:t>3053</w:t>
      </w:r>
      <w:r w:rsidRPr="00FD7251">
        <w:rPr>
          <w:rFonts w:hint="cs"/>
          <w:rtl/>
          <w:lang w:eastAsia="ja-JP" w:bidi="ar-EG"/>
        </w:rPr>
        <w:t xml:space="preserve"> و</w:t>
      </w:r>
      <w:r w:rsidRPr="00FD7251">
        <w:t>J1713</w:t>
      </w:r>
      <w:r w:rsidR="00765468">
        <w:t>+</w:t>
      </w:r>
      <w:r w:rsidRPr="00FD7251">
        <w:t>0747</w:t>
      </w:r>
      <w:r w:rsidRPr="00FD7251">
        <w:rPr>
          <w:rFonts w:hint="cs"/>
          <w:rtl/>
          <w:lang w:eastAsia="ja-JP" w:bidi="ar-EG"/>
        </w:rPr>
        <w:t xml:space="preserve"> و</w:t>
      </w:r>
      <w:r w:rsidRPr="00FD7251">
        <w:t>J1744</w:t>
      </w:r>
      <w:r w:rsidR="00351082" w:rsidRPr="00FD7251">
        <w:noBreakHyphen/>
      </w:r>
      <w:r w:rsidRPr="00FD7251">
        <w:t>1134</w:t>
      </w:r>
      <w:r w:rsidR="003253C1">
        <w:rPr>
          <w:rFonts w:hint="cs"/>
          <w:rtl/>
          <w:lang w:eastAsia="ja-JP" w:bidi="ar-EG"/>
        </w:rPr>
        <w:t xml:space="preserve"> </w:t>
      </w:r>
      <w:r w:rsidRPr="00FD7251">
        <w:rPr>
          <w:rFonts w:hint="cs"/>
          <w:rtl/>
          <w:lang w:eastAsia="ja-JP" w:bidi="ar-EG"/>
        </w:rPr>
        <w:t>و</w:t>
      </w:r>
      <w:r w:rsidRPr="00FD7251">
        <w:t>B1909</w:t>
      </w:r>
      <w:r w:rsidR="00351082" w:rsidRPr="00FD7251">
        <w:noBreakHyphen/>
      </w:r>
      <w:r w:rsidRPr="00FD7251">
        <w:t>374</w:t>
      </w:r>
      <w:r w:rsidRPr="00FD7251">
        <w:rPr>
          <w:rFonts w:hint="cs"/>
          <w:rtl/>
          <w:lang w:eastAsia="ja-JP" w:bidi="ar-EG"/>
        </w:rPr>
        <w:t xml:space="preserve"> وغيرها من النجوم النابضة الواردة في التقرير</w:t>
      </w:r>
      <w:r w:rsidR="00E0681B">
        <w:rPr>
          <w:rFonts w:hint="eastAsia"/>
          <w:rtl/>
          <w:lang w:eastAsia="ja-JP" w:bidi="ar-EG"/>
        </w:rPr>
        <w:t> </w:t>
      </w:r>
      <w:r w:rsidRPr="00FD7251">
        <w:rPr>
          <w:lang w:eastAsia="ja-JP" w:bidi="ar-EG"/>
        </w:rPr>
        <w:t>ITU</w:t>
      </w:r>
      <w:r w:rsidR="00351082" w:rsidRPr="00FD7251">
        <w:rPr>
          <w:lang w:eastAsia="ja-JP" w:bidi="ar-EG"/>
        </w:rPr>
        <w:noBreakHyphen/>
      </w:r>
      <w:r w:rsidRPr="00FD7251">
        <w:rPr>
          <w:lang w:eastAsia="ja-JP" w:bidi="ar-EG"/>
        </w:rPr>
        <w:t>R RA.209</w:t>
      </w:r>
      <w:r w:rsidR="00765468">
        <w:rPr>
          <w:lang w:eastAsia="ja-JP" w:bidi="ar-EG"/>
        </w:rPr>
        <w:t>9</w:t>
      </w:r>
      <w:r w:rsidR="00765468">
        <w:rPr>
          <w:lang w:eastAsia="ja-JP" w:bidi="ar-EG"/>
        </w:rPr>
        <w:noBreakHyphen/>
        <w:t>1</w:t>
      </w:r>
      <w:r w:rsidRPr="00FD7251">
        <w:rPr>
          <w:rFonts w:hint="cs"/>
          <w:rtl/>
          <w:lang w:eastAsia="ja-JP" w:bidi="ar-EG"/>
        </w:rPr>
        <w:t xml:space="preserve"> باستعمال أكبر التلسكوبات الراديوية في العالم؛</w:t>
      </w:r>
    </w:p>
    <w:p w:rsidR="00A856C5" w:rsidRPr="00FD7251" w:rsidRDefault="00A856C5" w:rsidP="00B164B8">
      <w:pPr>
        <w:rPr>
          <w:rtl/>
          <w:lang w:eastAsia="ja-JP" w:bidi="ar-EG"/>
        </w:rPr>
      </w:pPr>
      <w:r w:rsidRPr="00FD7251">
        <w:rPr>
          <w:lang w:eastAsia="ja-JP" w:bidi="ar-EG"/>
        </w:rPr>
        <w:t>2</w:t>
      </w:r>
      <w:r w:rsidRPr="00FD7251">
        <w:rPr>
          <w:rtl/>
          <w:lang w:eastAsia="ja-JP" w:bidi="ar-EG"/>
        </w:rPr>
        <w:tab/>
      </w:r>
      <w:r w:rsidRPr="00FD7251">
        <w:rPr>
          <w:rFonts w:hint="cs"/>
          <w:rtl/>
          <w:lang w:eastAsia="ja-JP" w:bidi="ar-EG"/>
        </w:rPr>
        <w:t>أنه ينبغي أن تتاح بصورة عامة الوثائق المتعلقة بالهوائي ونظام الاستقبال بما فيها قياسات حالات التأخير ذات الصلة فضلاً عن البيانات الخام، ليتسنى إنشاء ودمج وتحليل مجموعات البيانات طويلة الأجل الممتدة على منصات وحقب متعددة</w:t>
      </w:r>
      <w:r w:rsidR="00351082" w:rsidRPr="00FD7251">
        <w:rPr>
          <w:rFonts w:hint="cs"/>
          <w:rtl/>
          <w:lang w:eastAsia="ja-JP" w:bidi="ar-EG"/>
        </w:rPr>
        <w:t>؛</w:t>
      </w:r>
    </w:p>
    <w:p w:rsidR="00A856C5" w:rsidRPr="00FD7251" w:rsidRDefault="00A856C5" w:rsidP="00B164B8">
      <w:pPr>
        <w:rPr>
          <w:rtl/>
          <w:lang w:eastAsia="ja-JP" w:bidi="ar-EG"/>
        </w:rPr>
      </w:pPr>
      <w:r w:rsidRPr="00FD7251">
        <w:rPr>
          <w:lang w:eastAsia="ja-JP" w:bidi="ar-EG"/>
        </w:rPr>
        <w:t>3</w:t>
      </w:r>
      <w:r w:rsidRPr="00FD7251">
        <w:rPr>
          <w:rtl/>
          <w:lang w:eastAsia="ja-JP" w:bidi="ar-EG"/>
        </w:rPr>
        <w:tab/>
      </w:r>
      <w:r w:rsidRPr="00FD7251">
        <w:rPr>
          <w:rFonts w:hint="cs"/>
          <w:rtl/>
          <w:lang w:eastAsia="ja-JP" w:bidi="ar-EG"/>
        </w:rPr>
        <w:t>أنه ينبغي إنشاء سلم توقيت قائم على النجوم النابضة المرجعية لتوفير سلم توقيت فلكي جديد يتسم بدرجة عالية من الاستقرار طويل المدى.</w:t>
      </w:r>
    </w:p>
    <w:p w:rsidR="004208C1" w:rsidRPr="00FD7251" w:rsidRDefault="004208C1" w:rsidP="00B164B8">
      <w:pPr>
        <w:spacing w:before="600"/>
        <w:jc w:val="center"/>
        <w:rPr>
          <w:rtl/>
          <w:lang w:bidi="ar-EG"/>
        </w:rPr>
      </w:pPr>
      <w:r w:rsidRPr="00FD7251">
        <w:rPr>
          <w:rFonts w:hint="cs"/>
          <w:rtl/>
          <w:lang w:bidi="ar-EG"/>
        </w:rPr>
        <w:t>___________</w:t>
      </w:r>
    </w:p>
    <w:sectPr w:rsidR="004208C1" w:rsidRPr="00FD7251" w:rsidSect="008B5B5D">
      <w:headerReference w:type="default" r:id="rId10"/>
      <w:footerReference w:type="defaul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C5" w:rsidRDefault="000972C5" w:rsidP="00E07379">
      <w:pPr>
        <w:spacing w:before="0" w:line="240" w:lineRule="auto"/>
      </w:pPr>
      <w:r>
        <w:separator/>
      </w:r>
    </w:p>
  </w:endnote>
  <w:endnote w:type="continuationSeparator" w:id="0">
    <w:p w:rsidR="000972C5" w:rsidRDefault="000972C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4820D8">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4820D8">
      <w:rPr>
        <w:rFonts w:eastAsiaTheme="minorEastAsia" w:cs="Calibri"/>
        <w:noProof/>
        <w:sz w:val="16"/>
        <w:szCs w:val="16"/>
        <w:lang w:eastAsia="zh-CN"/>
      </w:rPr>
      <w:t>P:\ARA\ITU-R\OPINION\102\POOL\102A.docx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4820D8">
      <w:rPr>
        <w:rFonts w:eastAsiaTheme="minorEastAsia" w:cs="Calibri"/>
        <w:sz w:val="16"/>
        <w:szCs w:val="16"/>
        <w:lang w:eastAsia="zh-CN"/>
      </w:rPr>
      <w:t>416261</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C5" w:rsidRDefault="000972C5" w:rsidP="00E07379">
      <w:pPr>
        <w:spacing w:before="0" w:line="240" w:lineRule="auto"/>
      </w:pPr>
      <w:r>
        <w:separator/>
      </w:r>
    </w:p>
  </w:footnote>
  <w:footnote w:type="continuationSeparator" w:id="0">
    <w:p w:rsidR="000972C5" w:rsidRDefault="000972C5" w:rsidP="00E07379">
      <w:pPr>
        <w:spacing w:before="0" w:line="240" w:lineRule="auto"/>
      </w:pPr>
      <w:r>
        <w:continuationSeparator/>
      </w:r>
    </w:p>
  </w:footnote>
  <w:footnote w:id="1">
    <w:p w:rsidR="00E56B57" w:rsidRDefault="00E56B57" w:rsidP="00E56B57">
      <w:pPr>
        <w:pStyle w:val="FootnoteText"/>
      </w:pPr>
      <w:r>
        <w:rPr>
          <w:rStyle w:val="FootnoteReference"/>
          <w:rtl/>
        </w:rPr>
        <w:t>*</w:t>
      </w:r>
      <w:r>
        <w:rPr>
          <w:rtl/>
        </w:rPr>
        <w:tab/>
      </w:r>
      <w:r w:rsidRPr="001C0FE5">
        <w:rPr>
          <w:rFonts w:hint="cs"/>
          <w:spacing w:val="-4"/>
          <w:rtl/>
          <w:lang w:bidi="ar-SA"/>
        </w:rPr>
        <w:t xml:space="preserve">ينبغي رفع هذا الرأي إلى علم </w:t>
      </w:r>
      <w:r w:rsidRPr="001C0FE5">
        <w:rPr>
          <w:spacing w:val="-4"/>
          <w:rtl/>
          <w:lang w:bidi="ar-SA"/>
        </w:rPr>
        <w:t>الاتحاد الدولي لعلم الفلك</w:t>
      </w:r>
      <w:r w:rsidRPr="001C0FE5">
        <w:rPr>
          <w:rFonts w:hint="cs"/>
          <w:spacing w:val="-4"/>
          <w:rtl/>
          <w:lang w:bidi="ar-SA"/>
        </w:rPr>
        <w:t xml:space="preserve"> </w:t>
      </w:r>
      <w:r w:rsidRPr="001C0FE5">
        <w:rPr>
          <w:spacing w:val="-4"/>
        </w:rPr>
        <w:t>(IAU)</w:t>
      </w:r>
      <w:r w:rsidRPr="001C0FE5">
        <w:rPr>
          <w:rFonts w:hint="cs"/>
          <w:spacing w:val="-4"/>
          <w:rtl/>
          <w:lang w:bidi="ar-SA"/>
        </w:rPr>
        <w:t xml:space="preserve"> </w:t>
      </w:r>
      <w:r w:rsidRPr="001C0FE5">
        <w:rPr>
          <w:spacing w:val="-4"/>
          <w:rtl/>
          <w:lang w:bidi="ar-SA"/>
        </w:rPr>
        <w:t>والاتحاد الدولي لعلوم الراديو</w:t>
      </w:r>
      <w:r w:rsidRPr="001C0FE5">
        <w:rPr>
          <w:rFonts w:hint="cs"/>
          <w:spacing w:val="-4"/>
          <w:rtl/>
          <w:lang w:bidi="ar-SA"/>
        </w:rPr>
        <w:t xml:space="preserve"> </w:t>
      </w:r>
      <w:r w:rsidRPr="001C0FE5">
        <w:rPr>
          <w:spacing w:val="-4"/>
        </w:rPr>
        <w:t>(URSI)</w:t>
      </w:r>
      <w:r w:rsidRPr="001C0FE5">
        <w:rPr>
          <w:rFonts w:hint="cs"/>
          <w:spacing w:val="-4"/>
          <w:rtl/>
          <w:lang w:bidi="ar-SA"/>
        </w:rPr>
        <w:t xml:space="preserve"> واللجنة الاستشارية للتوقيت والتردد</w:t>
      </w:r>
      <w:r w:rsidRPr="001C0FE5">
        <w:rPr>
          <w:rFonts w:hint="eastAsia"/>
          <w:spacing w:val="-4"/>
          <w:rtl/>
          <w:lang w:bidi="ar-SA"/>
        </w:rPr>
        <w:t> </w:t>
      </w:r>
      <w:r w:rsidRPr="001C0FE5">
        <w:rPr>
          <w:spacing w:val="-4"/>
        </w:rPr>
        <w:t>(CCTF)</w:t>
      </w:r>
      <w:r w:rsidRPr="001C0FE5">
        <w:rPr>
          <w:rFonts w:hint="cs"/>
          <w:spacing w:val="-4"/>
          <w:rtl/>
          <w:lang w:bidi="ar-SA"/>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4820D8">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DD43A9">
      <w:rPr>
        <w:rFonts w:eastAsiaTheme="minorEastAsia" w:cs="Calibri"/>
        <w:noProof/>
        <w:sz w:val="20"/>
        <w:szCs w:val="20"/>
        <w:lang w:val="en-GB" w:eastAsia="zh-CN"/>
      </w:rPr>
      <w:t>2</w:t>
    </w:r>
    <w:r w:rsidRPr="00034CD2">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C5"/>
    <w:rsid w:val="0001104A"/>
    <w:rsid w:val="000124CC"/>
    <w:rsid w:val="00034CD2"/>
    <w:rsid w:val="000356B3"/>
    <w:rsid w:val="00041F8B"/>
    <w:rsid w:val="00046444"/>
    <w:rsid w:val="0006023B"/>
    <w:rsid w:val="00076276"/>
    <w:rsid w:val="0008638B"/>
    <w:rsid w:val="00090574"/>
    <w:rsid w:val="00092FC2"/>
    <w:rsid w:val="000972C5"/>
    <w:rsid w:val="000A1677"/>
    <w:rsid w:val="000A6084"/>
    <w:rsid w:val="000B407F"/>
    <w:rsid w:val="000C13C2"/>
    <w:rsid w:val="000F0B1C"/>
    <w:rsid w:val="000F1D42"/>
    <w:rsid w:val="000F4D07"/>
    <w:rsid w:val="00102A03"/>
    <w:rsid w:val="001040A3"/>
    <w:rsid w:val="00173915"/>
    <w:rsid w:val="001A66A0"/>
    <w:rsid w:val="001C0FE5"/>
    <w:rsid w:val="0022345D"/>
    <w:rsid w:val="00225854"/>
    <w:rsid w:val="0023283D"/>
    <w:rsid w:val="00252E0C"/>
    <w:rsid w:val="00276881"/>
    <w:rsid w:val="002916BE"/>
    <w:rsid w:val="002978F4"/>
    <w:rsid w:val="002B028D"/>
    <w:rsid w:val="002B435E"/>
    <w:rsid w:val="002C32DE"/>
    <w:rsid w:val="002C4DAE"/>
    <w:rsid w:val="002D6669"/>
    <w:rsid w:val="002E6541"/>
    <w:rsid w:val="002F5560"/>
    <w:rsid w:val="0030486B"/>
    <w:rsid w:val="003231B9"/>
    <w:rsid w:val="003253C1"/>
    <w:rsid w:val="003275AC"/>
    <w:rsid w:val="00333D29"/>
    <w:rsid w:val="003409F4"/>
    <w:rsid w:val="00351082"/>
    <w:rsid w:val="00357185"/>
    <w:rsid w:val="00361725"/>
    <w:rsid w:val="00363390"/>
    <w:rsid w:val="003C475F"/>
    <w:rsid w:val="003E4132"/>
    <w:rsid w:val="003F678F"/>
    <w:rsid w:val="004208C1"/>
    <w:rsid w:val="0042686F"/>
    <w:rsid w:val="00436409"/>
    <w:rsid w:val="004367CE"/>
    <w:rsid w:val="00443869"/>
    <w:rsid w:val="004712C6"/>
    <w:rsid w:val="004820D8"/>
    <w:rsid w:val="00497703"/>
    <w:rsid w:val="004F0F06"/>
    <w:rsid w:val="004F3AFA"/>
    <w:rsid w:val="00501E0E"/>
    <w:rsid w:val="005204D7"/>
    <w:rsid w:val="00530420"/>
    <w:rsid w:val="00533C54"/>
    <w:rsid w:val="00552BC5"/>
    <w:rsid w:val="0055516A"/>
    <w:rsid w:val="0056374C"/>
    <w:rsid w:val="0056614F"/>
    <w:rsid w:val="0057656F"/>
    <w:rsid w:val="00576731"/>
    <w:rsid w:val="0059285F"/>
    <w:rsid w:val="005A24B1"/>
    <w:rsid w:val="005B7B8A"/>
    <w:rsid w:val="005C3BA3"/>
    <w:rsid w:val="005D622B"/>
    <w:rsid w:val="005D6476"/>
    <w:rsid w:val="005D6C0D"/>
    <w:rsid w:val="005E0A8B"/>
    <w:rsid w:val="005E5283"/>
    <w:rsid w:val="005E58F5"/>
    <w:rsid w:val="00606660"/>
    <w:rsid w:val="006157A3"/>
    <w:rsid w:val="00620E60"/>
    <w:rsid w:val="00626828"/>
    <w:rsid w:val="0063315A"/>
    <w:rsid w:val="0065591D"/>
    <w:rsid w:val="00662C5A"/>
    <w:rsid w:val="00670AF5"/>
    <w:rsid w:val="006A642A"/>
    <w:rsid w:val="006C1556"/>
    <w:rsid w:val="006E61B0"/>
    <w:rsid w:val="006F267F"/>
    <w:rsid w:val="006F63F7"/>
    <w:rsid w:val="006F6F03"/>
    <w:rsid w:val="00704ECD"/>
    <w:rsid w:val="0070583F"/>
    <w:rsid w:val="00706D7A"/>
    <w:rsid w:val="00717176"/>
    <w:rsid w:val="00726AEC"/>
    <w:rsid w:val="007530CA"/>
    <w:rsid w:val="00765468"/>
    <w:rsid w:val="007704BF"/>
    <w:rsid w:val="007926BB"/>
    <w:rsid w:val="0079553D"/>
    <w:rsid w:val="007B01CC"/>
    <w:rsid w:val="007E7C6C"/>
    <w:rsid w:val="007F6238"/>
    <w:rsid w:val="007F646C"/>
    <w:rsid w:val="00801FCD"/>
    <w:rsid w:val="00803D7E"/>
    <w:rsid w:val="00803F08"/>
    <w:rsid w:val="008235CD"/>
    <w:rsid w:val="00823A07"/>
    <w:rsid w:val="00835FEC"/>
    <w:rsid w:val="008513CB"/>
    <w:rsid w:val="00853BA3"/>
    <w:rsid w:val="00865254"/>
    <w:rsid w:val="00872DEF"/>
    <w:rsid w:val="00874D9C"/>
    <w:rsid w:val="008905B9"/>
    <w:rsid w:val="008A1810"/>
    <w:rsid w:val="008A3A7F"/>
    <w:rsid w:val="008B5B5D"/>
    <w:rsid w:val="008E555C"/>
    <w:rsid w:val="00917694"/>
    <w:rsid w:val="009263CD"/>
    <w:rsid w:val="00930E6D"/>
    <w:rsid w:val="009332DD"/>
    <w:rsid w:val="009419DA"/>
    <w:rsid w:val="00967288"/>
    <w:rsid w:val="00972CA2"/>
    <w:rsid w:val="009810A6"/>
    <w:rsid w:val="00982B28"/>
    <w:rsid w:val="00983066"/>
    <w:rsid w:val="00984EA5"/>
    <w:rsid w:val="00992593"/>
    <w:rsid w:val="009C17E1"/>
    <w:rsid w:val="009C35ED"/>
    <w:rsid w:val="009F1C12"/>
    <w:rsid w:val="009F633E"/>
    <w:rsid w:val="00A124CB"/>
    <w:rsid w:val="00A21475"/>
    <w:rsid w:val="00A2167A"/>
    <w:rsid w:val="00A25A43"/>
    <w:rsid w:val="00A3295B"/>
    <w:rsid w:val="00A33775"/>
    <w:rsid w:val="00A42AE5"/>
    <w:rsid w:val="00A52B61"/>
    <w:rsid w:val="00A64820"/>
    <w:rsid w:val="00A71DD6"/>
    <w:rsid w:val="00A723C7"/>
    <w:rsid w:val="00A80E11"/>
    <w:rsid w:val="00A856C5"/>
    <w:rsid w:val="00A86C64"/>
    <w:rsid w:val="00A86D03"/>
    <w:rsid w:val="00A97F94"/>
    <w:rsid w:val="00AB1309"/>
    <w:rsid w:val="00AC2C52"/>
    <w:rsid w:val="00AD1503"/>
    <w:rsid w:val="00AE44E9"/>
    <w:rsid w:val="00AE7244"/>
    <w:rsid w:val="00AF3FEE"/>
    <w:rsid w:val="00B02F46"/>
    <w:rsid w:val="00B10C10"/>
    <w:rsid w:val="00B128FB"/>
    <w:rsid w:val="00B164B8"/>
    <w:rsid w:val="00B2000C"/>
    <w:rsid w:val="00B20ADE"/>
    <w:rsid w:val="00B30303"/>
    <w:rsid w:val="00B50C09"/>
    <w:rsid w:val="00B64F54"/>
    <w:rsid w:val="00B66B9A"/>
    <w:rsid w:val="00B82089"/>
    <w:rsid w:val="00B823E0"/>
    <w:rsid w:val="00B970AE"/>
    <w:rsid w:val="00BA1427"/>
    <w:rsid w:val="00BC49E1"/>
    <w:rsid w:val="00BE49D0"/>
    <w:rsid w:val="00BE5840"/>
    <w:rsid w:val="00BF03F6"/>
    <w:rsid w:val="00BF2C38"/>
    <w:rsid w:val="00C0090B"/>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0367"/>
    <w:rsid w:val="00CF3FFD"/>
    <w:rsid w:val="00CF5ED3"/>
    <w:rsid w:val="00D00F25"/>
    <w:rsid w:val="00D0494C"/>
    <w:rsid w:val="00D14BEB"/>
    <w:rsid w:val="00D21C89"/>
    <w:rsid w:val="00D45542"/>
    <w:rsid w:val="00D77D0F"/>
    <w:rsid w:val="00DA1CF0"/>
    <w:rsid w:val="00DB2271"/>
    <w:rsid w:val="00DB5659"/>
    <w:rsid w:val="00DC24B4"/>
    <w:rsid w:val="00DD43A9"/>
    <w:rsid w:val="00DD7A05"/>
    <w:rsid w:val="00DE5C96"/>
    <w:rsid w:val="00DF16DC"/>
    <w:rsid w:val="00DF5361"/>
    <w:rsid w:val="00E009A1"/>
    <w:rsid w:val="00E00D15"/>
    <w:rsid w:val="00E0681B"/>
    <w:rsid w:val="00E071BE"/>
    <w:rsid w:val="00E07379"/>
    <w:rsid w:val="00E14494"/>
    <w:rsid w:val="00E17033"/>
    <w:rsid w:val="00E22744"/>
    <w:rsid w:val="00E32189"/>
    <w:rsid w:val="00E42021"/>
    <w:rsid w:val="00E45211"/>
    <w:rsid w:val="00E45A7F"/>
    <w:rsid w:val="00E56B57"/>
    <w:rsid w:val="00E56D0F"/>
    <w:rsid w:val="00E7380C"/>
    <w:rsid w:val="00E74BE7"/>
    <w:rsid w:val="00E86CC9"/>
    <w:rsid w:val="00E96624"/>
    <w:rsid w:val="00EB7D2C"/>
    <w:rsid w:val="00F05973"/>
    <w:rsid w:val="00F126F1"/>
    <w:rsid w:val="00F2106A"/>
    <w:rsid w:val="00F36D8B"/>
    <w:rsid w:val="00F401D0"/>
    <w:rsid w:val="00F45F2B"/>
    <w:rsid w:val="00F57AE4"/>
    <w:rsid w:val="00F67150"/>
    <w:rsid w:val="00F84366"/>
    <w:rsid w:val="00F85089"/>
    <w:rsid w:val="00F85564"/>
    <w:rsid w:val="00F86CFA"/>
    <w:rsid w:val="00FA6C8E"/>
    <w:rsid w:val="00FD58BD"/>
    <w:rsid w:val="00FD7251"/>
    <w:rsid w:val="00FE5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587F785-74C6-4DF4-8366-DE01609A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5"/>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link w:val="RecNoChar"/>
    <w:rsid w:val="002916BE"/>
    <w:pPr>
      <w:keepNext/>
      <w:keepLines/>
      <w:spacing w:before="360" w:after="120"/>
      <w:jc w:val="center"/>
    </w:pPr>
    <w:rPr>
      <w:sz w:val="28"/>
      <w:szCs w:val="40"/>
    </w:rPr>
  </w:style>
  <w:style w:type="paragraph" w:customStyle="1" w:styleId="Rectitle">
    <w:name w:val="Rec_title"/>
    <w:basedOn w:val="Annextitle"/>
    <w:link w:val="RectitleChar"/>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Normalaftertitle0">
    <w:name w:val="Normal_after_title"/>
    <w:basedOn w:val="Normal"/>
    <w:next w:val="Normal"/>
    <w:rsid w:val="004820D8"/>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eastAsia="SimSun"/>
      <w:lang w:val="en-GB"/>
    </w:rPr>
  </w:style>
  <w:style w:type="paragraph" w:customStyle="1" w:styleId="Recdate">
    <w:name w:val="Rec_date"/>
    <w:basedOn w:val="Normal"/>
    <w:next w:val="Normalaftertitle0"/>
    <w:rsid w:val="004820D8"/>
    <w:pPr>
      <w:keepNext/>
      <w:keepLines/>
      <w:tabs>
        <w:tab w:val="clear" w:pos="1134"/>
      </w:tabs>
      <w:overflowPunct w:val="0"/>
      <w:autoSpaceDE w:val="0"/>
      <w:autoSpaceDN w:val="0"/>
      <w:adjustRightInd w:val="0"/>
      <w:jc w:val="right"/>
      <w:textAlignment w:val="baseline"/>
    </w:pPr>
    <w:rPr>
      <w:rFonts w:eastAsia="SimSun"/>
      <w:lang w:val="en-GB"/>
    </w:rPr>
  </w:style>
  <w:style w:type="character" w:customStyle="1" w:styleId="RecNoChar">
    <w:name w:val="Rec_No Char"/>
    <w:link w:val="RecNo"/>
    <w:rsid w:val="004820D8"/>
    <w:rPr>
      <w:rFonts w:ascii="Times New Roman" w:eastAsia="Times New Roman" w:hAnsi="Times New Roman" w:cs="Traditional Arabic"/>
      <w:sz w:val="28"/>
      <w:szCs w:val="40"/>
      <w:lang w:eastAsia="en-US"/>
    </w:rPr>
  </w:style>
  <w:style w:type="character" w:customStyle="1" w:styleId="RectitleChar">
    <w:name w:val="Rec_title Char"/>
    <w:link w:val="Rectitle"/>
    <w:rsid w:val="004820D8"/>
    <w:rPr>
      <w:rFonts w:ascii="Times New Roman Bold" w:eastAsia="Times New Roman" w:hAnsi="Times New Roman Bold"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terms/"/>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e10a323-94a9-4e93-88b4-ea964576960d"/>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112B5-684D-433F-9A53-BAEAA399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55</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ITU</cp:lastModifiedBy>
  <cp:revision>40</cp:revision>
  <cp:lastPrinted>2016-06-07T13:25:00Z</cp:lastPrinted>
  <dcterms:created xsi:type="dcterms:W3CDTF">2017-06-02T13:15:00Z</dcterms:created>
  <dcterms:modified xsi:type="dcterms:W3CDTF">2017-06-05T14:47:00Z</dcterms:modified>
  <cp:category>Conference document</cp:category>
</cp:coreProperties>
</file>