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3E3" w:rsidRPr="003063E3" w:rsidRDefault="003063E3" w:rsidP="00200901">
      <w:pPr>
        <w:pStyle w:val="RecNo"/>
        <w:rPr>
          <w:rFonts w:eastAsiaTheme="minorEastAsia"/>
          <w:szCs w:val="22"/>
          <w:lang w:eastAsia="zh-CN"/>
        </w:rPr>
      </w:pPr>
      <w:r>
        <w:rPr>
          <w:lang w:eastAsia="zh-CN"/>
        </w:rPr>
        <w:t>ITU-R</w:t>
      </w:r>
      <w:r>
        <w:rPr>
          <w:rFonts w:eastAsiaTheme="minorEastAsia" w:hint="eastAsia"/>
          <w:lang w:eastAsia="zh-CN"/>
        </w:rPr>
        <w:t>第</w:t>
      </w:r>
      <w:r>
        <w:rPr>
          <w:lang w:eastAsia="zh-CN"/>
        </w:rPr>
        <w:t>10</w:t>
      </w:r>
      <w:r w:rsidR="00200901">
        <w:rPr>
          <w:lang w:eastAsia="zh-CN"/>
        </w:rPr>
        <w:t>3</w:t>
      </w:r>
      <w:r>
        <w:rPr>
          <w:rFonts w:eastAsiaTheme="minorEastAsia" w:hint="eastAsia"/>
          <w:lang w:eastAsia="zh-CN"/>
        </w:rPr>
        <w:t>号意见</w:t>
      </w:r>
    </w:p>
    <w:p w:rsidR="003063E3" w:rsidRPr="003063E3" w:rsidRDefault="00200901" w:rsidP="00200901">
      <w:pPr>
        <w:pStyle w:val="Rectitle"/>
        <w:rPr>
          <w:lang w:eastAsia="zh-CN"/>
        </w:rPr>
      </w:pPr>
      <w:r>
        <w:rPr>
          <w:rFonts w:ascii="SimSun" w:eastAsia="SimSun" w:hAnsi="SimSun" w:cs="SimSun" w:hint="eastAsia"/>
          <w:lang w:eastAsia="zh-CN"/>
        </w:rPr>
        <w:t>智能/</w:t>
      </w:r>
      <w:r w:rsidR="00CA303B">
        <w:rPr>
          <w:rFonts w:ascii="SimSun" w:eastAsia="SimSun" w:hAnsi="SimSun" w:cs="SimSun" w:hint="eastAsia"/>
          <w:lang w:eastAsia="zh-CN"/>
        </w:rPr>
        <w:t>移动电话和平板电脑中启用</w:t>
      </w:r>
      <w:r>
        <w:rPr>
          <w:rFonts w:ascii="SimSun" w:eastAsia="SimSun" w:hAnsi="SimSun" w:cs="SimSun" w:hint="eastAsia"/>
          <w:lang w:eastAsia="zh-CN"/>
        </w:rPr>
        <w:t>广播接收机</w:t>
      </w:r>
    </w:p>
    <w:p w:rsidR="003063E3" w:rsidRPr="00CB1411" w:rsidRDefault="003063E3" w:rsidP="00200901">
      <w:pPr>
        <w:pStyle w:val="Questiondate"/>
        <w:rPr>
          <w:lang w:eastAsia="zh-CN"/>
        </w:rPr>
      </w:pPr>
      <w:r>
        <w:rPr>
          <w:rFonts w:eastAsiaTheme="minorEastAsia" w:hint="eastAsia"/>
          <w:lang w:eastAsia="zh-CN"/>
        </w:rPr>
        <w:t>（</w:t>
      </w:r>
      <w:r>
        <w:rPr>
          <w:lang w:eastAsia="zh-CN"/>
        </w:rPr>
        <w:t>201</w:t>
      </w:r>
      <w:r w:rsidR="00200901">
        <w:rPr>
          <w:rFonts w:eastAsiaTheme="minorEastAsia" w:hint="eastAsia"/>
          <w:lang w:eastAsia="zh-CN"/>
        </w:rPr>
        <w:t>7</w:t>
      </w:r>
      <w:r>
        <w:rPr>
          <w:rFonts w:eastAsiaTheme="minorEastAsia" w:hint="eastAsia"/>
          <w:lang w:eastAsia="zh-CN"/>
        </w:rPr>
        <w:t>年）</w:t>
      </w:r>
    </w:p>
    <w:p w:rsidR="003063E3" w:rsidRPr="00691A3B" w:rsidRDefault="003063E3" w:rsidP="00691A3B">
      <w:pPr>
        <w:pStyle w:val="Normalaftertitle"/>
        <w:rPr>
          <w:lang w:eastAsia="zh-CN"/>
        </w:rPr>
      </w:pPr>
      <w:r w:rsidRPr="00691A3B">
        <w:rPr>
          <w:rFonts w:ascii="SimSun" w:eastAsia="SimSun" w:hAnsi="SimSun" w:cs="SimSun" w:hint="eastAsia"/>
          <w:lang w:eastAsia="zh-CN"/>
        </w:rPr>
        <w:t>国际电联无线电通信</w:t>
      </w:r>
      <w:r w:rsidRPr="00691A3B">
        <w:rPr>
          <w:rFonts w:eastAsia="SimSun" w:hint="eastAsia"/>
          <w:lang w:eastAsia="zh-CN"/>
        </w:rPr>
        <w:t>第</w:t>
      </w:r>
      <w:r w:rsidRPr="00691A3B">
        <w:rPr>
          <w:rFonts w:eastAsia="SimSun" w:hint="eastAsia"/>
          <w:lang w:eastAsia="zh-CN"/>
        </w:rPr>
        <w:t>6</w:t>
      </w:r>
      <w:r w:rsidRPr="00691A3B">
        <w:rPr>
          <w:rFonts w:ascii="SimSun" w:eastAsia="SimSun" w:hAnsi="SimSun" w:cs="SimSun" w:hint="eastAsia"/>
          <w:lang w:eastAsia="zh-CN"/>
        </w:rPr>
        <w:t>研究组，</w:t>
      </w:r>
      <w:bookmarkStart w:id="0" w:name="_GoBack"/>
      <w:bookmarkEnd w:id="0"/>
    </w:p>
    <w:p w:rsidR="003063E3" w:rsidRPr="00CB1411" w:rsidRDefault="003063E3" w:rsidP="003063E3">
      <w:pPr>
        <w:pStyle w:val="Call"/>
        <w:rPr>
          <w:lang w:eastAsia="zh-CN"/>
        </w:rPr>
      </w:pPr>
      <w:r w:rsidRPr="00D831B3">
        <w:rPr>
          <w:lang w:eastAsia="zh-CN"/>
        </w:rPr>
        <w:t>考虑到</w:t>
      </w:r>
    </w:p>
    <w:p w:rsidR="003063E3" w:rsidRPr="00CB1411" w:rsidRDefault="003063E3" w:rsidP="00200901">
      <w:pPr>
        <w:rPr>
          <w:lang w:eastAsia="zh-CN"/>
        </w:rPr>
      </w:pPr>
      <w:r w:rsidRPr="00AC4141">
        <w:rPr>
          <w:i/>
          <w:iCs/>
          <w:lang w:eastAsia="zh-CN"/>
        </w:rPr>
        <w:t>a)</w:t>
      </w:r>
      <w:r>
        <w:rPr>
          <w:lang w:eastAsia="zh-CN"/>
        </w:rPr>
        <w:tab/>
      </w:r>
      <w:r w:rsidR="00200901" w:rsidRPr="00200901">
        <w:rPr>
          <w:lang w:val="en-US" w:eastAsia="zh-CN"/>
        </w:rPr>
        <w:t>ITU-R BT.2299</w:t>
      </w:r>
      <w:r w:rsidR="00200901">
        <w:rPr>
          <w:rFonts w:eastAsiaTheme="minorEastAsia" w:hint="eastAsia"/>
          <w:lang w:val="en-US" w:eastAsia="zh-CN"/>
        </w:rPr>
        <w:t>报告汇总了地面广播在紧急情况下向公众传播信息方面可发挥重要作用的有力证据；</w:t>
      </w:r>
    </w:p>
    <w:p w:rsidR="00200901" w:rsidRDefault="00200901" w:rsidP="00200901">
      <w:pPr>
        <w:rPr>
          <w:lang w:eastAsia="zh-CN"/>
        </w:rPr>
      </w:pPr>
      <w:r>
        <w:rPr>
          <w:i/>
          <w:iCs/>
          <w:szCs w:val="24"/>
          <w:lang w:val="en-US" w:eastAsia="zh-CN"/>
        </w:rPr>
        <w:t>b)</w:t>
      </w:r>
      <w:r>
        <w:rPr>
          <w:iCs/>
          <w:szCs w:val="24"/>
          <w:lang w:val="en-US" w:eastAsia="zh-CN"/>
        </w:rPr>
        <w:tab/>
      </w:r>
      <w:r>
        <w:rPr>
          <w:rFonts w:eastAsiaTheme="minorEastAsia" w:hint="eastAsia"/>
          <w:iCs/>
          <w:szCs w:val="24"/>
          <w:lang w:val="en-US" w:eastAsia="zh-CN"/>
        </w:rPr>
        <w:t>给定地区多种无线电和电视业务在地理上的多样性提高了广播业务的整体强健性，业务中断期间极少发生彻底丧失服务的情况；</w:t>
      </w:r>
    </w:p>
    <w:p w:rsidR="00200901" w:rsidRDefault="00200901" w:rsidP="00200901">
      <w:pPr>
        <w:rPr>
          <w:iCs/>
          <w:szCs w:val="24"/>
          <w:lang w:val="en-US" w:eastAsia="zh-CN"/>
        </w:rPr>
      </w:pPr>
      <w:r>
        <w:rPr>
          <w:i/>
          <w:iCs/>
          <w:szCs w:val="24"/>
          <w:lang w:val="en-US" w:eastAsia="zh-CN"/>
        </w:rPr>
        <w:t>c)</w:t>
      </w:r>
      <w:r>
        <w:rPr>
          <w:iCs/>
          <w:szCs w:val="24"/>
          <w:lang w:val="en-US" w:eastAsia="zh-CN"/>
        </w:rPr>
        <w:tab/>
      </w:r>
      <w:r w:rsidR="00CA303B">
        <w:rPr>
          <w:rFonts w:eastAsiaTheme="minorEastAsia" w:hint="eastAsia"/>
          <w:iCs/>
          <w:szCs w:val="24"/>
          <w:lang w:val="en-US" w:eastAsia="zh-CN"/>
        </w:rPr>
        <w:t>无论受灾地区出现了</w:t>
      </w:r>
      <w:r>
        <w:rPr>
          <w:rFonts w:eastAsiaTheme="minorEastAsia" w:hint="eastAsia"/>
          <w:iCs/>
          <w:szCs w:val="24"/>
          <w:lang w:val="en-US" w:eastAsia="zh-CN"/>
        </w:rPr>
        <w:t>何种混乱和中断情况，无线电接收机通常均非常可靠；</w:t>
      </w:r>
    </w:p>
    <w:p w:rsidR="00200901" w:rsidRDefault="00200901" w:rsidP="00D13AA5">
      <w:pPr>
        <w:rPr>
          <w:lang w:val="en-US" w:eastAsia="zh-CN"/>
        </w:rPr>
      </w:pPr>
      <w:r>
        <w:rPr>
          <w:i/>
          <w:iCs/>
          <w:szCs w:val="24"/>
          <w:lang w:val="en-US" w:eastAsia="zh-CN"/>
        </w:rPr>
        <w:t>d)</w:t>
      </w:r>
      <w:r>
        <w:rPr>
          <w:iCs/>
          <w:szCs w:val="24"/>
          <w:lang w:val="en-US" w:eastAsia="zh-CN"/>
        </w:rPr>
        <w:tab/>
      </w:r>
      <w:r>
        <w:rPr>
          <w:rFonts w:eastAsiaTheme="minorEastAsia" w:hint="eastAsia"/>
          <w:iCs/>
          <w:szCs w:val="24"/>
          <w:lang w:val="en-US" w:eastAsia="zh-CN"/>
        </w:rPr>
        <w:t>绝大多数智能电话均包含由</w:t>
      </w:r>
      <w:r w:rsidRPr="00956668">
        <w:rPr>
          <w:rFonts w:ascii="STKaiti" w:eastAsia="STKaiti" w:hAnsi="STKaiti" w:hint="eastAsia"/>
          <w:iCs/>
          <w:szCs w:val="24"/>
          <w:lang w:val="en-US" w:eastAsia="zh-CN"/>
        </w:rPr>
        <w:t>蓝牙</w:t>
      </w:r>
      <w:r>
        <w:rPr>
          <w:rFonts w:eastAsiaTheme="minorEastAsia" w:hint="eastAsia"/>
          <w:iCs/>
          <w:szCs w:val="24"/>
          <w:lang w:val="en-US" w:eastAsia="zh-CN"/>
        </w:rPr>
        <w:t>和类似技术等各种连通能力构成的硬件。</w:t>
      </w:r>
      <w:r w:rsidR="00D13AA5">
        <w:rPr>
          <w:rFonts w:eastAsiaTheme="minorEastAsia" w:hint="eastAsia"/>
          <w:iCs/>
          <w:szCs w:val="24"/>
          <w:lang w:val="en-US" w:eastAsia="zh-CN"/>
        </w:rPr>
        <w:t>无论智能电话制造商选择了哪一家芯片制造商，在这一系列连通芯片中几乎百分百地包含了调频接收机；</w:t>
      </w:r>
    </w:p>
    <w:p w:rsidR="003063E3" w:rsidRPr="00956668" w:rsidRDefault="00200901" w:rsidP="00956668">
      <w:pPr>
        <w:rPr>
          <w:rFonts w:ascii="SimSun" w:eastAsia="SimSun" w:hAnsi="SimSun" w:cs="SimSun"/>
          <w:lang w:eastAsia="zh-CN"/>
        </w:rPr>
      </w:pPr>
      <w:r>
        <w:rPr>
          <w:i/>
          <w:lang w:eastAsia="zh-CN"/>
        </w:rPr>
        <w:t>e)</w:t>
      </w:r>
      <w:r>
        <w:rPr>
          <w:i/>
          <w:lang w:eastAsia="zh-CN"/>
        </w:rPr>
        <w:tab/>
      </w:r>
      <w:r>
        <w:rPr>
          <w:lang w:eastAsia="zh-CN"/>
        </w:rPr>
        <w:t>ITU-R BT.2387</w:t>
      </w:r>
      <w:r w:rsidR="00D13AA5">
        <w:rPr>
          <w:rFonts w:eastAsiaTheme="minorEastAsia" w:hint="eastAsia"/>
          <w:lang w:eastAsia="zh-CN"/>
        </w:rPr>
        <w:t>报告表明，一些国家正在实施数字声音广播，尽管模拟调频收音机的需求仍然非常旺盛，但一些国家</w:t>
      </w:r>
      <w:r w:rsidR="00C05A40">
        <w:rPr>
          <w:rFonts w:eastAsiaTheme="minorEastAsia" w:hint="eastAsia"/>
          <w:lang w:eastAsia="zh-CN"/>
        </w:rPr>
        <w:t>已扩展了调频频段，</w:t>
      </w:r>
    </w:p>
    <w:p w:rsidR="003063E3" w:rsidRPr="00633245" w:rsidRDefault="00633245" w:rsidP="00633245">
      <w:pPr>
        <w:pStyle w:val="Call"/>
        <w:rPr>
          <w:lang w:eastAsia="zh-CN"/>
        </w:rPr>
      </w:pPr>
      <w:r w:rsidRPr="00633245">
        <w:rPr>
          <w:rFonts w:hint="eastAsia"/>
          <w:lang w:eastAsia="zh-CN"/>
        </w:rPr>
        <w:t>得出意见</w:t>
      </w:r>
    </w:p>
    <w:p w:rsidR="00970B63" w:rsidRDefault="00C05A40" w:rsidP="00C05A40">
      <w:pPr>
        <w:ind w:firstLineChars="200" w:firstLine="480"/>
        <w:rPr>
          <w:rFonts w:eastAsiaTheme="minorEastAsia"/>
          <w:lang w:val="en-US" w:eastAsia="zh-CN"/>
        </w:rPr>
      </w:pPr>
      <w:r>
        <w:rPr>
          <w:rFonts w:eastAsiaTheme="minorEastAsia" w:hint="eastAsia"/>
          <w:lang w:val="en-US" w:eastAsia="zh-CN"/>
        </w:rPr>
        <w:t>如果移动电话</w:t>
      </w:r>
      <w:r w:rsidR="00CA303B">
        <w:rPr>
          <w:rFonts w:eastAsiaTheme="minorEastAsia" w:hint="eastAsia"/>
          <w:lang w:val="en-US" w:eastAsia="zh-CN"/>
        </w:rPr>
        <w:t>、平板电脑和类似设备的制造商及相关服务提供商在其产品中包含并启用</w:t>
      </w:r>
      <w:r>
        <w:rPr>
          <w:rFonts w:eastAsiaTheme="minorEastAsia" w:hint="eastAsia"/>
          <w:lang w:val="en-US" w:eastAsia="zh-CN"/>
        </w:rPr>
        <w:t>广播调谐器功能并辅以有助于接收无线电广播的适当应用，世界各国人民将可从中获益。</w:t>
      </w:r>
    </w:p>
    <w:p w:rsidR="009A6A75" w:rsidRDefault="009A6A75" w:rsidP="0032202E">
      <w:pPr>
        <w:pStyle w:val="Reasons"/>
        <w:rPr>
          <w:lang w:eastAsia="zh-CN"/>
        </w:rPr>
      </w:pPr>
    </w:p>
    <w:sectPr w:rsidR="009A6A75"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AA5" w:rsidRDefault="00D13AA5">
      <w:r>
        <w:separator/>
      </w:r>
    </w:p>
  </w:endnote>
  <w:endnote w:type="continuationSeparator" w:id="0">
    <w:p w:rsidR="00D13AA5" w:rsidRDefault="00D1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A5" w:rsidRPr="00691A3B" w:rsidRDefault="00EB6657">
    <w:pPr>
      <w:rPr>
        <w:lang w:val="en-US"/>
      </w:rPr>
    </w:pPr>
    <w:fldSimple w:instr=" FILENAME \p  \* MERGEFORMAT ">
      <w:r w:rsidR="00692AFC" w:rsidRPr="00692AFC">
        <w:rPr>
          <w:noProof/>
          <w:lang w:val="en-US"/>
        </w:rPr>
        <w:t>P</w:t>
      </w:r>
      <w:r w:rsidR="00692AFC">
        <w:rPr>
          <w:noProof/>
        </w:rPr>
        <w:t>:\TRAD\C\ITU-R\OPINION\103\POOL\103C.docx</w:t>
      </w:r>
    </w:fldSimple>
    <w:r w:rsidR="00D13AA5" w:rsidRPr="00691A3B">
      <w:rPr>
        <w:lang w:val="en-US"/>
      </w:rPr>
      <w:tab/>
    </w:r>
    <w:r w:rsidR="00D13AA5">
      <w:fldChar w:fldCharType="begin"/>
    </w:r>
    <w:r w:rsidR="00D13AA5">
      <w:instrText xml:space="preserve"> SAVEDATE \@ DD.MM.YY </w:instrText>
    </w:r>
    <w:r w:rsidR="00D13AA5">
      <w:fldChar w:fldCharType="separate"/>
    </w:r>
    <w:r w:rsidR="0096587C">
      <w:rPr>
        <w:noProof/>
      </w:rPr>
      <w:t>08.05.17</w:t>
    </w:r>
    <w:r w:rsidR="00D13AA5">
      <w:fldChar w:fldCharType="end"/>
    </w:r>
    <w:r w:rsidR="00D13AA5" w:rsidRPr="00691A3B">
      <w:rPr>
        <w:lang w:val="en-US"/>
      </w:rPr>
      <w:tab/>
    </w:r>
    <w:r w:rsidR="00D13AA5">
      <w:fldChar w:fldCharType="begin"/>
    </w:r>
    <w:r w:rsidR="00D13AA5">
      <w:instrText xml:space="preserve"> PRINTDATE \@ DD.MM.YY </w:instrText>
    </w:r>
    <w:r w:rsidR="00D13AA5">
      <w:fldChar w:fldCharType="separate"/>
    </w:r>
    <w:r w:rsidR="00692AFC">
      <w:rPr>
        <w:noProof/>
      </w:rPr>
      <w:t>18.04.17</w:t>
    </w:r>
    <w:r w:rsidR="00D13AA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A5" w:rsidRPr="00691A3B" w:rsidRDefault="00EB6657">
    <w:pPr>
      <w:pStyle w:val="Footer"/>
      <w:rPr>
        <w:lang w:val="en-US"/>
      </w:rPr>
    </w:pPr>
    <w:fldSimple w:instr=" FILENAME \p  \* MERGEFORMAT ">
      <w:r w:rsidR="00692AFC" w:rsidRPr="00692AFC">
        <w:rPr>
          <w:lang w:val="en-US"/>
        </w:rPr>
        <w:t>P</w:t>
      </w:r>
      <w:r w:rsidR="00692AFC">
        <w:t>:\TRAD\C\ITU-R\OPINION\103\POOL\103C.docx</w:t>
      </w:r>
    </w:fldSimple>
    <w:r w:rsidR="00D13AA5" w:rsidRPr="00691A3B">
      <w:rPr>
        <w:lang w:val="en-US"/>
      </w:rPr>
      <w:tab/>
    </w:r>
    <w:r w:rsidR="00D13AA5">
      <w:fldChar w:fldCharType="begin"/>
    </w:r>
    <w:r w:rsidR="00D13AA5">
      <w:instrText xml:space="preserve"> SAVEDATE \@ DD.MM.YY </w:instrText>
    </w:r>
    <w:r w:rsidR="00D13AA5">
      <w:fldChar w:fldCharType="separate"/>
    </w:r>
    <w:r w:rsidR="0096587C">
      <w:t>08.05.17</w:t>
    </w:r>
    <w:r w:rsidR="00D13AA5">
      <w:fldChar w:fldCharType="end"/>
    </w:r>
    <w:r w:rsidR="00D13AA5" w:rsidRPr="00691A3B">
      <w:rPr>
        <w:lang w:val="en-US"/>
      </w:rPr>
      <w:tab/>
    </w:r>
    <w:r w:rsidR="00D13AA5">
      <w:fldChar w:fldCharType="begin"/>
    </w:r>
    <w:r w:rsidR="00D13AA5">
      <w:instrText xml:space="preserve"> PRINTDATE \@ DD.MM.YY </w:instrText>
    </w:r>
    <w:r w:rsidR="00D13AA5">
      <w:fldChar w:fldCharType="separate"/>
    </w:r>
    <w:r w:rsidR="00692AFC">
      <w:t>18.04.17</w:t>
    </w:r>
    <w:r w:rsidR="00D13AA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AA5" w:rsidRDefault="00D13AA5">
      <w:r>
        <w:rPr>
          <w:b/>
        </w:rPr>
        <w:t>_______________</w:t>
      </w:r>
    </w:p>
  </w:footnote>
  <w:footnote w:type="continuationSeparator" w:id="0">
    <w:p w:rsidR="00D13AA5" w:rsidRDefault="00D13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A5" w:rsidRDefault="00D13AA5">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p w:rsidR="00D13AA5" w:rsidRPr="009447A3" w:rsidRDefault="00D13AA5" w:rsidP="00877D12">
    <w:pPr>
      <w:pStyle w:val="Header"/>
      <w:rPr>
        <w:lang w:val="en-US"/>
      </w:rPr>
    </w:pPr>
    <w:r>
      <w:rPr>
        <w:lang w:val="en-US"/>
      </w:rPr>
      <w:t>RA07/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E3"/>
    <w:rsid w:val="0016114F"/>
    <w:rsid w:val="001B225D"/>
    <w:rsid w:val="00200901"/>
    <w:rsid w:val="00213F8F"/>
    <w:rsid w:val="0029431D"/>
    <w:rsid w:val="003063E3"/>
    <w:rsid w:val="003322FF"/>
    <w:rsid w:val="00413AB3"/>
    <w:rsid w:val="004844C1"/>
    <w:rsid w:val="00541AC7"/>
    <w:rsid w:val="00586689"/>
    <w:rsid w:val="005C5620"/>
    <w:rsid w:val="00633245"/>
    <w:rsid w:val="00637543"/>
    <w:rsid w:val="00645B0F"/>
    <w:rsid w:val="00691A3B"/>
    <w:rsid w:val="00692AFC"/>
    <w:rsid w:val="006B5360"/>
    <w:rsid w:val="0071246B"/>
    <w:rsid w:val="00750BE4"/>
    <w:rsid w:val="00756B1C"/>
    <w:rsid w:val="00845350"/>
    <w:rsid w:val="00877D12"/>
    <w:rsid w:val="00895F9E"/>
    <w:rsid w:val="008B1239"/>
    <w:rsid w:val="00936D96"/>
    <w:rsid w:val="00943EBD"/>
    <w:rsid w:val="009447A3"/>
    <w:rsid w:val="00956668"/>
    <w:rsid w:val="0096587C"/>
    <w:rsid w:val="00970B63"/>
    <w:rsid w:val="00973443"/>
    <w:rsid w:val="009A6A75"/>
    <w:rsid w:val="00A05CE9"/>
    <w:rsid w:val="00BE5003"/>
    <w:rsid w:val="00C05A40"/>
    <w:rsid w:val="00C07CF1"/>
    <w:rsid w:val="00CA303B"/>
    <w:rsid w:val="00D13AA5"/>
    <w:rsid w:val="00D471A9"/>
    <w:rsid w:val="00E410C4"/>
    <w:rsid w:val="00EB6657"/>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24AC1AF-FDAF-42A0-BECA-A8CE350E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F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633245"/>
    <w:pPr>
      <w:keepNext/>
      <w:keepLines/>
      <w:spacing w:before="160"/>
      <w:ind w:left="794"/>
    </w:pPr>
    <w:rPr>
      <w:rFonts w:ascii="STKaiti" w:eastAsia="STKaiti" w:hAnsi="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Pr>
      <w:position w:val="6"/>
      <w:sz w:val="18"/>
    </w:rPr>
  </w:style>
  <w:style w:type="paragraph" w:styleId="FootnoteText">
    <w:name w:val="footnote text"/>
    <w:aliases w:val="DNV-FT Char,DNV-FT,DNV-FT Char Char Char,Char1,footnote text,Footnote Text Char1,Footnote Text Char Char1,Footnote Text Char4 Char Char,Footnote Text Char1 Char1 Char1 Char,Footnote Text Char Char1 Char1 Char Char,ABA Footnote Text,DNV-"/>
    <w:basedOn w:val="Note"/>
    <w:link w:val="FootnoteTextChar"/>
    <w:pPr>
      <w:keepLines/>
      <w:tabs>
        <w:tab w:val="left" w:pos="255"/>
      </w:tabs>
      <w:ind w:left="255" w:hanging="255"/>
    </w:pPr>
  </w:style>
  <w:style w:type="paragraph" w:customStyle="1" w:styleId="Note">
    <w:name w:val="Note"/>
    <w:basedOn w:val="Normal"/>
    <w:rsid w:val="00970B63"/>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
    <w:pPr>
      <w:keepNext/>
      <w:spacing w:before="0" w:after="120"/>
      <w:jc w:val="center"/>
    </w:pPr>
  </w:style>
  <w:style w:type="paragraph" w:customStyle="1" w:styleId="Tabletitle">
    <w:name w:val="Table_title"/>
    <w:basedOn w:val="Normal"/>
    <w:next w:val="Tablehead"/>
    <w:pPr>
      <w:keepNext/>
      <w:keepLines/>
      <w:spacing w:before="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styleId="PageNumber">
    <w:name w:val="page number"/>
    <w:basedOn w:val="DefaultParagraphFon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AnnexNotitle">
    <w:name w:val="Annex_No &amp; title"/>
    <w:basedOn w:val="Normal"/>
    <w:next w:val="Normal"/>
    <w:pPr>
      <w:keepNext/>
      <w:keepLines/>
      <w:spacing w:before="480"/>
      <w:jc w:val="center"/>
    </w:pPr>
    <w:rPr>
      <w:b/>
      <w:sz w:val="28"/>
    </w:rPr>
  </w:style>
  <w:style w:type="paragraph" w:customStyle="1" w:styleId="AppendixNotitle">
    <w:name w:val="Appendix_No &amp; title"/>
    <w:basedOn w:val="AnnexNotitle"/>
    <w:next w:val="Normal"/>
  </w:style>
  <w:style w:type="paragraph" w:customStyle="1" w:styleId="Figure">
    <w:name w:val="Figure"/>
    <w:basedOn w:val="Normal"/>
    <w:next w:val="Normal"/>
    <w:pPr>
      <w:keepNext/>
      <w:keepLines/>
      <w:spacing w:before="240" w:after="120"/>
      <w:jc w:val="center"/>
    </w:pPr>
  </w:style>
  <w:style w:type="paragraph" w:customStyle="1" w:styleId="FigureNo">
    <w:name w:val="Figure_No"/>
    <w:basedOn w:val="Normal"/>
    <w:next w:val="Normal"/>
    <w:pPr>
      <w:keepNext/>
      <w:keepLines/>
      <w:spacing w:before="480" w:after="120"/>
      <w:jc w:val="center"/>
    </w:pPr>
    <w:rPr>
      <w:caps/>
    </w:rPr>
  </w:style>
  <w:style w:type="paragraph" w:customStyle="1" w:styleId="Figuretitle">
    <w:name w:val="Figure_title"/>
    <w:basedOn w:val="Tabletitle"/>
    <w:next w:val="Figurewithouttitle"/>
    <w:pPr>
      <w:keepNext w:val="0"/>
      <w:spacing w:after="480"/>
    </w:pPr>
  </w:style>
  <w:style w:type="paragraph" w:customStyle="1" w:styleId="Formal">
    <w:name w:val="Formal"/>
    <w:basedOn w:val="ASN1"/>
    <w:rPr>
      <w:b w:val="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pPr>
      <w:keepNext/>
      <w:keepLines/>
      <w:spacing w:before="480"/>
      <w:jc w:val="center"/>
    </w:pPr>
    <w:rPr>
      <w:caps/>
      <w:sz w:val="28"/>
    </w:rPr>
  </w:style>
  <w:style w:type="paragraph" w:customStyle="1" w:styleId="QuestionNo">
    <w:name w:val="Question_No"/>
    <w:basedOn w:val="RecNo"/>
    <w:next w:val="Questiontitle"/>
  </w:style>
  <w:style w:type="paragraph" w:customStyle="1" w:styleId="RepNoBR">
    <w:name w:val="Rep_No_BR"/>
    <w:basedOn w:val="RecNo"/>
    <w:next w:val="Reptitle"/>
  </w:style>
  <w:style w:type="paragraph" w:customStyle="1" w:styleId="ResNo">
    <w:name w:val="Res_No"/>
    <w:basedOn w:val="RecNo"/>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
    <w:name w:val="Table_No"/>
    <w:basedOn w:val="Normal"/>
    <w:next w:val="Tabletitle"/>
    <w:pPr>
      <w:keepNext/>
      <w:spacing w:before="560" w:after="120"/>
      <w:jc w:val="center"/>
    </w:pPr>
    <w:rPr>
      <w:caps/>
    </w:rPr>
  </w:style>
  <w:style w:type="paragraph" w:customStyle="1" w:styleId="Normalaftertitle0">
    <w:name w:val="Normal after title"/>
    <w:basedOn w:val="Normal"/>
    <w:next w:val="Normal"/>
    <w:link w:val="NormalaftertitleChar"/>
    <w:rsid w:val="009447A3"/>
    <w:pPr>
      <w:spacing w:before="280"/>
    </w:pPr>
  </w:style>
  <w:style w:type="paragraph" w:customStyle="1" w:styleId="HeadingSum">
    <w:name w:val="Heading_Sum"/>
    <w:basedOn w:val="Normal"/>
    <w:next w:val="Summary"/>
    <w:rsid w:val="00970B63"/>
    <w:rPr>
      <w:b/>
      <w:sz w:val="22"/>
      <w:lang w:eastAsia="zh-CN"/>
    </w:rPr>
  </w:style>
  <w:style w:type="character" w:customStyle="1" w:styleId="FootnoteTextChar">
    <w:name w:val="Footnote Text Char"/>
    <w:aliases w:val="DNV-FT Char Char,DNV-FT Char1,DNV-FT Char Char Char Char,Char1 Char,footnote text Char,Footnote Text Char1 Char,Footnote Text Char Char1 Char,Footnote Text Char4 Char Char Char,Footnote Text Char1 Char1 Char1 Char Char,DNV- Char"/>
    <w:link w:val="FootnoteText"/>
    <w:locked/>
    <w:rsid w:val="003063E3"/>
    <w:rPr>
      <w:rFonts w:ascii="Times New Roman" w:eastAsia="Times New Roman" w:hAnsi="Times New Roman"/>
      <w:sz w:val="22"/>
      <w:lang w:val="en-GB" w:eastAsia="en-US"/>
    </w:rPr>
  </w:style>
  <w:style w:type="character" w:customStyle="1" w:styleId="NormalaftertitleChar">
    <w:name w:val="Normal after title Char"/>
    <w:basedOn w:val="DefaultParagraphFont"/>
    <w:link w:val="Normalaftertitle0"/>
    <w:locked/>
    <w:rsid w:val="003063E3"/>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62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5</TotalTime>
  <Pages>1</Pages>
  <Words>395</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448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byzheng</dc:creator>
  <cp:keywords>RA03, RA-2003</cp:keywords>
  <dc:description>Document /1004-E  For: _x000d_Document date: 30 March 2007_x000d_Saved by PCW43981 at 15:42:54 on 05.04.2007</dc:description>
  <cp:lastModifiedBy>ITU</cp:lastModifiedBy>
  <cp:revision>8</cp:revision>
  <cp:lastPrinted>2017-04-18T15:20:00Z</cp:lastPrinted>
  <dcterms:created xsi:type="dcterms:W3CDTF">2017-04-20T13:53:00Z</dcterms:created>
  <dcterms:modified xsi:type="dcterms:W3CDTF">2017-05-08T14:44:00Z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