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C16E44" w14:paraId="10DD5E62" w14:textId="77777777" w:rsidTr="00C16E44">
        <w:trPr>
          <w:cantSplit/>
        </w:trPr>
        <w:tc>
          <w:tcPr>
            <w:tcW w:w="6771" w:type="dxa"/>
            <w:vAlign w:val="center"/>
          </w:tcPr>
          <w:p w14:paraId="0C631B0B" w14:textId="77777777" w:rsidR="00C16E44" w:rsidRDefault="00C16E44" w:rsidP="00C16E44">
            <w:pPr>
              <w:shd w:val="solid" w:color="FFFFFF" w:fill="FFFFFF"/>
              <w:tabs>
                <w:tab w:val="clear" w:pos="794"/>
                <w:tab w:val="clear" w:pos="1191"/>
                <w:tab w:val="clear" w:pos="1588"/>
                <w:tab w:val="left" w:pos="1560"/>
              </w:tabs>
              <w:spacing w:before="0"/>
              <w:rPr>
                <w:b/>
                <w:caps/>
                <w:sz w:val="32"/>
              </w:rPr>
            </w:pPr>
            <w:r w:rsidRPr="0090024C">
              <w:rPr>
                <w:rFonts w:ascii="Verdana" w:hAnsi="Verdana" w:cs="Times New Roman Bold"/>
                <w:b/>
                <w:sz w:val="26"/>
                <w:szCs w:val="26"/>
              </w:rPr>
              <w:t xml:space="preserve">Junta del Reglamento de </w:t>
            </w:r>
            <w:r>
              <w:rPr>
                <w:rFonts w:ascii="Verdana" w:hAnsi="Verdana" w:cs="Times New Roman Bold"/>
                <w:b/>
                <w:sz w:val="26"/>
                <w:szCs w:val="26"/>
              </w:rPr>
              <w:br/>
            </w:r>
            <w:r w:rsidRPr="0090024C">
              <w:rPr>
                <w:rFonts w:ascii="Verdana" w:hAnsi="Verdana" w:cs="Times New Roman Bold"/>
                <w:b/>
                <w:sz w:val="26"/>
                <w:szCs w:val="26"/>
              </w:rPr>
              <w:t>Radiocomunicaciones</w:t>
            </w:r>
            <w:r>
              <w:rPr>
                <w:b/>
                <w:caps/>
                <w:sz w:val="32"/>
              </w:rPr>
              <w:t xml:space="preserve"> </w:t>
            </w:r>
          </w:p>
          <w:p w14:paraId="51112FAA" w14:textId="00C5845A" w:rsidR="00C16E44" w:rsidRPr="006E291F" w:rsidRDefault="00E95D50" w:rsidP="00E95D50">
            <w:pPr>
              <w:shd w:val="solid" w:color="FFFFFF" w:fill="FFFFFF"/>
              <w:tabs>
                <w:tab w:val="clear" w:pos="794"/>
                <w:tab w:val="clear" w:pos="1191"/>
                <w:tab w:val="clear" w:pos="1588"/>
                <w:tab w:val="left" w:pos="1560"/>
              </w:tabs>
              <w:spacing w:before="0"/>
              <w:rPr>
                <w:rFonts w:ascii="Verdana" w:hAnsi="Verdana"/>
                <w:b/>
                <w:bCs/>
              </w:rPr>
            </w:pPr>
            <w:r w:rsidRPr="00E95D50">
              <w:rPr>
                <w:rFonts w:ascii="Verdana" w:hAnsi="Verdana" w:cs="Times New Roman Bold"/>
                <w:b/>
                <w:sz w:val="20"/>
              </w:rPr>
              <w:t xml:space="preserve">Ginebra, </w:t>
            </w:r>
            <w:r w:rsidR="006C0D9A">
              <w:rPr>
                <w:rFonts w:ascii="Verdana" w:hAnsi="Verdana" w:cs="Times New Roman Bold"/>
                <w:b/>
                <w:sz w:val="20"/>
              </w:rPr>
              <w:t>11</w:t>
            </w:r>
            <w:r w:rsidR="00692B95">
              <w:rPr>
                <w:rFonts w:ascii="Verdana" w:hAnsi="Verdana" w:cs="Times New Roman Bold"/>
                <w:b/>
                <w:bCs/>
                <w:sz w:val="20"/>
              </w:rPr>
              <w:t>–</w:t>
            </w:r>
            <w:r w:rsidR="006C0D9A">
              <w:rPr>
                <w:rFonts w:ascii="Verdana" w:hAnsi="Verdana" w:cs="Times New Roman Bold"/>
                <w:b/>
                <w:bCs/>
                <w:sz w:val="20"/>
              </w:rPr>
              <w:t>19 de noviembre de 2024</w:t>
            </w:r>
          </w:p>
        </w:tc>
        <w:tc>
          <w:tcPr>
            <w:tcW w:w="3295" w:type="dxa"/>
            <w:gridSpan w:val="2"/>
            <w:vAlign w:val="center"/>
          </w:tcPr>
          <w:p w14:paraId="1B5E6F37" w14:textId="77777777" w:rsidR="00C16E44" w:rsidRDefault="00640B4D" w:rsidP="00321707">
            <w:pPr>
              <w:shd w:val="solid" w:color="FFFFFF" w:fill="FFFFFF"/>
              <w:spacing w:before="0" w:line="240" w:lineRule="atLeast"/>
            </w:pPr>
            <w:r w:rsidRPr="00C126C1">
              <w:rPr>
                <w:noProof/>
                <w:lang w:val="en-US" w:eastAsia="zh-CN"/>
              </w:rPr>
              <w:drawing>
                <wp:inline distT="0" distB="0" distL="0" distR="0" wp14:anchorId="2A510259" wp14:editId="00D3CFF3">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16E44" w:rsidRPr="0051782D" w14:paraId="568FCBE8" w14:textId="77777777" w:rsidTr="00C16E44">
        <w:trPr>
          <w:gridAfter w:val="1"/>
          <w:wAfter w:w="33" w:type="dxa"/>
          <w:cantSplit/>
        </w:trPr>
        <w:tc>
          <w:tcPr>
            <w:tcW w:w="10033" w:type="dxa"/>
            <w:gridSpan w:val="2"/>
            <w:tcBorders>
              <w:bottom w:val="single" w:sz="12" w:space="0" w:color="auto"/>
            </w:tcBorders>
          </w:tcPr>
          <w:p w14:paraId="177AA16F" w14:textId="77777777" w:rsidR="00C16E44" w:rsidRPr="00BD2B15" w:rsidRDefault="00C16E44" w:rsidP="00C16E44">
            <w:pPr>
              <w:shd w:val="solid" w:color="FFFFFF" w:fill="FFFFFF"/>
              <w:spacing w:before="0" w:after="48"/>
              <w:rPr>
                <w:rFonts w:ascii="Verdana" w:hAnsi="Verdana" w:cs="Times New Roman Bold"/>
                <w:b/>
                <w:sz w:val="22"/>
                <w:szCs w:val="22"/>
              </w:rPr>
            </w:pPr>
          </w:p>
        </w:tc>
      </w:tr>
      <w:tr w:rsidR="00C16E44" w:rsidRPr="00710D66" w14:paraId="0F36AEF4" w14:textId="77777777" w:rsidTr="00C16E44">
        <w:trPr>
          <w:gridAfter w:val="1"/>
          <w:wAfter w:w="33" w:type="dxa"/>
          <w:cantSplit/>
        </w:trPr>
        <w:tc>
          <w:tcPr>
            <w:tcW w:w="6771" w:type="dxa"/>
            <w:tcBorders>
              <w:top w:val="single" w:sz="12" w:space="0" w:color="auto"/>
            </w:tcBorders>
          </w:tcPr>
          <w:p w14:paraId="658E600A" w14:textId="77777777" w:rsidR="00C16E44" w:rsidRPr="0051782D" w:rsidRDefault="00C16E44" w:rsidP="00C16E44">
            <w:pPr>
              <w:shd w:val="solid" w:color="FFFFFF" w:fill="FFFFFF"/>
              <w:spacing w:before="0" w:after="48"/>
              <w:rPr>
                <w:rFonts w:ascii="Verdana" w:hAnsi="Verdana" w:cs="Times New Roman Bold"/>
                <w:bCs/>
                <w:sz w:val="22"/>
                <w:szCs w:val="22"/>
              </w:rPr>
            </w:pPr>
          </w:p>
        </w:tc>
        <w:tc>
          <w:tcPr>
            <w:tcW w:w="3262" w:type="dxa"/>
            <w:tcBorders>
              <w:top w:val="single" w:sz="12" w:space="0" w:color="auto"/>
            </w:tcBorders>
          </w:tcPr>
          <w:p w14:paraId="22075AE4" w14:textId="77777777" w:rsidR="00C16E44" w:rsidRPr="009F18F2" w:rsidRDefault="00C16E44" w:rsidP="00C16E44">
            <w:pPr>
              <w:shd w:val="solid" w:color="FFFFFF" w:fill="FFFFFF"/>
              <w:spacing w:before="0" w:after="48" w:line="240" w:lineRule="atLeast"/>
              <w:rPr>
                <w:rFonts w:ascii="Verdana" w:hAnsi="Verdana"/>
                <w:sz w:val="22"/>
                <w:szCs w:val="22"/>
                <w:lang w:val="es-ES"/>
              </w:rPr>
            </w:pPr>
          </w:p>
        </w:tc>
      </w:tr>
      <w:tr w:rsidR="00C16E44" w:rsidRPr="002A127E" w14:paraId="2031200F" w14:textId="77777777" w:rsidTr="00C16E44">
        <w:trPr>
          <w:gridAfter w:val="1"/>
          <w:wAfter w:w="33" w:type="dxa"/>
          <w:cantSplit/>
        </w:trPr>
        <w:tc>
          <w:tcPr>
            <w:tcW w:w="6771" w:type="dxa"/>
            <w:vMerge w:val="restart"/>
          </w:tcPr>
          <w:p w14:paraId="3FE27D1D" w14:textId="77777777" w:rsidR="00C16E44" w:rsidRDefault="00C16E44" w:rsidP="00C16E44">
            <w:pPr>
              <w:shd w:val="solid" w:color="FFFFFF" w:fill="FFFFFF"/>
              <w:spacing w:after="240"/>
              <w:rPr>
                <w:sz w:val="20"/>
              </w:rPr>
            </w:pPr>
            <w:bookmarkStart w:id="0" w:name="dnum" w:colFirst="1" w:colLast="1"/>
          </w:p>
        </w:tc>
        <w:tc>
          <w:tcPr>
            <w:tcW w:w="3262" w:type="dxa"/>
          </w:tcPr>
          <w:p w14:paraId="6EE69D65" w14:textId="170F6DE2" w:rsidR="00C16E44" w:rsidRPr="00692B95" w:rsidRDefault="006C0D9A" w:rsidP="00E95D50">
            <w:pPr>
              <w:shd w:val="solid" w:color="FFFFFF" w:fill="FFFFFF"/>
              <w:spacing w:before="0" w:line="240" w:lineRule="atLeast"/>
              <w:rPr>
                <w:rFonts w:ascii="Verdana" w:hAnsi="Verdana"/>
                <w:sz w:val="20"/>
                <w:lang w:val="es-ES"/>
              </w:rPr>
            </w:pPr>
            <w:proofErr w:type="spellStart"/>
            <w:r>
              <w:rPr>
                <w:rFonts w:ascii="Verdana" w:hAnsi="Verdana"/>
                <w:b/>
                <w:bCs/>
                <w:sz w:val="20"/>
              </w:rPr>
              <w:t>Corrigéndum</w:t>
            </w:r>
            <w:proofErr w:type="spellEnd"/>
            <w:r>
              <w:rPr>
                <w:rFonts w:ascii="Verdana" w:hAnsi="Verdana"/>
                <w:b/>
                <w:bCs/>
                <w:sz w:val="20"/>
              </w:rPr>
              <w:t xml:space="preserve"> 1 al</w:t>
            </w:r>
            <w:r>
              <w:rPr>
                <w:rFonts w:ascii="Verdana" w:hAnsi="Verdana"/>
                <w:b/>
                <w:bCs/>
                <w:sz w:val="20"/>
              </w:rPr>
              <w:br/>
            </w:r>
            <w:r w:rsidR="00E95D50" w:rsidRPr="00E95D50">
              <w:rPr>
                <w:rFonts w:ascii="Verdana" w:hAnsi="Verdana"/>
                <w:b/>
                <w:bCs/>
                <w:sz w:val="20"/>
              </w:rPr>
              <w:t xml:space="preserve">Documento </w:t>
            </w:r>
            <w:r w:rsidR="00692B95" w:rsidRPr="00692B95">
              <w:rPr>
                <w:rFonts w:ascii="Verdana" w:hAnsi="Verdana"/>
                <w:b/>
                <w:sz w:val="20"/>
                <w:lang w:val="es-ES" w:eastAsia="zh-CN"/>
              </w:rPr>
              <w:t>RRB</w:t>
            </w:r>
            <w:r>
              <w:rPr>
                <w:rFonts w:ascii="Verdana" w:hAnsi="Verdana"/>
                <w:b/>
                <w:sz w:val="20"/>
                <w:lang w:val="es-ES" w:eastAsia="zh-CN"/>
              </w:rPr>
              <w:t>24</w:t>
            </w:r>
            <w:r w:rsidR="00692B95" w:rsidRPr="00692B95">
              <w:rPr>
                <w:rFonts w:ascii="Verdana" w:hAnsi="Verdana"/>
                <w:b/>
                <w:sz w:val="20"/>
                <w:lang w:val="es-ES" w:eastAsia="zh-CN"/>
              </w:rPr>
              <w:t>-</w:t>
            </w:r>
            <w:r>
              <w:rPr>
                <w:rFonts w:ascii="Verdana" w:hAnsi="Verdana"/>
                <w:b/>
                <w:sz w:val="20"/>
                <w:lang w:val="es-ES" w:eastAsia="zh-CN"/>
              </w:rPr>
              <w:t>3</w:t>
            </w:r>
            <w:r w:rsidR="00692B95" w:rsidRPr="00692B95">
              <w:rPr>
                <w:rFonts w:ascii="Verdana" w:hAnsi="Verdana"/>
                <w:b/>
                <w:sz w:val="20"/>
                <w:lang w:val="es-ES" w:eastAsia="zh-CN"/>
              </w:rPr>
              <w:t>/</w:t>
            </w:r>
            <w:r>
              <w:rPr>
                <w:rFonts w:ascii="Verdana" w:hAnsi="Verdana"/>
                <w:b/>
                <w:sz w:val="20"/>
                <w:lang w:val="es-ES" w:eastAsia="zh-CN"/>
              </w:rPr>
              <w:t>23</w:t>
            </w:r>
            <w:r w:rsidR="00692B95" w:rsidRPr="00692B95">
              <w:rPr>
                <w:rFonts w:ascii="Verdana" w:hAnsi="Verdana"/>
                <w:b/>
                <w:sz w:val="20"/>
                <w:lang w:val="es-ES" w:eastAsia="zh-CN"/>
              </w:rPr>
              <w:t>-</w:t>
            </w:r>
            <w:r w:rsidR="00692B95">
              <w:rPr>
                <w:rFonts w:ascii="Verdana" w:hAnsi="Verdana"/>
                <w:b/>
                <w:sz w:val="20"/>
                <w:lang w:val="es-ES" w:eastAsia="zh-CN"/>
              </w:rPr>
              <w:t>S</w:t>
            </w:r>
          </w:p>
        </w:tc>
      </w:tr>
      <w:tr w:rsidR="00C16E44" w:rsidRPr="002A127E" w14:paraId="3059E8ED" w14:textId="77777777" w:rsidTr="00C16E44">
        <w:trPr>
          <w:gridAfter w:val="1"/>
          <w:wAfter w:w="33" w:type="dxa"/>
          <w:cantSplit/>
        </w:trPr>
        <w:tc>
          <w:tcPr>
            <w:tcW w:w="6771" w:type="dxa"/>
            <w:vMerge/>
          </w:tcPr>
          <w:p w14:paraId="17A79660" w14:textId="77777777" w:rsidR="00C16E44" w:rsidRDefault="00C16E44" w:rsidP="00C16E44">
            <w:pPr>
              <w:spacing w:before="60"/>
              <w:jc w:val="center"/>
              <w:rPr>
                <w:b/>
                <w:smallCaps/>
                <w:sz w:val="32"/>
              </w:rPr>
            </w:pPr>
            <w:bookmarkStart w:id="1" w:name="ddate" w:colFirst="1" w:colLast="1"/>
            <w:bookmarkEnd w:id="0"/>
          </w:p>
        </w:tc>
        <w:tc>
          <w:tcPr>
            <w:tcW w:w="3262" w:type="dxa"/>
          </w:tcPr>
          <w:p w14:paraId="134099D3" w14:textId="211AD33B" w:rsidR="00C16E44" w:rsidRPr="00786266" w:rsidRDefault="006C0D9A" w:rsidP="00E95D50">
            <w:pPr>
              <w:shd w:val="solid" w:color="FFFFFF" w:fill="FFFFFF"/>
              <w:spacing w:before="0" w:line="240" w:lineRule="atLeast"/>
              <w:rPr>
                <w:rFonts w:ascii="Verdana" w:hAnsi="Verdana"/>
                <w:sz w:val="20"/>
              </w:rPr>
            </w:pPr>
            <w:r>
              <w:rPr>
                <w:rFonts w:ascii="Verdana" w:hAnsi="Verdana"/>
                <w:b/>
                <w:bCs/>
                <w:sz w:val="20"/>
                <w:lang w:eastAsia="zh-CN"/>
              </w:rPr>
              <w:t>14 de enero de 2025</w:t>
            </w:r>
          </w:p>
        </w:tc>
      </w:tr>
      <w:tr w:rsidR="00C16E44" w:rsidRPr="002A127E" w14:paraId="5FDB0C1C" w14:textId="77777777" w:rsidTr="00C16E44">
        <w:trPr>
          <w:gridAfter w:val="1"/>
          <w:wAfter w:w="33" w:type="dxa"/>
          <w:cantSplit/>
        </w:trPr>
        <w:tc>
          <w:tcPr>
            <w:tcW w:w="6771" w:type="dxa"/>
            <w:vMerge/>
          </w:tcPr>
          <w:p w14:paraId="0449AB8F" w14:textId="77777777" w:rsidR="00C16E44" w:rsidRDefault="00C16E44" w:rsidP="00C16E44">
            <w:pPr>
              <w:spacing w:before="60"/>
              <w:jc w:val="center"/>
              <w:rPr>
                <w:b/>
                <w:smallCaps/>
                <w:sz w:val="32"/>
              </w:rPr>
            </w:pPr>
            <w:bookmarkStart w:id="2" w:name="dorlang" w:colFirst="1" w:colLast="1"/>
            <w:bookmarkEnd w:id="1"/>
          </w:p>
        </w:tc>
        <w:tc>
          <w:tcPr>
            <w:tcW w:w="3262" w:type="dxa"/>
          </w:tcPr>
          <w:p w14:paraId="1947502A" w14:textId="1F204DA3" w:rsidR="00C16E44" w:rsidRPr="00786266" w:rsidRDefault="00E95D50" w:rsidP="00E95D50">
            <w:pPr>
              <w:shd w:val="solid" w:color="FFFFFF" w:fill="FFFFFF"/>
              <w:spacing w:before="0" w:after="120" w:line="240" w:lineRule="atLeast"/>
              <w:rPr>
                <w:rFonts w:ascii="Verdana" w:hAnsi="Verdana"/>
                <w:sz w:val="20"/>
              </w:rPr>
            </w:pPr>
            <w:r w:rsidRPr="00E95D50">
              <w:rPr>
                <w:rFonts w:ascii="Verdana" w:hAnsi="Verdana"/>
                <w:b/>
                <w:bCs/>
                <w:sz w:val="20"/>
              </w:rPr>
              <w:t xml:space="preserve">Original: </w:t>
            </w:r>
            <w:r w:rsidR="00E34300">
              <w:rPr>
                <w:rFonts w:ascii="Verdana" w:hAnsi="Verdana"/>
                <w:b/>
                <w:bCs/>
                <w:sz w:val="20"/>
              </w:rPr>
              <w:t>inglés</w:t>
            </w:r>
          </w:p>
        </w:tc>
      </w:tr>
      <w:tr w:rsidR="00C16E44" w14:paraId="6957704F" w14:textId="77777777" w:rsidTr="00C16E44">
        <w:trPr>
          <w:gridAfter w:val="1"/>
          <w:wAfter w:w="33" w:type="dxa"/>
          <w:cantSplit/>
        </w:trPr>
        <w:tc>
          <w:tcPr>
            <w:tcW w:w="10033" w:type="dxa"/>
            <w:gridSpan w:val="2"/>
          </w:tcPr>
          <w:p w14:paraId="716C787E" w14:textId="11702F35" w:rsidR="00C16E44" w:rsidRPr="00E34300" w:rsidRDefault="006C0D9A" w:rsidP="00C16E44">
            <w:pPr>
              <w:pStyle w:val="Source"/>
              <w:rPr>
                <w:b w:val="0"/>
                <w:bCs/>
              </w:rPr>
            </w:pPr>
            <w:bookmarkStart w:id="3" w:name="dsource" w:colFirst="0" w:colLast="0"/>
            <w:bookmarkEnd w:id="2"/>
            <w:r w:rsidRPr="00E34300">
              <w:rPr>
                <w:rFonts w:asciiTheme="minorHAnsi" w:hAnsiTheme="minorHAnsi"/>
                <w:b w:val="0"/>
                <w:bCs/>
                <w:lang w:val="es-ES"/>
              </w:rPr>
              <w:t xml:space="preserve">RESUMEN DE DECISIONES </w:t>
            </w:r>
            <w:r w:rsidRPr="00E34300">
              <w:rPr>
                <w:rFonts w:asciiTheme="minorHAnsi" w:hAnsiTheme="minorHAnsi"/>
                <w:b w:val="0"/>
                <w:bCs/>
                <w:lang w:val="es-ES"/>
              </w:rPr>
              <w:br/>
              <w:t xml:space="preserve">DE LA 97ª </w:t>
            </w:r>
            <w:r w:rsidR="00E34300">
              <w:rPr>
                <w:rFonts w:asciiTheme="minorHAnsi" w:hAnsiTheme="minorHAnsi"/>
                <w:b w:val="0"/>
                <w:bCs/>
                <w:lang w:val="es-ES"/>
              </w:rPr>
              <w:t>REUNIÓN DE LA JUNTA DEL REGLAMENTO</w:t>
            </w:r>
            <w:r w:rsidRPr="00E34300">
              <w:rPr>
                <w:rFonts w:asciiTheme="minorHAnsi" w:hAnsiTheme="minorHAnsi"/>
                <w:b w:val="0"/>
                <w:bCs/>
                <w:lang w:val="es-ES"/>
              </w:rPr>
              <w:br/>
            </w:r>
            <w:r w:rsidR="00E34300">
              <w:rPr>
                <w:rFonts w:asciiTheme="minorHAnsi" w:hAnsiTheme="minorHAnsi"/>
                <w:b w:val="0"/>
                <w:bCs/>
                <w:lang w:val="es-ES"/>
              </w:rPr>
              <w:t>DE RADIOCOMUNICACIONES</w:t>
            </w:r>
          </w:p>
        </w:tc>
      </w:tr>
      <w:tr w:rsidR="00C16E44" w14:paraId="72A14802" w14:textId="77777777" w:rsidTr="00C16E44">
        <w:trPr>
          <w:gridAfter w:val="1"/>
          <w:wAfter w:w="33" w:type="dxa"/>
          <w:cantSplit/>
        </w:trPr>
        <w:tc>
          <w:tcPr>
            <w:tcW w:w="10033" w:type="dxa"/>
            <w:gridSpan w:val="2"/>
          </w:tcPr>
          <w:p w14:paraId="5A7C6E53" w14:textId="3C0C071E" w:rsidR="00C16E44" w:rsidRPr="00E34300" w:rsidRDefault="006C0D9A" w:rsidP="00E34300">
            <w:pPr>
              <w:pStyle w:val="Title1"/>
              <w:spacing w:before="0" w:after="360"/>
              <w:rPr>
                <w:rFonts w:ascii="Calibri" w:hAnsi="Calibri" w:cs="Calibri"/>
                <w:caps w:val="0"/>
              </w:rPr>
            </w:pPr>
            <w:bookmarkStart w:id="4" w:name="dtitle1" w:colFirst="0" w:colLast="0"/>
            <w:bookmarkEnd w:id="3"/>
            <w:r w:rsidRPr="00E34300">
              <w:rPr>
                <w:rFonts w:ascii="Calibri" w:hAnsi="Calibri" w:cs="Calibri"/>
                <w:caps w:val="0"/>
              </w:rPr>
              <w:t xml:space="preserve">11-19 </w:t>
            </w:r>
            <w:r w:rsidR="0029541E" w:rsidRPr="00E34300">
              <w:rPr>
                <w:rFonts w:ascii="Calibri" w:hAnsi="Calibri" w:cs="Calibri"/>
                <w:caps w:val="0"/>
              </w:rPr>
              <w:t>de noviembre de 2024</w:t>
            </w:r>
          </w:p>
        </w:tc>
      </w:tr>
    </w:tbl>
    <w:bookmarkEnd w:id="4"/>
    <w:p w14:paraId="3054571C" w14:textId="13CE3929" w:rsidR="00D165DC" w:rsidRDefault="006C0D9A" w:rsidP="006C0D9A">
      <w:pPr>
        <w:pStyle w:val="Normalaftertitle"/>
        <w:spacing w:before="120" w:after="120"/>
      </w:pPr>
      <w:r w:rsidRPr="00F36805">
        <w:rPr>
          <w:rFonts w:ascii="Calibri" w:hAnsi="Calibri" w:cs="Calibri"/>
          <w:lang w:val="es-ES" w:eastAsia="zh-CN"/>
        </w:rPr>
        <w:t xml:space="preserve">El presente </w:t>
      </w:r>
      <w:proofErr w:type="spellStart"/>
      <w:r w:rsidRPr="00F36805">
        <w:rPr>
          <w:rFonts w:ascii="Calibri" w:hAnsi="Calibri" w:cs="Calibri"/>
          <w:lang w:val="es-ES" w:eastAsia="zh-CN"/>
        </w:rPr>
        <w:t>corrigéndum</w:t>
      </w:r>
      <w:proofErr w:type="spellEnd"/>
      <w:r w:rsidRPr="00F36805">
        <w:rPr>
          <w:rFonts w:ascii="Calibri" w:hAnsi="Calibri" w:cs="Calibri"/>
          <w:lang w:val="es-ES" w:eastAsia="zh-CN"/>
        </w:rPr>
        <w:t xml:space="preserve"> se aplica al resumen de decisiones y se refiere únicamente a la columna </w:t>
      </w:r>
      <w:r>
        <w:rPr>
          <w:rFonts w:ascii="Calibri" w:hAnsi="Calibri" w:cs="Calibri"/>
          <w:lang w:val="es-ES" w:eastAsia="zh-CN"/>
        </w:rPr>
        <w:t>«</w:t>
      </w:r>
      <w:r w:rsidRPr="00F36805">
        <w:rPr>
          <w:rFonts w:ascii="Calibri" w:hAnsi="Calibri" w:cs="Calibri"/>
          <w:lang w:val="es-ES" w:eastAsia="zh-CN"/>
        </w:rPr>
        <w:t>Acción/decisión y motivos</w:t>
      </w:r>
      <w:r>
        <w:rPr>
          <w:rFonts w:ascii="Calibri" w:hAnsi="Calibri" w:cs="Calibri"/>
          <w:lang w:val="es-ES" w:eastAsia="zh-CN"/>
        </w:rPr>
        <w:t>»</w:t>
      </w:r>
      <w:r w:rsidRPr="00F36805">
        <w:rPr>
          <w:rFonts w:ascii="Calibri" w:hAnsi="Calibri" w:cs="Calibri"/>
          <w:lang w:val="es-ES" w:eastAsia="zh-CN"/>
        </w:rPr>
        <w:t>, como se indica a continuación:</w:t>
      </w:r>
    </w:p>
    <w:p w14:paraId="2E9E93AE" w14:textId="6F21C0EB" w:rsidR="00D165DC" w:rsidRDefault="006C0D9A" w:rsidP="006C0D9A">
      <w:pPr>
        <w:tabs>
          <w:tab w:val="clear" w:pos="794"/>
          <w:tab w:val="clear" w:pos="1191"/>
          <w:tab w:val="clear" w:pos="1588"/>
          <w:tab w:val="clear" w:pos="1985"/>
        </w:tabs>
        <w:overflowPunct/>
        <w:autoSpaceDE/>
        <w:autoSpaceDN/>
        <w:adjustRightInd/>
        <w:spacing w:after="240"/>
        <w:textAlignment w:val="auto"/>
        <w:rPr>
          <w:rFonts w:ascii="Calibri" w:hAnsi="Calibri" w:cs="Calibri"/>
          <w:lang w:val="es-ES" w:eastAsia="zh-CN"/>
        </w:rPr>
      </w:pPr>
      <w:r w:rsidRPr="00F36805">
        <w:rPr>
          <w:rFonts w:ascii="Calibri" w:hAnsi="Calibri" w:cs="Calibri"/>
          <w:lang w:val="es-ES" w:eastAsia="zh-CN"/>
        </w:rPr>
        <w:t xml:space="preserve">En el marco del punto 7 del orden del día </w:t>
      </w:r>
      <w:r>
        <w:rPr>
          <w:rFonts w:ascii="Calibri" w:hAnsi="Calibri" w:cs="Calibri"/>
          <w:lang w:val="es-ES" w:eastAsia="zh-CN"/>
        </w:rPr>
        <w:t>«</w:t>
      </w:r>
      <w:r w:rsidRPr="00F36805">
        <w:rPr>
          <w:rFonts w:ascii="Calibri" w:hAnsi="Calibri" w:cs="Calibri"/>
          <w:lang w:val="es-ES" w:eastAsia="zh-CN"/>
        </w:rPr>
        <w:t xml:space="preserve">Cuestiones relativas a la prestación de servicios por satélite STARLINK en el territorio de la República Islámica </w:t>
      </w:r>
      <w:proofErr w:type="spellStart"/>
      <w:r w:rsidRPr="00F36805">
        <w:rPr>
          <w:rFonts w:ascii="Calibri" w:hAnsi="Calibri" w:cs="Calibri"/>
          <w:lang w:val="es-ES" w:eastAsia="zh-CN"/>
        </w:rPr>
        <w:t>del</w:t>
      </w:r>
      <w:proofErr w:type="spellEnd"/>
      <w:r w:rsidRPr="00F36805">
        <w:rPr>
          <w:rFonts w:ascii="Calibri" w:hAnsi="Calibri" w:cs="Calibri"/>
          <w:lang w:val="es-ES" w:eastAsia="zh-CN"/>
        </w:rPr>
        <w:t xml:space="preserve"> Irán</w:t>
      </w:r>
      <w:r>
        <w:rPr>
          <w:rFonts w:ascii="Calibri" w:hAnsi="Calibri" w:cs="Calibri"/>
          <w:lang w:val="es-ES" w:eastAsia="zh-CN"/>
        </w:rPr>
        <w:t>»</w:t>
      </w:r>
      <w:r w:rsidRPr="00F36805">
        <w:rPr>
          <w:rFonts w:ascii="Calibri" w:hAnsi="Calibri" w:cs="Calibri"/>
          <w:lang w:val="es-ES" w:eastAsia="zh-CN"/>
        </w:rPr>
        <w:t>, sustitúyase:</w:t>
      </w:r>
    </w:p>
    <w:tbl>
      <w:tblPr>
        <w:tblStyle w:val="TableGrid"/>
        <w:tblW w:w="0" w:type="auto"/>
        <w:tblInd w:w="-5" w:type="dxa"/>
        <w:tblLook w:val="04A0" w:firstRow="1" w:lastRow="0" w:firstColumn="1" w:lastColumn="0" w:noHBand="0" w:noVBand="1"/>
      </w:tblPr>
      <w:tblGrid>
        <w:gridCol w:w="9634"/>
      </w:tblGrid>
      <w:tr w:rsidR="006C0D9A" w:rsidRPr="00F36805" w14:paraId="136DD005" w14:textId="77777777" w:rsidTr="006C0D9A">
        <w:trPr>
          <w:tblHeader/>
        </w:trPr>
        <w:tc>
          <w:tcPr>
            <w:tcW w:w="9634" w:type="dxa"/>
            <w:shd w:val="clear" w:color="auto" w:fill="DBE5F1" w:themeFill="accent1" w:themeFillTint="33"/>
          </w:tcPr>
          <w:p w14:paraId="327A286E" w14:textId="77777777" w:rsidR="006C0D9A" w:rsidRPr="00F36805" w:rsidRDefault="006C0D9A" w:rsidP="00BA0DA5">
            <w:pPr>
              <w:pStyle w:val="Default"/>
              <w:spacing w:after="120"/>
              <w:ind w:left="360"/>
              <w:jc w:val="center"/>
              <w:rPr>
                <w:rFonts w:ascii="Calibri" w:hAnsi="Calibri" w:cs="Calibri"/>
                <w:b/>
                <w:bCs/>
                <w:sz w:val="22"/>
                <w:szCs w:val="22"/>
                <w:lang w:val="es-ES"/>
              </w:rPr>
            </w:pPr>
            <w:r w:rsidRPr="00F36805">
              <w:rPr>
                <w:rFonts w:ascii="Calibri" w:hAnsi="Calibri" w:cs="Calibri"/>
                <w:b/>
                <w:bCs/>
                <w:sz w:val="22"/>
                <w:szCs w:val="22"/>
                <w:lang w:val="es-ES"/>
              </w:rPr>
              <w:t>Acción/decisión y motivos</w:t>
            </w:r>
          </w:p>
        </w:tc>
      </w:tr>
      <w:tr w:rsidR="006C0D9A" w:rsidRPr="00F36805" w14:paraId="71A1683E" w14:textId="77777777" w:rsidTr="006C0D9A">
        <w:tc>
          <w:tcPr>
            <w:tcW w:w="9634" w:type="dxa"/>
          </w:tcPr>
          <w:p w14:paraId="76D201F1" w14:textId="34C9EEE4" w:rsidR="006C0D9A" w:rsidRPr="00F36805" w:rsidRDefault="006C0D9A" w:rsidP="00BA0DA5">
            <w:pPr>
              <w:spacing w:after="120"/>
              <w:jc w:val="both"/>
              <w:rPr>
                <w:rFonts w:ascii="Calibri" w:hAnsi="Calibri" w:cs="Calibri"/>
                <w:lang w:val="es-ES" w:eastAsia="zh-CN"/>
              </w:rPr>
            </w:pPr>
            <w:r w:rsidRPr="00F36805">
              <w:rPr>
                <w:rFonts w:ascii="Calibri" w:hAnsi="Calibri" w:cs="Calibri"/>
                <w:lang w:val="es-ES" w:eastAsia="zh-CN"/>
              </w:rPr>
              <w:t>En lo que se refiere a la información presentada por las Administraciones de Noruega y Estados</w:t>
            </w:r>
            <w:r>
              <w:rPr>
                <w:rFonts w:ascii="Calibri" w:hAnsi="Calibri" w:cs="Calibri"/>
                <w:lang w:val="es-ES" w:eastAsia="zh-CN"/>
              </w:rPr>
              <w:t> </w:t>
            </w:r>
            <w:r w:rsidRPr="00F36805">
              <w:rPr>
                <w:rFonts w:ascii="Calibri" w:hAnsi="Calibri" w:cs="Calibri"/>
                <w:lang w:val="es-ES" w:eastAsia="zh-CN"/>
              </w:rPr>
              <w:t xml:space="preserve">Unidos, la Junta lamentó que ésta no estuviese centrada en las eventuales soluciones y expresó su grave preocupación por la total falta de progresos realizados desde su 96ª reunión para resolver este problema de larga data. Aclaró además que no corresponde al operador de satélites ni a la administración notificante rastrear las estaciones terrenas con licencia de otros países para determinar su ubicación y conformidad con el contrato de servicios ni suprimir un territorio de la zona de cobertura del satélite, pero que, una vez conocidas las transmisiones no autorizadas en un territorio concreto, es obligación del operador de satélites tomar todas las medidas a su alcance para poner fin a la situación de conformidad con el </w:t>
            </w:r>
            <w:r w:rsidRPr="00F36805">
              <w:rPr>
                <w:rFonts w:ascii="Calibri" w:hAnsi="Calibri" w:cs="Calibri"/>
                <w:i/>
                <w:iCs/>
                <w:lang w:val="es-ES" w:eastAsia="zh-CN"/>
              </w:rPr>
              <w:t xml:space="preserve">resuelve </w:t>
            </w:r>
            <w:r w:rsidRPr="00F36805">
              <w:rPr>
                <w:rFonts w:ascii="Calibri" w:hAnsi="Calibri" w:cs="Calibri"/>
                <w:lang w:val="es-ES" w:eastAsia="zh-CN"/>
              </w:rPr>
              <w:t>3ii) de la Resolución</w:t>
            </w:r>
            <w:r>
              <w:rPr>
                <w:rFonts w:ascii="Calibri" w:hAnsi="Calibri" w:cs="Calibri"/>
                <w:lang w:val="es-ES" w:eastAsia="zh-CN"/>
              </w:rPr>
              <w:t> </w:t>
            </w:r>
            <w:r w:rsidRPr="00F36805">
              <w:rPr>
                <w:rFonts w:ascii="Calibri" w:hAnsi="Calibri" w:cs="Calibri"/>
                <w:b/>
                <w:bCs/>
                <w:lang w:val="es-ES" w:eastAsia="zh-CN"/>
              </w:rPr>
              <w:t>22 (Rev.</w:t>
            </w:r>
            <w:r>
              <w:rPr>
                <w:rFonts w:ascii="Calibri" w:hAnsi="Calibri" w:cs="Calibri"/>
                <w:b/>
                <w:bCs/>
                <w:lang w:val="es-ES" w:eastAsia="zh-CN"/>
              </w:rPr>
              <w:t> </w:t>
            </w:r>
            <w:r w:rsidRPr="00F36805">
              <w:rPr>
                <w:rFonts w:ascii="Calibri" w:hAnsi="Calibri" w:cs="Calibri"/>
                <w:b/>
                <w:bCs/>
                <w:lang w:val="es-ES" w:eastAsia="zh-CN"/>
              </w:rPr>
              <w:t>CMR-23)</w:t>
            </w:r>
            <w:r w:rsidRPr="00F36805">
              <w:rPr>
                <w:rFonts w:ascii="Calibri" w:hAnsi="Calibri" w:cs="Calibri"/>
                <w:lang w:val="es-ES" w:eastAsia="zh-CN"/>
              </w:rPr>
              <w:t xml:space="preserve">; y que esa obligación no debe de estar condicionada a la capacidad de la administración denunciante de facilitar información sobre los terminales que funcionan sin autorización. </w:t>
            </w:r>
          </w:p>
        </w:tc>
      </w:tr>
    </w:tbl>
    <w:p w14:paraId="2710FC85" w14:textId="77777777" w:rsidR="006C0D9A" w:rsidRDefault="006C0D9A" w:rsidP="006C0D9A">
      <w:pPr>
        <w:tabs>
          <w:tab w:val="clear" w:pos="794"/>
          <w:tab w:val="clear" w:pos="1191"/>
          <w:tab w:val="clear" w:pos="1588"/>
          <w:tab w:val="clear" w:pos="1985"/>
        </w:tabs>
        <w:overflowPunct/>
        <w:autoSpaceDE/>
        <w:autoSpaceDN/>
        <w:adjustRightInd/>
        <w:spacing w:after="120"/>
        <w:textAlignment w:val="auto"/>
        <w:rPr>
          <w:rFonts w:ascii="Calibri" w:hAnsi="Calibri" w:cs="Calibri"/>
          <w:lang w:val="es-ES" w:eastAsia="zh-CN"/>
        </w:rPr>
      </w:pPr>
    </w:p>
    <w:p w14:paraId="0A3080B2" w14:textId="01C5DDE5" w:rsidR="006C0D9A" w:rsidRDefault="006C0D9A">
      <w:pPr>
        <w:tabs>
          <w:tab w:val="clear" w:pos="794"/>
          <w:tab w:val="clear" w:pos="1191"/>
          <w:tab w:val="clear" w:pos="1588"/>
          <w:tab w:val="clear" w:pos="1985"/>
        </w:tabs>
        <w:overflowPunct/>
        <w:autoSpaceDE/>
        <w:autoSpaceDN/>
        <w:adjustRightInd/>
        <w:spacing w:before="0"/>
        <w:textAlignment w:val="auto"/>
        <w:rPr>
          <w:rFonts w:ascii="Calibri" w:hAnsi="Calibri" w:cs="Calibri"/>
          <w:lang w:val="es-ES" w:eastAsia="zh-CN"/>
        </w:rPr>
      </w:pPr>
    </w:p>
    <w:p w14:paraId="5478CD8C" w14:textId="77777777" w:rsidR="006C0D9A" w:rsidRDefault="006C0D9A">
      <w:pPr>
        <w:tabs>
          <w:tab w:val="clear" w:pos="794"/>
          <w:tab w:val="clear" w:pos="1191"/>
          <w:tab w:val="clear" w:pos="1588"/>
          <w:tab w:val="clear" w:pos="1985"/>
        </w:tabs>
        <w:overflowPunct/>
        <w:autoSpaceDE/>
        <w:autoSpaceDN/>
        <w:adjustRightInd/>
        <w:spacing w:before="0"/>
        <w:textAlignment w:val="auto"/>
        <w:rPr>
          <w:rFonts w:ascii="Calibri" w:hAnsi="Calibri" w:cs="Calibri"/>
          <w:lang w:val="es-ES" w:eastAsia="zh-CN"/>
        </w:rPr>
      </w:pPr>
      <w:r>
        <w:rPr>
          <w:rFonts w:ascii="Calibri" w:hAnsi="Calibri" w:cs="Calibri"/>
          <w:lang w:val="es-ES" w:eastAsia="zh-CN"/>
        </w:rPr>
        <w:br w:type="page"/>
      </w:r>
    </w:p>
    <w:p w14:paraId="6A4B3951" w14:textId="1A7D5028" w:rsidR="006C0D9A" w:rsidRDefault="006C0D9A" w:rsidP="006C0D9A">
      <w:pPr>
        <w:tabs>
          <w:tab w:val="clear" w:pos="794"/>
          <w:tab w:val="clear" w:pos="1191"/>
          <w:tab w:val="clear" w:pos="1588"/>
          <w:tab w:val="clear" w:pos="1985"/>
        </w:tabs>
        <w:overflowPunct/>
        <w:autoSpaceDE/>
        <w:autoSpaceDN/>
        <w:adjustRightInd/>
        <w:spacing w:after="120"/>
        <w:textAlignment w:val="auto"/>
        <w:rPr>
          <w:lang w:val="es-ES"/>
        </w:rPr>
      </w:pPr>
      <w:r w:rsidRPr="00F36805">
        <w:rPr>
          <w:rFonts w:ascii="Calibri" w:hAnsi="Calibri" w:cs="Calibri"/>
          <w:lang w:val="es-ES" w:eastAsia="zh-CN"/>
        </w:rPr>
        <w:lastRenderedPageBreak/>
        <w:t>Por:</w:t>
      </w:r>
    </w:p>
    <w:tbl>
      <w:tblPr>
        <w:tblStyle w:val="TableGrid"/>
        <w:tblW w:w="0" w:type="auto"/>
        <w:tblInd w:w="-5" w:type="dxa"/>
        <w:tblLook w:val="04A0" w:firstRow="1" w:lastRow="0" w:firstColumn="1" w:lastColumn="0" w:noHBand="0" w:noVBand="1"/>
      </w:tblPr>
      <w:tblGrid>
        <w:gridCol w:w="9634"/>
      </w:tblGrid>
      <w:tr w:rsidR="006C0D9A" w:rsidRPr="00F36805" w14:paraId="09429128" w14:textId="77777777" w:rsidTr="00BA0DA5">
        <w:trPr>
          <w:tblHeader/>
        </w:trPr>
        <w:tc>
          <w:tcPr>
            <w:tcW w:w="9742" w:type="dxa"/>
            <w:shd w:val="clear" w:color="auto" w:fill="DBE5F1" w:themeFill="accent1" w:themeFillTint="33"/>
          </w:tcPr>
          <w:p w14:paraId="2C350661" w14:textId="77777777" w:rsidR="006C0D9A" w:rsidRPr="00F36805" w:rsidRDefault="006C0D9A" w:rsidP="00BA0DA5">
            <w:pPr>
              <w:pStyle w:val="Default"/>
              <w:spacing w:after="120"/>
              <w:ind w:left="360"/>
              <w:jc w:val="center"/>
              <w:rPr>
                <w:rFonts w:ascii="Calibri" w:hAnsi="Calibri" w:cs="Calibri"/>
                <w:b/>
                <w:bCs/>
                <w:sz w:val="22"/>
                <w:szCs w:val="22"/>
                <w:lang w:val="es-ES"/>
              </w:rPr>
            </w:pPr>
            <w:r w:rsidRPr="00F36805">
              <w:rPr>
                <w:rFonts w:ascii="Calibri" w:hAnsi="Calibri" w:cs="Calibri"/>
                <w:b/>
                <w:bCs/>
                <w:sz w:val="22"/>
                <w:szCs w:val="22"/>
                <w:lang w:val="es-ES"/>
              </w:rPr>
              <w:t>Acción/decisión y motivos</w:t>
            </w:r>
          </w:p>
        </w:tc>
      </w:tr>
      <w:tr w:rsidR="006C0D9A" w:rsidRPr="00F36805" w14:paraId="5066A378" w14:textId="77777777" w:rsidTr="00BA0DA5">
        <w:tc>
          <w:tcPr>
            <w:tcW w:w="9742" w:type="dxa"/>
          </w:tcPr>
          <w:p w14:paraId="59C75DCF" w14:textId="3CBE5FA7" w:rsidR="006C0D9A" w:rsidRPr="00F36805" w:rsidRDefault="006C0D9A" w:rsidP="00BA0DA5">
            <w:pPr>
              <w:spacing w:after="120"/>
              <w:jc w:val="both"/>
              <w:rPr>
                <w:rFonts w:ascii="Calibri" w:hAnsi="Calibri" w:cs="Calibri"/>
                <w:lang w:val="es-ES" w:eastAsia="zh-CN"/>
              </w:rPr>
            </w:pPr>
            <w:r w:rsidRPr="00F36805">
              <w:rPr>
                <w:rFonts w:ascii="Calibri" w:hAnsi="Calibri" w:cs="Calibri"/>
                <w:lang w:val="es-ES" w:eastAsia="zh-CN"/>
              </w:rPr>
              <w:t>En lo que se refiere a la información presentada por las Administraciones de Noruega y Estados</w:t>
            </w:r>
            <w:r>
              <w:rPr>
                <w:rFonts w:ascii="Calibri" w:hAnsi="Calibri" w:cs="Calibri"/>
                <w:lang w:val="es-ES" w:eastAsia="zh-CN"/>
              </w:rPr>
              <w:t> </w:t>
            </w:r>
            <w:r w:rsidRPr="00F36805">
              <w:rPr>
                <w:rFonts w:ascii="Calibri" w:hAnsi="Calibri" w:cs="Calibri"/>
                <w:lang w:val="es-ES" w:eastAsia="zh-CN"/>
              </w:rPr>
              <w:t xml:space="preserve">Unidos, la Junta lamentó que ésta no estuviese centrada en las eventuales soluciones y expresó su grave preocupación por la total falta de progresos realizados desde su 96ª reunión para resolver este problema de larga data. Aclaró además que no corresponde al operador de satélites ni a la administración notificante rastrear las estaciones terrenas con licencia de otros países para determinar su ubicación y conformidad con el contrato de servicios ni suprimir un territorio de la zona de cobertura del satélite, pero que, una vez conocidas las transmisiones no autorizadas en un territorio concreto, es obligación del operador de satélites tomar todas las medidas a su alcance para poner fin a la situación de conformidad con el </w:t>
            </w:r>
            <w:r w:rsidRPr="00F36805">
              <w:rPr>
                <w:rFonts w:ascii="Calibri" w:hAnsi="Calibri" w:cs="Calibri"/>
                <w:i/>
                <w:iCs/>
                <w:lang w:val="es-ES" w:eastAsia="zh-CN"/>
              </w:rPr>
              <w:t xml:space="preserve">resuelve </w:t>
            </w:r>
            <w:r w:rsidRPr="00F36805">
              <w:rPr>
                <w:rFonts w:ascii="Calibri" w:hAnsi="Calibri" w:cs="Calibri"/>
                <w:lang w:val="es-ES" w:eastAsia="zh-CN"/>
              </w:rPr>
              <w:t>3ii) de la Resolución</w:t>
            </w:r>
            <w:r>
              <w:rPr>
                <w:rFonts w:ascii="Calibri" w:hAnsi="Calibri" w:cs="Calibri"/>
                <w:lang w:val="es-ES" w:eastAsia="zh-CN"/>
              </w:rPr>
              <w:t> </w:t>
            </w:r>
            <w:r w:rsidRPr="00F36805">
              <w:rPr>
                <w:rFonts w:ascii="Calibri" w:hAnsi="Calibri" w:cs="Calibri"/>
                <w:b/>
                <w:bCs/>
                <w:lang w:val="es-ES" w:eastAsia="zh-CN"/>
              </w:rPr>
              <w:t>22 (Rev.</w:t>
            </w:r>
            <w:r>
              <w:rPr>
                <w:rFonts w:ascii="Calibri" w:hAnsi="Calibri" w:cs="Calibri"/>
                <w:b/>
                <w:bCs/>
                <w:lang w:val="es-ES" w:eastAsia="zh-CN"/>
              </w:rPr>
              <w:t> </w:t>
            </w:r>
            <w:r w:rsidRPr="00F36805">
              <w:rPr>
                <w:rFonts w:ascii="Calibri" w:hAnsi="Calibri" w:cs="Calibri"/>
                <w:b/>
                <w:bCs/>
                <w:lang w:val="es-ES" w:eastAsia="zh-CN"/>
              </w:rPr>
              <w:t>CMR-23)</w:t>
            </w:r>
            <w:r w:rsidRPr="00F36805">
              <w:rPr>
                <w:rFonts w:ascii="Calibri" w:hAnsi="Calibri" w:cs="Calibri"/>
                <w:lang w:val="es-ES" w:eastAsia="zh-CN"/>
              </w:rPr>
              <w:t>; y que esa obligación no debe de estar condicionada a la capacidad de la administración denunciante de facilitar información sobre los terminales que funcionan sin autorización.</w:t>
            </w:r>
          </w:p>
        </w:tc>
      </w:tr>
    </w:tbl>
    <w:p w14:paraId="529AAF6A" w14:textId="77777777" w:rsidR="006C0D9A" w:rsidRPr="00E34300" w:rsidRDefault="006C0D9A" w:rsidP="00411C49">
      <w:pPr>
        <w:pStyle w:val="Reasons"/>
        <w:rPr>
          <w:lang w:val="fr-CH"/>
        </w:rPr>
      </w:pPr>
    </w:p>
    <w:p w14:paraId="13484FE0" w14:textId="77777777" w:rsidR="006C0D9A" w:rsidRDefault="006C0D9A">
      <w:pPr>
        <w:jc w:val="center"/>
      </w:pPr>
      <w:r>
        <w:t>______________</w:t>
      </w:r>
    </w:p>
    <w:p w14:paraId="18F92D71" w14:textId="77777777" w:rsidR="00E50C03" w:rsidRDefault="00E50C03" w:rsidP="006C0D9A">
      <w:pPr>
        <w:tabs>
          <w:tab w:val="clear" w:pos="794"/>
          <w:tab w:val="clear" w:pos="1191"/>
          <w:tab w:val="clear" w:pos="1588"/>
          <w:tab w:val="clear" w:pos="1985"/>
        </w:tabs>
        <w:overflowPunct/>
        <w:autoSpaceDE/>
        <w:autoSpaceDN/>
        <w:adjustRightInd/>
        <w:spacing w:after="120"/>
        <w:textAlignment w:val="auto"/>
      </w:pPr>
    </w:p>
    <w:sectPr w:rsidR="00E50C03">
      <w:headerReference w:type="default" r:id="rId7"/>
      <w:foot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1DFE9" w14:textId="77777777" w:rsidR="006C0D9A" w:rsidRDefault="006C0D9A">
      <w:r>
        <w:separator/>
      </w:r>
    </w:p>
  </w:endnote>
  <w:endnote w:type="continuationSeparator" w:id="0">
    <w:p w14:paraId="25D7F70A" w14:textId="77777777" w:rsidR="006C0D9A" w:rsidRDefault="006C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6D071" w14:textId="4B4CA91E" w:rsidR="00B46F58" w:rsidRDefault="00B46F58" w:rsidP="00640B4D">
    <w:pPr>
      <w:pStyle w:val="Footer"/>
      <w:rPr>
        <w:lang w:val="en-US"/>
      </w:rPr>
    </w:pPr>
    <w:r>
      <w:fldChar w:fldCharType="begin"/>
    </w:r>
    <w:r w:rsidRPr="00526A8C">
      <w:rPr>
        <w:lang w:val="en-US"/>
      </w:rPr>
      <w:instrText xml:space="preserve"> FILENAME \p \* MERGEFORMAT </w:instrText>
    </w:r>
    <w:r>
      <w:fldChar w:fldCharType="separate"/>
    </w:r>
    <w:r w:rsidR="00016CD2">
      <w:rPr>
        <w:lang w:val="en-US"/>
      </w:rPr>
      <w:t>M:\RRB\RRB24\RRB24-3\Summary\023CORR1S.docx</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D58EB" w14:textId="77777777" w:rsidR="006C0D9A" w:rsidRDefault="006C0D9A">
      <w:r>
        <w:t>____________________</w:t>
      </w:r>
    </w:p>
  </w:footnote>
  <w:footnote w:type="continuationSeparator" w:id="0">
    <w:p w14:paraId="793192F4" w14:textId="77777777" w:rsidR="006C0D9A" w:rsidRDefault="006C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1456"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348E2127" w14:textId="10DE269C" w:rsidR="00B46F58" w:rsidRDefault="00692B95" w:rsidP="00F31656">
    <w:pPr>
      <w:pStyle w:val="Header"/>
      <w:rPr>
        <w:lang w:val="es-ES"/>
      </w:rPr>
    </w:pPr>
    <w:r>
      <w:t>RRB</w:t>
    </w:r>
    <w:r w:rsidR="006C0D9A">
      <w:t>24</w:t>
    </w:r>
    <w:r>
      <w:t>-</w:t>
    </w:r>
    <w:r w:rsidR="006C0D9A">
      <w:t>3</w:t>
    </w:r>
    <w:r>
      <w:t>/</w:t>
    </w:r>
    <w:r w:rsidR="006C0D9A">
      <w:t>23(Cor.1)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9A"/>
    <w:rsid w:val="00016CD2"/>
    <w:rsid w:val="00032A7C"/>
    <w:rsid w:val="00066621"/>
    <w:rsid w:val="00075863"/>
    <w:rsid w:val="000828AD"/>
    <w:rsid w:val="001106DA"/>
    <w:rsid w:val="001721C0"/>
    <w:rsid w:val="001B0379"/>
    <w:rsid w:val="0029541E"/>
    <w:rsid w:val="002F01B5"/>
    <w:rsid w:val="00321707"/>
    <w:rsid w:val="003661C9"/>
    <w:rsid w:val="003858D8"/>
    <w:rsid w:val="003A2F75"/>
    <w:rsid w:val="003D6CD4"/>
    <w:rsid w:val="00414D8B"/>
    <w:rsid w:val="004865FC"/>
    <w:rsid w:val="00526A8C"/>
    <w:rsid w:val="005B0B9D"/>
    <w:rsid w:val="00610642"/>
    <w:rsid w:val="00640B4D"/>
    <w:rsid w:val="00692B95"/>
    <w:rsid w:val="006C0D9A"/>
    <w:rsid w:val="006C37A3"/>
    <w:rsid w:val="006E291F"/>
    <w:rsid w:val="007950C3"/>
    <w:rsid w:val="00867CA2"/>
    <w:rsid w:val="009411D4"/>
    <w:rsid w:val="009538B2"/>
    <w:rsid w:val="009F0570"/>
    <w:rsid w:val="009F18F2"/>
    <w:rsid w:val="00A93E62"/>
    <w:rsid w:val="00AC28E2"/>
    <w:rsid w:val="00AD6AE8"/>
    <w:rsid w:val="00B41789"/>
    <w:rsid w:val="00B46F58"/>
    <w:rsid w:val="00B72C66"/>
    <w:rsid w:val="00BD2B15"/>
    <w:rsid w:val="00C16E44"/>
    <w:rsid w:val="00C26354"/>
    <w:rsid w:val="00C95793"/>
    <w:rsid w:val="00CB7A43"/>
    <w:rsid w:val="00CF7B1D"/>
    <w:rsid w:val="00D165DC"/>
    <w:rsid w:val="00DB79CA"/>
    <w:rsid w:val="00E16682"/>
    <w:rsid w:val="00E34300"/>
    <w:rsid w:val="00E50C03"/>
    <w:rsid w:val="00E6332C"/>
    <w:rsid w:val="00E95D50"/>
    <w:rsid w:val="00EA28E9"/>
    <w:rsid w:val="00EB285E"/>
    <w:rsid w:val="00ED11DE"/>
    <w:rsid w:val="00EE7443"/>
    <w:rsid w:val="00EF5454"/>
    <w:rsid w:val="00F31656"/>
    <w:rsid w:val="00F454DB"/>
    <w:rsid w:val="00FB29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2B850"/>
  <w15:docId w15:val="{5600A593-068E-4130-95F0-5E18A30F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39"/>
    <w:rsid w:val="006C0D9A"/>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C0D9A"/>
    <w:pPr>
      <w:autoSpaceDE w:val="0"/>
      <w:autoSpaceDN w:val="0"/>
      <w:adjustRightInd w:val="0"/>
    </w:pPr>
    <w:rPr>
      <w:rFonts w:ascii="Arial" w:eastAsiaTheme="minorEastAsia" w:hAnsi="Arial" w:cs="Arial"/>
      <w:color w:val="000000"/>
      <w:sz w:val="24"/>
      <w:szCs w:val="24"/>
    </w:rPr>
  </w:style>
  <w:style w:type="paragraph" w:customStyle="1" w:styleId="Reasons">
    <w:name w:val="Reasons"/>
    <w:basedOn w:val="Normal"/>
    <w:qFormat/>
    <w:rsid w:val="006C0D9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BR\PS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PS_RRB.dotx</Template>
  <TotalTime>2</TotalTime>
  <Pages>2</Pages>
  <Words>439</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Spanish</dc:creator>
  <cp:keywords>RAG03-1</cp:keywords>
  <dc:description>PS_RRB.DOT  For: _x000d_Document date: _x000d_Saved by TRA44246 at 19:27:50 on 18.11.2008</dc:description>
  <cp:lastModifiedBy>Gozal, Karine</cp:lastModifiedBy>
  <cp:revision>3</cp:revision>
  <cp:lastPrinted>2025-01-27T07:14:00Z</cp:lastPrinted>
  <dcterms:created xsi:type="dcterms:W3CDTF">2025-01-27T07:14:00Z</dcterms:created>
  <dcterms:modified xsi:type="dcterms:W3CDTF">2025-01-27T07:14:00Z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