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228A863" w14:textId="77777777" w:rsidTr="00553F66">
        <w:trPr>
          <w:cantSplit/>
          <w:trHeight w:val="20"/>
        </w:trPr>
        <w:tc>
          <w:tcPr>
            <w:tcW w:w="6619" w:type="dxa"/>
          </w:tcPr>
          <w:p w14:paraId="1AECB46F" w14:textId="77777777" w:rsidR="00280E04" w:rsidRPr="00136B82" w:rsidRDefault="00553F66" w:rsidP="00766743">
            <w:pPr>
              <w:pStyle w:val="LOGO"/>
              <w:framePr w:hSpace="0" w:wrap="auto" w:xAlign="left" w:yAlign="inline"/>
              <w:spacing w:line="192" w:lineRule="auto"/>
              <w:rPr>
                <w:rtl/>
              </w:rPr>
            </w:pPr>
            <w:r>
              <w:rPr>
                <w:rFonts w:hint="cs"/>
                <w:rtl/>
              </w:rPr>
              <w:t>لجنة لوائح الراديو</w:t>
            </w:r>
            <w:r w:rsidR="00766743">
              <w:rPr>
                <w:rtl/>
              </w:rPr>
              <w:br/>
            </w:r>
            <w:r w:rsidRPr="00553F66">
              <w:rPr>
                <w:rFonts w:hint="cs"/>
                <w:sz w:val="24"/>
                <w:szCs w:val="24"/>
                <w:rtl/>
              </w:rPr>
              <w:t xml:space="preserve">جنيف، </w:t>
            </w:r>
            <w:r w:rsidR="00C26107">
              <w:rPr>
                <w:sz w:val="24"/>
                <w:szCs w:val="24"/>
              </w:rPr>
              <w:t>19-11</w:t>
            </w:r>
            <w:r w:rsidR="00C26107">
              <w:rPr>
                <w:rFonts w:hint="cs"/>
                <w:sz w:val="24"/>
                <w:szCs w:val="24"/>
                <w:rtl/>
              </w:rPr>
              <w:t xml:space="preserve"> نوفمبر </w:t>
            </w:r>
            <w:r w:rsidR="00C26107">
              <w:rPr>
                <w:sz w:val="24"/>
                <w:szCs w:val="24"/>
              </w:rPr>
              <w:t>2024</w:t>
            </w:r>
          </w:p>
        </w:tc>
        <w:tc>
          <w:tcPr>
            <w:tcW w:w="3053" w:type="dxa"/>
          </w:tcPr>
          <w:p w14:paraId="05D2C6FE" w14:textId="77777777" w:rsidR="00280E04" w:rsidRDefault="00553F66" w:rsidP="00B41D8B">
            <w:pPr>
              <w:spacing w:before="0"/>
              <w:jc w:val="left"/>
              <w:rPr>
                <w:rtl/>
                <w:lang w:bidi="ar-EG"/>
              </w:rPr>
            </w:pPr>
            <w:bookmarkStart w:id="0" w:name="ditulogo"/>
            <w:bookmarkEnd w:id="0"/>
            <w:r w:rsidRPr="00C126C1">
              <w:rPr>
                <w:noProof/>
                <w:lang w:eastAsia="zh-CN"/>
              </w:rPr>
              <w:drawing>
                <wp:inline distT="0" distB="0" distL="0" distR="0" wp14:anchorId="024DBE33" wp14:editId="7B866BA3">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10D3A216" w14:textId="77777777" w:rsidTr="00553F66">
        <w:trPr>
          <w:cantSplit/>
          <w:trHeight w:val="20"/>
        </w:trPr>
        <w:tc>
          <w:tcPr>
            <w:tcW w:w="6619" w:type="dxa"/>
            <w:tcBorders>
              <w:bottom w:val="single" w:sz="12" w:space="0" w:color="auto"/>
            </w:tcBorders>
          </w:tcPr>
          <w:p w14:paraId="6CD09496"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18E1284C" w14:textId="77777777" w:rsidR="00280E04" w:rsidRPr="00A9645C" w:rsidRDefault="00280E04" w:rsidP="002F3031">
            <w:pPr>
              <w:spacing w:before="0" w:line="120" w:lineRule="auto"/>
              <w:rPr>
                <w:lang w:bidi="ar-EG"/>
              </w:rPr>
            </w:pPr>
          </w:p>
        </w:tc>
      </w:tr>
      <w:tr w:rsidR="00280E04" w14:paraId="29A70F24" w14:textId="77777777" w:rsidTr="00553F66">
        <w:trPr>
          <w:cantSplit/>
          <w:trHeight w:val="20"/>
        </w:trPr>
        <w:tc>
          <w:tcPr>
            <w:tcW w:w="6619" w:type="dxa"/>
            <w:tcBorders>
              <w:top w:val="single" w:sz="12" w:space="0" w:color="auto"/>
            </w:tcBorders>
          </w:tcPr>
          <w:p w14:paraId="21FDDB7E" w14:textId="77777777" w:rsidR="00280E04" w:rsidRPr="00BD6EF3" w:rsidRDefault="00280E04" w:rsidP="008D6318">
            <w:pPr>
              <w:pStyle w:val="Adress"/>
              <w:framePr w:hSpace="0" w:wrap="auto" w:xAlign="left" w:yAlign="inline"/>
              <w:spacing w:before="0" w:after="0"/>
              <w:rPr>
                <w:rtl/>
              </w:rPr>
            </w:pPr>
          </w:p>
        </w:tc>
        <w:tc>
          <w:tcPr>
            <w:tcW w:w="3053" w:type="dxa"/>
            <w:tcBorders>
              <w:top w:val="single" w:sz="12" w:space="0" w:color="auto"/>
            </w:tcBorders>
          </w:tcPr>
          <w:p w14:paraId="22DA3EC7" w14:textId="77777777" w:rsidR="00280E04" w:rsidRPr="00BD6EF3" w:rsidRDefault="00280E04" w:rsidP="008D6318">
            <w:pPr>
              <w:pStyle w:val="Adress"/>
              <w:framePr w:hSpace="0" w:wrap="auto" w:xAlign="left" w:yAlign="inline"/>
              <w:spacing w:before="0" w:after="0"/>
            </w:pPr>
          </w:p>
        </w:tc>
      </w:tr>
      <w:tr w:rsidR="00A809E8" w14:paraId="2B6B7793" w14:textId="77777777" w:rsidTr="00553F66">
        <w:trPr>
          <w:cantSplit/>
        </w:trPr>
        <w:tc>
          <w:tcPr>
            <w:tcW w:w="6619" w:type="dxa"/>
          </w:tcPr>
          <w:p w14:paraId="08FCB06C" w14:textId="77777777" w:rsidR="00A809E8" w:rsidRPr="0012545F" w:rsidRDefault="00A809E8" w:rsidP="008D6318">
            <w:pPr>
              <w:pStyle w:val="Committee"/>
              <w:framePr w:hSpace="0" w:wrap="auto" w:hAnchor="text" w:yAlign="inline"/>
              <w:bidi/>
              <w:spacing w:before="0" w:after="0"/>
              <w:rPr>
                <w:rtl/>
              </w:rPr>
            </w:pPr>
          </w:p>
        </w:tc>
        <w:tc>
          <w:tcPr>
            <w:tcW w:w="3053" w:type="dxa"/>
            <w:vAlign w:val="center"/>
          </w:tcPr>
          <w:p w14:paraId="6108D8A1" w14:textId="3B9F145D" w:rsidR="00A809E8" w:rsidRPr="00307EA3" w:rsidRDefault="00045A58" w:rsidP="00211609">
            <w:pPr>
              <w:pStyle w:val="Adress"/>
              <w:framePr w:hSpace="0" w:wrap="auto" w:xAlign="left" w:yAlign="inline"/>
              <w:spacing w:before="0"/>
              <w:rPr>
                <w:rtl/>
              </w:rPr>
            </w:pPr>
            <w:r>
              <w:rPr>
                <w:rtl/>
              </w:rPr>
              <w:t>التصويب 1</w:t>
            </w:r>
            <w:r w:rsidR="00211609">
              <w:rPr>
                <w:rtl/>
              </w:rPr>
              <w:br/>
            </w:r>
            <w:r>
              <w:rPr>
                <w:rtl/>
              </w:rPr>
              <w:t xml:space="preserve">للوثيقة </w:t>
            </w:r>
            <w:r>
              <w:t>RRB24-3/23-A</w:t>
            </w:r>
          </w:p>
        </w:tc>
      </w:tr>
      <w:tr w:rsidR="00A809E8" w14:paraId="32B20570" w14:textId="77777777" w:rsidTr="00553F66">
        <w:trPr>
          <w:cantSplit/>
        </w:trPr>
        <w:tc>
          <w:tcPr>
            <w:tcW w:w="6619" w:type="dxa"/>
          </w:tcPr>
          <w:p w14:paraId="54D70922" w14:textId="77777777" w:rsidR="00A809E8" w:rsidRPr="0012545F" w:rsidRDefault="00A809E8" w:rsidP="008D6318">
            <w:pPr>
              <w:pStyle w:val="Adress"/>
              <w:framePr w:hSpace="0" w:wrap="auto" w:xAlign="left" w:yAlign="inline"/>
              <w:spacing w:before="0" w:after="0"/>
              <w:rPr>
                <w:rtl/>
              </w:rPr>
            </w:pPr>
          </w:p>
        </w:tc>
        <w:tc>
          <w:tcPr>
            <w:tcW w:w="3053" w:type="dxa"/>
            <w:vAlign w:val="center"/>
          </w:tcPr>
          <w:p w14:paraId="5886492C" w14:textId="61953F14" w:rsidR="00A809E8" w:rsidRPr="0012545F" w:rsidRDefault="00045A58" w:rsidP="008D6318">
            <w:pPr>
              <w:pStyle w:val="Adress"/>
              <w:framePr w:hSpace="0" w:wrap="auto" w:xAlign="left" w:yAlign="inline"/>
              <w:spacing w:before="0" w:after="0"/>
              <w:rPr>
                <w:rtl/>
              </w:rPr>
            </w:pPr>
            <w:r w:rsidRPr="005E61BE">
              <w:rPr>
                <w:rtl/>
              </w:rPr>
              <w:t>14 يناير 2025</w:t>
            </w:r>
          </w:p>
        </w:tc>
      </w:tr>
      <w:tr w:rsidR="00A809E8" w14:paraId="3385FD43" w14:textId="77777777" w:rsidTr="00553F66">
        <w:trPr>
          <w:cantSplit/>
        </w:trPr>
        <w:tc>
          <w:tcPr>
            <w:tcW w:w="6619" w:type="dxa"/>
          </w:tcPr>
          <w:p w14:paraId="7287551A" w14:textId="77777777" w:rsidR="00A809E8" w:rsidRPr="0012545F" w:rsidRDefault="00A809E8" w:rsidP="008D6318">
            <w:pPr>
              <w:pStyle w:val="Adress"/>
              <w:framePr w:hSpace="0" w:wrap="auto" w:xAlign="left" w:yAlign="inline"/>
              <w:spacing w:before="0" w:after="0"/>
              <w:rPr>
                <w:rFonts w:eastAsia="SimSun"/>
                <w:rtl/>
              </w:rPr>
            </w:pPr>
          </w:p>
        </w:tc>
        <w:tc>
          <w:tcPr>
            <w:tcW w:w="3053" w:type="dxa"/>
            <w:vAlign w:val="center"/>
          </w:tcPr>
          <w:p w14:paraId="4CD8C838" w14:textId="77777777" w:rsidR="00A809E8" w:rsidRPr="0012545F" w:rsidRDefault="00A809E8" w:rsidP="008D6318">
            <w:pPr>
              <w:pStyle w:val="Adress"/>
              <w:framePr w:hSpace="0" w:wrap="auto" w:xAlign="left" w:yAlign="inline"/>
              <w:spacing w:before="0" w:after="0"/>
              <w:rPr>
                <w:rFonts w:eastAsia="SimSun"/>
              </w:rPr>
            </w:pPr>
            <w:r w:rsidRPr="0012545F">
              <w:rPr>
                <w:rFonts w:hint="cs"/>
                <w:rtl/>
              </w:rPr>
              <w:t xml:space="preserve">الأصل: </w:t>
            </w:r>
            <w:r w:rsidRPr="00307EA3">
              <w:rPr>
                <w:rFonts w:hint="cs"/>
                <w:rtl/>
              </w:rPr>
              <w:t>بالإنكليزية</w:t>
            </w:r>
          </w:p>
        </w:tc>
      </w:tr>
      <w:tr w:rsidR="00764079" w14:paraId="79AF6119" w14:textId="77777777" w:rsidTr="00553F66">
        <w:trPr>
          <w:cantSplit/>
        </w:trPr>
        <w:tc>
          <w:tcPr>
            <w:tcW w:w="9672" w:type="dxa"/>
            <w:gridSpan w:val="2"/>
          </w:tcPr>
          <w:p w14:paraId="3651C2EA" w14:textId="77777777" w:rsidR="00764079" w:rsidRPr="00E621A3" w:rsidRDefault="00764079" w:rsidP="00764618">
            <w:pPr>
              <w:pStyle w:val="Source"/>
              <w:rPr>
                <w:rtl/>
              </w:rPr>
            </w:pPr>
          </w:p>
        </w:tc>
      </w:tr>
      <w:tr w:rsidR="00764079" w14:paraId="4F2541B8" w14:textId="77777777" w:rsidTr="00553F66">
        <w:trPr>
          <w:cantSplit/>
        </w:trPr>
        <w:tc>
          <w:tcPr>
            <w:tcW w:w="9672" w:type="dxa"/>
            <w:gridSpan w:val="2"/>
          </w:tcPr>
          <w:p w14:paraId="582CF0F8" w14:textId="6F06DEA9" w:rsidR="00764079" w:rsidRPr="00B60733" w:rsidRDefault="00045A58" w:rsidP="00B60733">
            <w:pPr>
              <w:pStyle w:val="Title1"/>
              <w:rPr>
                <w:rtl/>
              </w:rPr>
            </w:pPr>
            <w:r w:rsidRPr="00B60733">
              <w:rPr>
                <w:rtl/>
              </w:rPr>
              <w:t>ملخص قرارات الاجتماع السابع والتسعين للجنة لوائح الراديو</w:t>
            </w:r>
          </w:p>
        </w:tc>
      </w:tr>
      <w:tr w:rsidR="0012545F" w14:paraId="1E4EE269" w14:textId="77777777" w:rsidTr="00553F66">
        <w:trPr>
          <w:cantSplit/>
        </w:trPr>
        <w:tc>
          <w:tcPr>
            <w:tcW w:w="9672" w:type="dxa"/>
            <w:gridSpan w:val="2"/>
          </w:tcPr>
          <w:p w14:paraId="635711B3" w14:textId="05EA176F" w:rsidR="0012545F" w:rsidRDefault="00045A58" w:rsidP="00B60733">
            <w:pPr>
              <w:jc w:val="center"/>
              <w:rPr>
                <w:rtl/>
              </w:rPr>
            </w:pPr>
            <w:r w:rsidRPr="005E61BE">
              <w:rPr>
                <w:rtl/>
              </w:rPr>
              <w:t>1</w:t>
            </w:r>
            <w:r>
              <w:rPr>
                <w:rtl/>
              </w:rPr>
              <w:t>1</w:t>
            </w:r>
            <w:r w:rsidRPr="005E61BE">
              <w:rPr>
                <w:rtl/>
              </w:rPr>
              <w:t>-1</w:t>
            </w:r>
            <w:r>
              <w:rPr>
                <w:rtl/>
              </w:rPr>
              <w:t>9</w:t>
            </w:r>
            <w:r w:rsidRPr="005E61BE">
              <w:rPr>
                <w:rtl/>
              </w:rPr>
              <w:t xml:space="preserve"> نوفمبر 2024</w:t>
            </w:r>
          </w:p>
        </w:tc>
      </w:tr>
      <w:tr w:rsidR="00764618" w14:paraId="5693A9B7" w14:textId="77777777" w:rsidTr="00553F66">
        <w:trPr>
          <w:cantSplit/>
        </w:trPr>
        <w:tc>
          <w:tcPr>
            <w:tcW w:w="9672" w:type="dxa"/>
            <w:gridSpan w:val="2"/>
          </w:tcPr>
          <w:p w14:paraId="53509C94" w14:textId="77777777" w:rsidR="00764618" w:rsidRDefault="00764618" w:rsidP="00764618">
            <w:pPr>
              <w:rPr>
                <w:rtl/>
              </w:rPr>
            </w:pPr>
          </w:p>
        </w:tc>
      </w:tr>
    </w:tbl>
    <w:p w14:paraId="79E2A40C" w14:textId="5D6071C6" w:rsidR="00EE60E9" w:rsidRDefault="00045A58" w:rsidP="008614B8">
      <w:pPr>
        <w:rPr>
          <w:rtl/>
        </w:rPr>
      </w:pPr>
      <w:r w:rsidRPr="005E61BE">
        <w:rPr>
          <w:rtl/>
        </w:rPr>
        <w:t>ينطبق هذا التصويب على ملخص القرارات ولا يتعلق إلا بعمود "</w:t>
      </w:r>
      <w:r>
        <w:rPr>
          <w:rtl/>
        </w:rPr>
        <w:t>الإجراء</w:t>
      </w:r>
      <w:r w:rsidRPr="005E61BE">
        <w:rPr>
          <w:rtl/>
        </w:rPr>
        <w:t>/</w:t>
      </w:r>
      <w:r>
        <w:rPr>
          <w:rtl/>
        </w:rPr>
        <w:t>القرار ومسوغاته</w:t>
      </w:r>
      <w:r w:rsidRPr="005E61BE">
        <w:rPr>
          <w:rtl/>
        </w:rPr>
        <w:t>" على النحو المبين أدناه:</w:t>
      </w:r>
    </w:p>
    <w:p w14:paraId="57F999BC" w14:textId="7D553BEB" w:rsidR="00045A58" w:rsidRDefault="00045A58" w:rsidP="00B60733">
      <w:pPr>
        <w:spacing w:after="120"/>
        <w:rPr>
          <w:rtl/>
        </w:rPr>
      </w:pPr>
      <w:r w:rsidRPr="005E61BE">
        <w:rPr>
          <w:rtl/>
        </w:rPr>
        <w:t xml:space="preserve">تحت البند 7 من جدول الأعمال بشأن "المسائل المتعلقة بتوفير خدمات </w:t>
      </w:r>
      <w:r w:rsidRPr="005E61BE">
        <w:t>STARLINK</w:t>
      </w:r>
      <w:r w:rsidRPr="005E61BE">
        <w:rPr>
          <w:rtl/>
        </w:rPr>
        <w:t xml:space="preserve"> الساتلية في أراضي جمهورية إيران الإسلامية"، يُستعاض عن النص التالي:</w:t>
      </w:r>
    </w:p>
    <w:tbl>
      <w:tblPr>
        <w:tblStyle w:val="TableGrid"/>
        <w:bidiVisual/>
        <w:tblW w:w="9742" w:type="dxa"/>
        <w:tblInd w:w="-5" w:type="dxa"/>
        <w:tblLayout w:type="fixed"/>
        <w:tblLook w:val="04A0" w:firstRow="1" w:lastRow="0" w:firstColumn="1" w:lastColumn="0" w:noHBand="0" w:noVBand="1"/>
      </w:tblPr>
      <w:tblGrid>
        <w:gridCol w:w="9742"/>
      </w:tblGrid>
      <w:tr w:rsidR="00045A58" w:rsidRPr="005E61BE" w14:paraId="1219D439" w14:textId="77777777" w:rsidTr="00045A58">
        <w:trPr>
          <w:tblHeader/>
        </w:trPr>
        <w:tc>
          <w:tcPr>
            <w:tcW w:w="9742" w:type="dxa"/>
            <w:shd w:val="clear" w:color="auto" w:fill="DBE5F1" w:themeFill="accent1" w:themeFillTint="33"/>
          </w:tcPr>
          <w:p w14:paraId="2C81FED4" w14:textId="77777777" w:rsidR="00045A58" w:rsidRPr="005E61BE" w:rsidRDefault="00045A58" w:rsidP="000256BA">
            <w:pPr>
              <w:spacing w:after="120"/>
              <w:ind w:left="360"/>
              <w:jc w:val="center"/>
              <w:textDirection w:val="tbRlV"/>
              <w:rPr>
                <w:b/>
                <w:bCs/>
                <w:lang w:val="ar-SA" w:eastAsia="zh-TW" w:bidi="en-GB"/>
              </w:rPr>
            </w:pPr>
            <w:r w:rsidRPr="005E61BE">
              <w:rPr>
                <w:b/>
                <w:bCs/>
                <w:rtl/>
              </w:rPr>
              <w:t>الإجراء / القرار ومسوغاته</w:t>
            </w:r>
          </w:p>
        </w:tc>
      </w:tr>
      <w:tr w:rsidR="00045A58" w:rsidRPr="005E61BE" w14:paraId="0F741819" w14:textId="77777777" w:rsidTr="00045A58">
        <w:tc>
          <w:tcPr>
            <w:tcW w:w="9742" w:type="dxa"/>
          </w:tcPr>
          <w:p w14:paraId="03EF53F2" w14:textId="77777777" w:rsidR="00045A58" w:rsidRPr="005E61BE" w:rsidRDefault="00045A58" w:rsidP="000256BA">
            <w:pPr>
              <w:spacing w:after="120"/>
              <w:textDirection w:val="tbRlV"/>
              <w:rPr>
                <w:lang w:val="ar-SA" w:eastAsia="zh-TW" w:bidi="en-GB"/>
              </w:rPr>
            </w:pPr>
            <w:r w:rsidRPr="005E61BE">
              <w:rPr>
                <w:rtl/>
              </w:rPr>
              <w:t>وبالإشارة إلى المعلومات المقدمة من إدارتي النرويج والولايات المتحدة، أعربت اللجنة عن أسفها لأن ردودهما لم تركِّز على الحلول وأعربت عن قلقها البالغ إزاء عدم إحراز تقدم تامٍ منذ اجتماعها السادس والتسعين في تسوية المسألة التي طال أمدها.  وأوضحت اللجنة كذلك أنه لا يوجد التزام على مشغل السواتل أو الإدارة المبلغة بتتبع المحطات الأرضية المرخصة من بلدان أخرى لتحديد موقعها وامتثالها لعقد الخدمة الخاص بها أو لإزالة إقليم من منطقة التغطية الساتلية، ولكن بمجرد الإبلاغ عن إرسالات غير مصرح بها في إقليم معين، يكون هناك التزام على مشغل السواتل بالتصرف، لمعالجة الوضع قدر الإمكان عملياً عملاً بالفقرة الفرعية  3 ’2‘ من فقرة "</w:t>
            </w:r>
            <w:r w:rsidRPr="00B60733">
              <w:rPr>
                <w:i/>
                <w:iCs/>
                <w:rtl/>
              </w:rPr>
              <w:t>يقرر</w:t>
            </w:r>
            <w:r w:rsidRPr="005E61BE">
              <w:rPr>
                <w:rtl/>
              </w:rPr>
              <w:t xml:space="preserve">" من القرار </w:t>
            </w:r>
            <w:r w:rsidRPr="00E441AC">
              <w:rPr>
                <w:b/>
                <w:bCs/>
                <w:lang w:val="en-GB"/>
              </w:rPr>
              <w:t>22 (Rev.WRC-23)</w:t>
            </w:r>
            <w:r w:rsidRPr="005E61BE">
              <w:rPr>
                <w:rtl/>
              </w:rPr>
              <w:t xml:space="preserve">؛ وينبغي ألا يكون هذا الالتزام مشروطاً بقدرة الإدارة المبلغة على تقديم معلومات عن </w:t>
            </w:r>
            <w:proofErr w:type="spellStart"/>
            <w:r w:rsidRPr="005E61BE">
              <w:rPr>
                <w:rtl/>
              </w:rPr>
              <w:t>المطاريف</w:t>
            </w:r>
            <w:proofErr w:type="spellEnd"/>
            <w:r w:rsidRPr="005E61BE">
              <w:rPr>
                <w:rtl/>
              </w:rPr>
              <w:t xml:space="preserve"> التي تعمل دون تصريح.</w:t>
            </w:r>
          </w:p>
        </w:tc>
      </w:tr>
    </w:tbl>
    <w:p w14:paraId="49E8B449" w14:textId="571DA6B8" w:rsidR="00045A58" w:rsidRDefault="00045A58" w:rsidP="00B60733">
      <w:pPr>
        <w:spacing w:after="120"/>
        <w:rPr>
          <w:rtl/>
        </w:rPr>
      </w:pPr>
      <w:r w:rsidRPr="005E61BE">
        <w:rPr>
          <w:rtl/>
        </w:rPr>
        <w:t>بالنص التالي:</w:t>
      </w:r>
    </w:p>
    <w:tbl>
      <w:tblPr>
        <w:tblStyle w:val="TableGrid"/>
        <w:bidiVisual/>
        <w:tblW w:w="0" w:type="auto"/>
        <w:tblInd w:w="-5" w:type="dxa"/>
        <w:tblLayout w:type="fixed"/>
        <w:tblLook w:val="04A0" w:firstRow="1" w:lastRow="0" w:firstColumn="1" w:lastColumn="0" w:noHBand="0" w:noVBand="1"/>
      </w:tblPr>
      <w:tblGrid>
        <w:gridCol w:w="9742"/>
      </w:tblGrid>
      <w:tr w:rsidR="00045A58" w:rsidRPr="005E61BE" w14:paraId="483C9E24" w14:textId="77777777" w:rsidTr="000256BA">
        <w:trPr>
          <w:tblHeader/>
        </w:trPr>
        <w:tc>
          <w:tcPr>
            <w:tcW w:w="9742" w:type="dxa"/>
            <w:shd w:val="clear" w:color="auto" w:fill="DBE5F1" w:themeFill="accent1" w:themeFillTint="33"/>
          </w:tcPr>
          <w:p w14:paraId="592053D3" w14:textId="77777777" w:rsidR="00045A58" w:rsidRPr="005E61BE" w:rsidRDefault="00045A58" w:rsidP="000256BA">
            <w:pPr>
              <w:spacing w:after="120"/>
              <w:ind w:left="360"/>
              <w:jc w:val="center"/>
              <w:textDirection w:val="tbRlV"/>
              <w:rPr>
                <w:b/>
                <w:bCs/>
                <w:lang w:val="ar-SA" w:eastAsia="zh-TW" w:bidi="en-GB"/>
              </w:rPr>
            </w:pPr>
            <w:r w:rsidRPr="005E61BE">
              <w:rPr>
                <w:b/>
                <w:bCs/>
                <w:rtl/>
              </w:rPr>
              <w:t>الإجراء / القرار ومسوغاته</w:t>
            </w:r>
          </w:p>
        </w:tc>
      </w:tr>
      <w:tr w:rsidR="00045A58" w:rsidRPr="005E61BE" w14:paraId="033C5AC7" w14:textId="77777777" w:rsidTr="000256BA">
        <w:tc>
          <w:tcPr>
            <w:tcW w:w="9742" w:type="dxa"/>
          </w:tcPr>
          <w:p w14:paraId="588BB8C6" w14:textId="1F864132" w:rsidR="00045A58" w:rsidRPr="005E61BE" w:rsidRDefault="00045A58" w:rsidP="000256BA">
            <w:pPr>
              <w:spacing w:after="120"/>
              <w:textDirection w:val="tbRlV"/>
              <w:rPr>
                <w:lang w:val="ar-SA" w:eastAsia="zh-TW" w:bidi="en-GB"/>
              </w:rPr>
            </w:pPr>
            <w:r w:rsidRPr="005E61BE">
              <w:rPr>
                <w:rtl/>
              </w:rPr>
              <w:t>وبالإشارة إلى المعلومات المقدمة من إدارتي النرويج والولايات المتحدة، أعربت اللجنة عن أسفها لأن ردودهما لم تركِّز على الحلول وأعربت عن قلقها البالغ إزاء عدم إحراز تقدم تامٍ منذ اجتماعها السادس والتسعين في تسوية المسألة التي طال أمدها.  وأوضحت اللجنة كذلك أنه لا يوجد التزام على مشغل السواتل أو الإدارة المبلغة بتتبع المحطات الأرضية المرخصة من بلدان أخرى لتحديد موقعها وامتثالها لعقد الخدمة الخاص بها أو لإزالة إقليم من منطقة التغطية الساتلية، ولكن بمجرد الإبلاغ عن إرسالات غير مصرح بها في إقليم معين، يكون هناك التزام على مشغل السواتل بالتصرف، لمعالجة الوضع قدر الإمكان عملياً عملاً بالفقرة الفرعية  3 ’2‘ من فقرة "</w:t>
            </w:r>
            <w:r w:rsidRPr="00B60733">
              <w:rPr>
                <w:i/>
                <w:iCs/>
                <w:rtl/>
              </w:rPr>
              <w:t>يقرر</w:t>
            </w:r>
            <w:r w:rsidRPr="005E61BE">
              <w:rPr>
                <w:rtl/>
              </w:rPr>
              <w:t>" من القرار</w:t>
            </w:r>
            <w:r>
              <w:rPr>
                <w:rtl/>
              </w:rPr>
              <w:t xml:space="preserve"> </w:t>
            </w:r>
            <w:r w:rsidRPr="00545279">
              <w:rPr>
                <w:b/>
                <w:bCs/>
                <w:lang w:val="en-GB"/>
              </w:rPr>
              <w:t>22 (WRC-19)</w:t>
            </w:r>
            <w:r w:rsidRPr="005E61BE">
              <w:rPr>
                <w:rtl/>
              </w:rPr>
              <w:t xml:space="preserve">؛ وينبغي ألا يكون هذا الالتزام مشروطاً بقدرة الإدارة المبلغة على تقديم معلومات عن </w:t>
            </w:r>
            <w:proofErr w:type="spellStart"/>
            <w:r w:rsidRPr="005E61BE">
              <w:rPr>
                <w:rtl/>
              </w:rPr>
              <w:t>المطاريف</w:t>
            </w:r>
            <w:proofErr w:type="spellEnd"/>
            <w:r w:rsidRPr="005E61BE">
              <w:rPr>
                <w:rtl/>
              </w:rPr>
              <w:t xml:space="preserve"> التي تعمل دون تصريح.</w:t>
            </w:r>
          </w:p>
        </w:tc>
      </w:tr>
    </w:tbl>
    <w:p w14:paraId="03E4F9BF"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3"/>
      <w:headerReference w:type="default" r:id="rId14"/>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E8CBC" w14:textId="77777777" w:rsidR="00045A58" w:rsidRDefault="00045A58" w:rsidP="002919E1">
      <w:r>
        <w:separator/>
      </w:r>
    </w:p>
    <w:p w14:paraId="5289FE29" w14:textId="77777777" w:rsidR="00045A58" w:rsidRDefault="00045A58" w:rsidP="002919E1"/>
    <w:p w14:paraId="12E83A19" w14:textId="77777777" w:rsidR="00045A58" w:rsidRDefault="00045A58" w:rsidP="002919E1"/>
    <w:p w14:paraId="72098455" w14:textId="77777777" w:rsidR="00045A58" w:rsidRDefault="00045A58"/>
  </w:endnote>
  <w:endnote w:type="continuationSeparator" w:id="0">
    <w:p w14:paraId="4D08F68E" w14:textId="77777777" w:rsidR="00045A58" w:rsidRDefault="00045A58" w:rsidP="002919E1">
      <w:r>
        <w:continuationSeparator/>
      </w:r>
    </w:p>
    <w:p w14:paraId="6BE779BA" w14:textId="77777777" w:rsidR="00045A58" w:rsidRDefault="00045A58" w:rsidP="002919E1"/>
    <w:p w14:paraId="2A35D41A" w14:textId="77777777" w:rsidR="00045A58" w:rsidRDefault="00045A58" w:rsidP="002919E1"/>
    <w:p w14:paraId="6E16A2EA" w14:textId="77777777" w:rsidR="00045A58" w:rsidRDefault="00045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C467F" w14:textId="77777777" w:rsidR="00045A58" w:rsidRPr="005E7719" w:rsidRDefault="00045A58"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1BC736C5" w14:textId="77777777" w:rsidR="00045A58" w:rsidRDefault="00045A58" w:rsidP="002919E1">
      <w:r>
        <w:continuationSeparator/>
      </w:r>
    </w:p>
    <w:p w14:paraId="448CD7DE" w14:textId="77777777" w:rsidR="00045A58" w:rsidRDefault="00045A58" w:rsidP="002919E1"/>
    <w:p w14:paraId="6A42313E" w14:textId="77777777" w:rsidR="00045A58" w:rsidRDefault="00045A58" w:rsidP="002919E1"/>
    <w:p w14:paraId="08681050" w14:textId="77777777" w:rsidR="00045A58" w:rsidRDefault="00045A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51593" w14:textId="77777777" w:rsidR="00281F5F" w:rsidRDefault="00281F5F" w:rsidP="002919E1"/>
  <w:p w14:paraId="15997C40" w14:textId="77777777" w:rsidR="00281F5F" w:rsidRDefault="00281F5F" w:rsidP="002919E1"/>
  <w:p w14:paraId="3C40608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E2696" w14:textId="1370CB12"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045A58" w:rsidRPr="00045A58">
      <w:rPr>
        <w:rStyle w:val="PageNumber"/>
      </w:rPr>
      <w:t>RRB24-3/23(Corr.1)</w:t>
    </w:r>
    <w:r w:rsidR="00A809E8" w:rsidRPr="00307EA3">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90DE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6229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1227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09F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1CCC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12350280">
    <w:abstractNumId w:val="9"/>
  </w:num>
  <w:num w:numId="2" w16cid:durableId="830483585">
    <w:abstractNumId w:val="11"/>
  </w:num>
  <w:num w:numId="3" w16cid:durableId="1428696154">
    <w:abstractNumId w:val="10"/>
  </w:num>
  <w:num w:numId="4" w16cid:durableId="1789277369">
    <w:abstractNumId w:val="12"/>
  </w:num>
  <w:num w:numId="5" w16cid:durableId="746610348">
    <w:abstractNumId w:val="7"/>
  </w:num>
  <w:num w:numId="6" w16cid:durableId="41566562">
    <w:abstractNumId w:val="6"/>
  </w:num>
  <w:num w:numId="7" w16cid:durableId="312373207">
    <w:abstractNumId w:val="5"/>
  </w:num>
  <w:num w:numId="8" w16cid:durableId="521170359">
    <w:abstractNumId w:val="4"/>
  </w:num>
  <w:num w:numId="9" w16cid:durableId="1582837381">
    <w:abstractNumId w:val="8"/>
  </w:num>
  <w:num w:numId="10" w16cid:durableId="935404887">
    <w:abstractNumId w:val="3"/>
  </w:num>
  <w:num w:numId="11" w16cid:durableId="587347384">
    <w:abstractNumId w:val="2"/>
  </w:num>
  <w:num w:numId="12" w16cid:durableId="1791044770">
    <w:abstractNumId w:val="1"/>
  </w:num>
  <w:num w:numId="13" w16cid:durableId="379869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58"/>
    <w:rsid w:val="00011021"/>
    <w:rsid w:val="000114EC"/>
    <w:rsid w:val="00011F8C"/>
    <w:rsid w:val="00022B74"/>
    <w:rsid w:val="0002327C"/>
    <w:rsid w:val="00031299"/>
    <w:rsid w:val="00034B65"/>
    <w:rsid w:val="00040C94"/>
    <w:rsid w:val="000425FC"/>
    <w:rsid w:val="00044D43"/>
    <w:rsid w:val="00045A58"/>
    <w:rsid w:val="00051907"/>
    <w:rsid w:val="00075A3F"/>
    <w:rsid w:val="000A1B16"/>
    <w:rsid w:val="000B3896"/>
    <w:rsid w:val="000B440B"/>
    <w:rsid w:val="000B5404"/>
    <w:rsid w:val="000D1708"/>
    <w:rsid w:val="000E2AFC"/>
    <w:rsid w:val="000E6D30"/>
    <w:rsid w:val="000F05F5"/>
    <w:rsid w:val="000F3BC2"/>
    <w:rsid w:val="000F518F"/>
    <w:rsid w:val="0010081C"/>
    <w:rsid w:val="001013E3"/>
    <w:rsid w:val="0010363F"/>
    <w:rsid w:val="00123AA6"/>
    <w:rsid w:val="0012545F"/>
    <w:rsid w:val="00136B82"/>
    <w:rsid w:val="001464F2"/>
    <w:rsid w:val="001523B4"/>
    <w:rsid w:val="00167364"/>
    <w:rsid w:val="00175935"/>
    <w:rsid w:val="001903B2"/>
    <w:rsid w:val="001B5953"/>
    <w:rsid w:val="001C1935"/>
    <w:rsid w:val="001D746E"/>
    <w:rsid w:val="001E190C"/>
    <w:rsid w:val="001E51EE"/>
    <w:rsid w:val="001E54F6"/>
    <w:rsid w:val="001E5A8C"/>
    <w:rsid w:val="00201A0A"/>
    <w:rsid w:val="002075D4"/>
    <w:rsid w:val="00211609"/>
    <w:rsid w:val="00211B2A"/>
    <w:rsid w:val="00223C6C"/>
    <w:rsid w:val="002333A0"/>
    <w:rsid w:val="002543CF"/>
    <w:rsid w:val="0026062E"/>
    <w:rsid w:val="00260F50"/>
    <w:rsid w:val="00261EF7"/>
    <w:rsid w:val="0027069F"/>
    <w:rsid w:val="00275564"/>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7EA3"/>
    <w:rsid w:val="00311E3F"/>
    <w:rsid w:val="00314B1E"/>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4D520A"/>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730DF"/>
    <w:rsid w:val="00576D0A"/>
    <w:rsid w:val="00576FCC"/>
    <w:rsid w:val="00584333"/>
    <w:rsid w:val="005953EC"/>
    <w:rsid w:val="005B00A1"/>
    <w:rsid w:val="005C29C8"/>
    <w:rsid w:val="005C5D25"/>
    <w:rsid w:val="005D2606"/>
    <w:rsid w:val="005D6D48"/>
    <w:rsid w:val="005D72A4"/>
    <w:rsid w:val="005E7719"/>
    <w:rsid w:val="005F05CC"/>
    <w:rsid w:val="005F65DE"/>
    <w:rsid w:val="0061223F"/>
    <w:rsid w:val="00613492"/>
    <w:rsid w:val="00630905"/>
    <w:rsid w:val="006315B5"/>
    <w:rsid w:val="00632EC3"/>
    <w:rsid w:val="0065562F"/>
    <w:rsid w:val="006779A4"/>
    <w:rsid w:val="00680A66"/>
    <w:rsid w:val="00681391"/>
    <w:rsid w:val="00694690"/>
    <w:rsid w:val="0069526C"/>
    <w:rsid w:val="006A12AC"/>
    <w:rsid w:val="006A2162"/>
    <w:rsid w:val="006B4B90"/>
    <w:rsid w:val="006B658C"/>
    <w:rsid w:val="006D2674"/>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64618"/>
    <w:rsid w:val="00766743"/>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10482"/>
    <w:rsid w:val="00817568"/>
    <w:rsid w:val="008204AC"/>
    <w:rsid w:val="008250D0"/>
    <w:rsid w:val="008261C2"/>
    <w:rsid w:val="00830D96"/>
    <w:rsid w:val="008471B5"/>
    <w:rsid w:val="0085569D"/>
    <w:rsid w:val="00855B59"/>
    <w:rsid w:val="0085774F"/>
    <w:rsid w:val="008614B8"/>
    <w:rsid w:val="008657CB"/>
    <w:rsid w:val="00873A6F"/>
    <w:rsid w:val="0088384B"/>
    <w:rsid w:val="00893E53"/>
    <w:rsid w:val="008A1137"/>
    <w:rsid w:val="008A1788"/>
    <w:rsid w:val="008A3E57"/>
    <w:rsid w:val="008A4185"/>
    <w:rsid w:val="008A6552"/>
    <w:rsid w:val="008B4E93"/>
    <w:rsid w:val="008B52B7"/>
    <w:rsid w:val="008C3818"/>
    <w:rsid w:val="008D6318"/>
    <w:rsid w:val="008D6ACC"/>
    <w:rsid w:val="008D7AF0"/>
    <w:rsid w:val="008E2CBE"/>
    <w:rsid w:val="008E32DD"/>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FE8"/>
    <w:rsid w:val="00B357E9"/>
    <w:rsid w:val="00B4164D"/>
    <w:rsid w:val="00B41D8B"/>
    <w:rsid w:val="00B425C1"/>
    <w:rsid w:val="00B606BA"/>
    <w:rsid w:val="00B60733"/>
    <w:rsid w:val="00B66817"/>
    <w:rsid w:val="00B71E3B"/>
    <w:rsid w:val="00B721D5"/>
    <w:rsid w:val="00B81CB5"/>
    <w:rsid w:val="00B8351F"/>
    <w:rsid w:val="00B86C44"/>
    <w:rsid w:val="00B9727C"/>
    <w:rsid w:val="00BA7D44"/>
    <w:rsid w:val="00BB5584"/>
    <w:rsid w:val="00BD6291"/>
    <w:rsid w:val="00BD6EF3"/>
    <w:rsid w:val="00BD7439"/>
    <w:rsid w:val="00BE69C3"/>
    <w:rsid w:val="00C1165E"/>
    <w:rsid w:val="00C14D03"/>
    <w:rsid w:val="00C22074"/>
    <w:rsid w:val="00C2377B"/>
    <w:rsid w:val="00C26107"/>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D25120"/>
    <w:rsid w:val="00D419CB"/>
    <w:rsid w:val="00D44350"/>
    <w:rsid w:val="00D44E3F"/>
    <w:rsid w:val="00D51BB8"/>
    <w:rsid w:val="00D525F5"/>
    <w:rsid w:val="00D535D0"/>
    <w:rsid w:val="00D577D8"/>
    <w:rsid w:val="00D629EF"/>
    <w:rsid w:val="00D62C78"/>
    <w:rsid w:val="00D81703"/>
    <w:rsid w:val="00D82929"/>
    <w:rsid w:val="00D84214"/>
    <w:rsid w:val="00D92A0F"/>
    <w:rsid w:val="00D943E5"/>
    <w:rsid w:val="00DA1AE0"/>
    <w:rsid w:val="00DC29DD"/>
    <w:rsid w:val="00DC49E6"/>
    <w:rsid w:val="00DC7C0E"/>
    <w:rsid w:val="00DE7387"/>
    <w:rsid w:val="00DF2A6A"/>
    <w:rsid w:val="00DF3B72"/>
    <w:rsid w:val="00E10821"/>
    <w:rsid w:val="00E21E6F"/>
    <w:rsid w:val="00E2489D"/>
    <w:rsid w:val="00E26520"/>
    <w:rsid w:val="00E343A3"/>
    <w:rsid w:val="00E51BFA"/>
    <w:rsid w:val="00E621A3"/>
    <w:rsid w:val="00E80827"/>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D79B45"/>
  <w15:docId w15:val="{97153B1B-2CFB-43E6-B187-661DD93D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alel\Desktop\Arabic%20Templates%202024\ITU-R%20(BR)\PA_RRB-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PA_RRB-3.dotx</Template>
  <TotalTime>1</TotalTime>
  <Pages>1</Pages>
  <Words>326</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Kamaleldin, Mohamed</dc:creator>
  <cp:keywords>WRC-12</cp:keywords>
  <cp:lastModifiedBy>Gozal, Karine</cp:lastModifiedBy>
  <cp:revision>2</cp:revision>
  <cp:lastPrinted>2019-06-26T10:10:00Z</cp:lastPrinted>
  <dcterms:created xsi:type="dcterms:W3CDTF">2025-01-28T07:54:00Z</dcterms:created>
  <dcterms:modified xsi:type="dcterms:W3CDTF">2025-01-28T07:54:00Z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