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DF4F" w14:textId="70FD9EB5" w:rsidR="00A83887" w:rsidRDefault="00A83887" w:rsidP="00564516">
      <w:pPr>
        <w:spacing w:before="0"/>
        <w:rPr>
          <w:rFonts w:ascii="Arial" w:hAnsi="Arial" w:cs="Arial"/>
          <w:sz w:val="20"/>
        </w:rPr>
      </w:pPr>
    </w:p>
    <w:tbl>
      <w:tblPr>
        <w:tblpPr w:leftFromText="180" w:rightFromText="180" w:horzAnchor="margin" w:tblpY="-687"/>
        <w:tblW w:w="9889" w:type="dxa"/>
        <w:tblLayout w:type="fixed"/>
        <w:tblLook w:val="0000" w:firstRow="0" w:lastRow="0" w:firstColumn="0" w:lastColumn="0" w:noHBand="0" w:noVBand="0"/>
      </w:tblPr>
      <w:tblGrid>
        <w:gridCol w:w="5850"/>
        <w:gridCol w:w="4039"/>
      </w:tblGrid>
      <w:tr w:rsidR="00A83887" w:rsidRPr="00970B01" w14:paraId="78807B34" w14:textId="77777777" w:rsidTr="00C30247">
        <w:trPr>
          <w:cantSplit/>
        </w:trPr>
        <w:tc>
          <w:tcPr>
            <w:tcW w:w="5850" w:type="dxa"/>
            <w:vAlign w:val="center"/>
          </w:tcPr>
          <w:p w14:paraId="25383048" w14:textId="77777777" w:rsidR="00A83887" w:rsidRPr="00970B01" w:rsidRDefault="00A83887" w:rsidP="00C30247">
            <w:pPr>
              <w:shd w:val="solid" w:color="FFFFFF" w:fill="FFFFFF"/>
              <w:spacing w:before="0"/>
              <w:rPr>
                <w:rFonts w:ascii="Verdana" w:hAnsi="Verdana" w:cs="Times New Roman Bold"/>
                <w:b/>
                <w:bCs/>
                <w:sz w:val="26"/>
                <w:szCs w:val="26"/>
              </w:rPr>
            </w:pPr>
            <w:r w:rsidRPr="006D0604">
              <w:rPr>
                <w:rFonts w:ascii="Verdana" w:hAnsi="Verdana" w:cs="Times New Roman Bold"/>
                <w:b/>
                <w:bCs/>
                <w:szCs w:val="24"/>
                <w:lang w:val="en-US"/>
              </w:rPr>
              <w:t>1</w:t>
            </w:r>
            <w:r w:rsidRPr="006D0604">
              <w:rPr>
                <w:rFonts w:ascii="Verdana" w:hAnsi="Verdana" w:cs="Times New Roman Bold"/>
                <w:b/>
                <w:bCs/>
                <w:szCs w:val="24"/>
                <w:vertAlign w:val="superscript"/>
                <w:lang w:val="en-US"/>
              </w:rPr>
              <w:t>st</w:t>
            </w:r>
            <w:r w:rsidRPr="006D0604">
              <w:rPr>
                <w:rFonts w:ascii="Verdana" w:hAnsi="Verdana" w:cs="Times New Roman Bold"/>
                <w:b/>
                <w:bCs/>
                <w:szCs w:val="24"/>
                <w:lang w:val="en-US"/>
              </w:rPr>
              <w:t xml:space="preserve"> ITU </w:t>
            </w:r>
            <w:r w:rsidRPr="006D0604">
              <w:rPr>
                <w:rFonts w:ascii="Verdana" w:hAnsi="Verdana" w:cs="Times New Roman Bold"/>
                <w:b/>
                <w:bCs/>
                <w:caps/>
                <w:szCs w:val="24"/>
                <w:lang w:val="en-US"/>
              </w:rPr>
              <w:t>Inter-regional</w:t>
            </w:r>
            <w:r w:rsidRPr="006D0604">
              <w:rPr>
                <w:rFonts w:ascii="Verdana" w:hAnsi="Verdana" w:cs="Times New Roman Bold"/>
                <w:b/>
                <w:bCs/>
                <w:szCs w:val="24"/>
                <w:lang w:val="en-US"/>
              </w:rPr>
              <w:t xml:space="preserve"> INFORMATION </w:t>
            </w:r>
            <w:r>
              <w:rPr>
                <w:rFonts w:ascii="Verdana" w:hAnsi="Verdana" w:cs="Times New Roman Bold"/>
                <w:b/>
                <w:bCs/>
                <w:szCs w:val="24"/>
                <w:lang w:val="en-US"/>
              </w:rPr>
              <w:br/>
            </w:r>
            <w:r w:rsidRPr="006D0604">
              <w:rPr>
                <w:rFonts w:ascii="Verdana" w:hAnsi="Verdana" w:cs="Times New Roman Bold"/>
                <w:b/>
                <w:bCs/>
                <w:szCs w:val="24"/>
                <w:lang w:val="en-US"/>
              </w:rPr>
              <w:t>SESSION ON WRC-27 PREPARATION</w:t>
            </w:r>
            <w:r>
              <w:rPr>
                <w:rFonts w:ascii="Verdana" w:hAnsi="Verdana" w:cs="Times New Roman Bold"/>
                <w:b/>
                <w:bCs/>
                <w:sz w:val="26"/>
                <w:szCs w:val="26"/>
                <w:lang w:val="en-US"/>
              </w:rPr>
              <w:br/>
            </w:r>
            <w:r>
              <w:rPr>
                <w:rFonts w:ascii="Verdana" w:hAnsi="Verdana" w:cs="Times New Roman Bold"/>
                <w:b/>
                <w:bCs/>
                <w:sz w:val="20"/>
                <w:lang w:val="en-US"/>
              </w:rPr>
              <w:t>3</w:t>
            </w:r>
            <w:r w:rsidRPr="007F2D7D">
              <w:rPr>
                <w:rFonts w:ascii="Verdana" w:hAnsi="Verdana" w:cs="Times New Roman Bold"/>
                <w:b/>
                <w:bCs/>
                <w:sz w:val="20"/>
                <w:lang w:val="en-US"/>
              </w:rPr>
              <w:t>–</w:t>
            </w:r>
            <w:r>
              <w:rPr>
                <w:rFonts w:ascii="Verdana" w:hAnsi="Verdana" w:cs="Times New Roman Bold"/>
                <w:b/>
                <w:bCs/>
                <w:sz w:val="20"/>
                <w:lang w:val="en-US"/>
              </w:rPr>
              <w:t>5</w:t>
            </w:r>
            <w:r w:rsidRPr="007F2D7D">
              <w:rPr>
                <w:rFonts w:ascii="Verdana" w:hAnsi="Verdana" w:cs="Times New Roman Bold"/>
                <w:b/>
                <w:bCs/>
                <w:sz w:val="20"/>
                <w:lang w:val="en-US"/>
              </w:rPr>
              <w:t xml:space="preserve"> </w:t>
            </w:r>
            <w:r>
              <w:rPr>
                <w:rFonts w:ascii="Verdana" w:hAnsi="Verdana" w:cs="Times New Roman Bold"/>
                <w:b/>
                <w:bCs/>
                <w:sz w:val="20"/>
                <w:lang w:val="en-US"/>
              </w:rPr>
              <w:t xml:space="preserve">December </w:t>
            </w:r>
            <w:r w:rsidRPr="007F2D7D">
              <w:rPr>
                <w:rFonts w:ascii="Verdana" w:hAnsi="Verdana" w:cs="Times New Roman Bold"/>
                <w:b/>
                <w:bCs/>
                <w:sz w:val="20"/>
                <w:lang w:val="en-US"/>
              </w:rPr>
              <w:t>20</w:t>
            </w:r>
            <w:r>
              <w:rPr>
                <w:rFonts w:ascii="Verdana" w:hAnsi="Verdana" w:cs="Times New Roman Bold"/>
                <w:b/>
                <w:bCs/>
                <w:sz w:val="20"/>
                <w:lang w:val="en-US"/>
              </w:rPr>
              <w:t>25</w:t>
            </w:r>
          </w:p>
        </w:tc>
        <w:tc>
          <w:tcPr>
            <w:tcW w:w="4039" w:type="dxa"/>
          </w:tcPr>
          <w:p w14:paraId="77A10D19" w14:textId="77777777" w:rsidR="00A83887" w:rsidRPr="00970B01" w:rsidRDefault="00A83887" w:rsidP="00C30247">
            <w:pPr>
              <w:shd w:val="solid" w:color="FFFFFF" w:fill="FFFFFF"/>
              <w:spacing w:before="0" w:line="240" w:lineRule="atLeast"/>
            </w:pPr>
            <w:r w:rsidRPr="00970B01">
              <w:rPr>
                <w:noProof/>
              </w:rPr>
              <w:drawing>
                <wp:inline distT="0" distB="0" distL="0" distR="0" wp14:anchorId="077D9495" wp14:editId="7B0635DF">
                  <wp:extent cx="762000" cy="762000"/>
                  <wp:effectExtent l="0" t="0" r="0" b="0"/>
                  <wp:docPr id="754600903" name="Picture 75460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A83887" w:rsidRPr="00970B01" w14:paraId="7C0388A8" w14:textId="77777777" w:rsidTr="00C30247">
        <w:trPr>
          <w:cantSplit/>
        </w:trPr>
        <w:tc>
          <w:tcPr>
            <w:tcW w:w="5850" w:type="dxa"/>
            <w:tcBorders>
              <w:bottom w:val="single" w:sz="12" w:space="0" w:color="auto"/>
            </w:tcBorders>
          </w:tcPr>
          <w:p w14:paraId="7403754B" w14:textId="77777777" w:rsidR="00A83887" w:rsidRPr="00970B01" w:rsidRDefault="00A83887" w:rsidP="00C30247">
            <w:pPr>
              <w:shd w:val="solid" w:color="FFFFFF" w:fill="FFFFFF"/>
              <w:spacing w:before="0" w:after="48"/>
              <w:rPr>
                <w:rFonts w:ascii="Verdana" w:hAnsi="Verdana" w:cs="Times New Roman Bold"/>
                <w:b/>
                <w:sz w:val="22"/>
                <w:szCs w:val="22"/>
              </w:rPr>
            </w:pPr>
          </w:p>
        </w:tc>
        <w:tc>
          <w:tcPr>
            <w:tcW w:w="4039" w:type="dxa"/>
            <w:tcBorders>
              <w:bottom w:val="single" w:sz="12" w:space="0" w:color="auto"/>
            </w:tcBorders>
          </w:tcPr>
          <w:p w14:paraId="43B7C4BE" w14:textId="77777777" w:rsidR="00A83887" w:rsidRPr="00970B01" w:rsidRDefault="00A83887" w:rsidP="00C30247">
            <w:pPr>
              <w:shd w:val="solid" w:color="FFFFFF" w:fill="FFFFFF"/>
              <w:spacing w:before="0" w:after="48" w:line="240" w:lineRule="atLeast"/>
              <w:rPr>
                <w:sz w:val="22"/>
                <w:szCs w:val="22"/>
              </w:rPr>
            </w:pPr>
          </w:p>
        </w:tc>
      </w:tr>
      <w:tr w:rsidR="00A83887" w:rsidRPr="00970B01" w14:paraId="56EFCA86" w14:textId="77777777" w:rsidTr="00C30247">
        <w:trPr>
          <w:cantSplit/>
        </w:trPr>
        <w:tc>
          <w:tcPr>
            <w:tcW w:w="5850" w:type="dxa"/>
            <w:tcBorders>
              <w:top w:val="single" w:sz="12" w:space="0" w:color="auto"/>
            </w:tcBorders>
          </w:tcPr>
          <w:p w14:paraId="2E9E9ADB" w14:textId="77777777" w:rsidR="00A83887" w:rsidRPr="00970B01" w:rsidRDefault="00A83887" w:rsidP="00C30247">
            <w:pPr>
              <w:shd w:val="solid" w:color="FFFFFF" w:fill="FFFFFF"/>
              <w:spacing w:before="0" w:after="48"/>
              <w:rPr>
                <w:rFonts w:ascii="Verdana" w:hAnsi="Verdana" w:cs="Times New Roman Bold"/>
                <w:bCs/>
                <w:sz w:val="20"/>
              </w:rPr>
            </w:pPr>
          </w:p>
        </w:tc>
        <w:tc>
          <w:tcPr>
            <w:tcW w:w="4039" w:type="dxa"/>
            <w:tcBorders>
              <w:top w:val="single" w:sz="12" w:space="0" w:color="auto"/>
            </w:tcBorders>
          </w:tcPr>
          <w:p w14:paraId="15A786EC" w14:textId="77777777" w:rsidR="00A83887" w:rsidRPr="00970B01" w:rsidRDefault="00A83887" w:rsidP="00C30247">
            <w:pPr>
              <w:shd w:val="solid" w:color="FFFFFF" w:fill="FFFFFF"/>
              <w:spacing w:before="0" w:after="48" w:line="240" w:lineRule="atLeast"/>
            </w:pPr>
          </w:p>
        </w:tc>
      </w:tr>
      <w:tr w:rsidR="00A83887" w:rsidRPr="00380DE9" w14:paraId="69C37645" w14:textId="77777777" w:rsidTr="00C30247">
        <w:trPr>
          <w:cantSplit/>
        </w:trPr>
        <w:tc>
          <w:tcPr>
            <w:tcW w:w="5850" w:type="dxa"/>
            <w:vMerge w:val="restart"/>
          </w:tcPr>
          <w:p w14:paraId="483958C3" w14:textId="77777777" w:rsidR="00A83887" w:rsidRPr="00970B01" w:rsidRDefault="00A83887" w:rsidP="00C30247">
            <w:pPr>
              <w:shd w:val="solid" w:color="FFFFFF" w:fill="FFFFFF"/>
              <w:tabs>
                <w:tab w:val="clear" w:pos="1134"/>
                <w:tab w:val="clear" w:pos="1871"/>
                <w:tab w:val="clear" w:pos="2268"/>
              </w:tabs>
              <w:spacing w:before="0" w:after="240"/>
              <w:ind w:left="1134" w:hanging="1134"/>
              <w:rPr>
                <w:rFonts w:ascii="Verdana" w:hAnsi="Verdana"/>
                <w:sz w:val="20"/>
              </w:rPr>
            </w:pPr>
          </w:p>
        </w:tc>
        <w:tc>
          <w:tcPr>
            <w:tcW w:w="4039" w:type="dxa"/>
          </w:tcPr>
          <w:p w14:paraId="5B0F01C3" w14:textId="43EC5C56" w:rsidR="00A83887" w:rsidRPr="00380DE9" w:rsidRDefault="00A83887" w:rsidP="00C30247">
            <w:pPr>
              <w:shd w:val="solid" w:color="FFFFFF" w:fill="FFFFFF"/>
              <w:spacing w:before="0" w:line="240" w:lineRule="atLeast"/>
              <w:rPr>
                <w:rFonts w:ascii="Verdana" w:hAnsi="Verdana"/>
                <w:b/>
                <w:bCs/>
                <w:sz w:val="20"/>
                <w:lang w:val="es-ES" w:eastAsia="zh-CN"/>
              </w:rPr>
            </w:pPr>
            <w:r>
              <w:rPr>
                <w:rFonts w:ascii="Verdana" w:eastAsiaTheme="minorEastAsia" w:hAnsi="Verdana" w:cs="Arial"/>
                <w:b/>
                <w:bCs/>
                <w:color w:val="000000"/>
                <w:kern w:val="24"/>
                <w:sz w:val="20"/>
                <w:lang w:val="es-ES_tradnl"/>
              </w:rPr>
              <w:t xml:space="preserve">Document </w:t>
            </w:r>
            <w:r w:rsidRPr="00B6036F">
              <w:rPr>
                <w:rFonts w:ascii="Verdana" w:eastAsiaTheme="minorEastAsia" w:hAnsi="Verdana" w:cs="Arial"/>
                <w:b/>
                <w:bCs/>
                <w:color w:val="000000"/>
                <w:kern w:val="24"/>
                <w:sz w:val="20"/>
                <w:lang w:val="es-ES_tradnl"/>
              </w:rPr>
              <w:t>WRC-</w:t>
            </w:r>
            <w:r>
              <w:rPr>
                <w:rFonts w:ascii="Verdana" w:eastAsiaTheme="minorEastAsia" w:hAnsi="Verdana" w:cs="Arial"/>
                <w:b/>
                <w:bCs/>
                <w:color w:val="000000"/>
                <w:kern w:val="24"/>
                <w:sz w:val="20"/>
                <w:lang w:val="es-ES_tradnl"/>
              </w:rPr>
              <w:t>27</w:t>
            </w:r>
            <w:r w:rsidRPr="00B6036F">
              <w:rPr>
                <w:rFonts w:ascii="Verdana" w:eastAsiaTheme="minorEastAsia" w:hAnsi="Verdana" w:cs="Arial"/>
                <w:b/>
                <w:bCs/>
                <w:color w:val="000000"/>
                <w:kern w:val="24"/>
                <w:sz w:val="20"/>
                <w:lang w:val="es-ES_tradnl"/>
              </w:rPr>
              <w:t>-IR</w:t>
            </w:r>
            <w:r>
              <w:rPr>
                <w:rFonts w:ascii="Verdana" w:eastAsiaTheme="minorEastAsia" w:hAnsi="Verdana" w:cs="Arial"/>
                <w:b/>
                <w:bCs/>
                <w:color w:val="000000"/>
                <w:kern w:val="24"/>
                <w:sz w:val="20"/>
                <w:lang w:val="es-ES_tradnl"/>
              </w:rPr>
              <w:t>IS</w:t>
            </w:r>
            <w:r w:rsidRPr="00B6036F">
              <w:rPr>
                <w:rFonts w:ascii="Verdana" w:eastAsiaTheme="minorEastAsia" w:hAnsi="Verdana" w:cs="Arial"/>
                <w:b/>
                <w:bCs/>
                <w:color w:val="000000"/>
                <w:kern w:val="24"/>
                <w:sz w:val="20"/>
                <w:lang w:val="es-ES_tradnl"/>
              </w:rPr>
              <w:t>-</w:t>
            </w:r>
            <w:r>
              <w:rPr>
                <w:rFonts w:ascii="Verdana" w:eastAsiaTheme="minorEastAsia" w:hAnsi="Verdana" w:cs="Arial"/>
                <w:b/>
                <w:bCs/>
                <w:color w:val="000000"/>
                <w:kern w:val="24"/>
                <w:sz w:val="20"/>
                <w:lang w:val="es-ES_tradnl"/>
              </w:rPr>
              <w:t>25/</w:t>
            </w:r>
            <w:r>
              <w:rPr>
                <w:rFonts w:ascii="Verdana" w:eastAsiaTheme="minorEastAsia" w:hAnsi="Verdana" w:cs="Arial"/>
                <w:b/>
                <w:bCs/>
                <w:color w:val="000000"/>
                <w:kern w:val="24"/>
                <w:sz w:val="20"/>
                <w:lang w:val="es-ES_tradnl"/>
              </w:rPr>
              <w:t>8</w:t>
            </w:r>
            <w:r w:rsidRPr="00B6036F">
              <w:rPr>
                <w:rFonts w:ascii="Verdana" w:eastAsiaTheme="minorEastAsia" w:hAnsi="Verdana" w:cs="Arial"/>
                <w:b/>
                <w:bCs/>
                <w:color w:val="000000"/>
                <w:kern w:val="24"/>
                <w:sz w:val="20"/>
                <w:lang w:val="es-ES_tradnl"/>
              </w:rPr>
              <w:t>-E</w:t>
            </w:r>
          </w:p>
        </w:tc>
      </w:tr>
      <w:tr w:rsidR="00A83887" w:rsidRPr="00970B01" w14:paraId="6CE3EBD7" w14:textId="77777777" w:rsidTr="00C30247">
        <w:trPr>
          <w:cantSplit/>
        </w:trPr>
        <w:tc>
          <w:tcPr>
            <w:tcW w:w="5850" w:type="dxa"/>
            <w:vMerge/>
          </w:tcPr>
          <w:p w14:paraId="0A9D2C81" w14:textId="77777777" w:rsidR="00A83887" w:rsidRPr="00380DE9" w:rsidRDefault="00A83887" w:rsidP="00C30247">
            <w:pPr>
              <w:spacing w:before="60"/>
              <w:jc w:val="center"/>
              <w:rPr>
                <w:b/>
                <w:smallCaps/>
                <w:sz w:val="32"/>
                <w:lang w:val="es-ES" w:eastAsia="zh-CN"/>
              </w:rPr>
            </w:pPr>
          </w:p>
        </w:tc>
        <w:tc>
          <w:tcPr>
            <w:tcW w:w="4039" w:type="dxa"/>
          </w:tcPr>
          <w:p w14:paraId="4AC118DE" w14:textId="1FA0BB8B" w:rsidR="00A83887" w:rsidRPr="00970B01" w:rsidRDefault="00A83887" w:rsidP="00C30247">
            <w:pPr>
              <w:shd w:val="solid" w:color="FFFFFF" w:fill="FFFFFF"/>
              <w:spacing w:before="0" w:line="240" w:lineRule="atLeast"/>
              <w:rPr>
                <w:rFonts w:ascii="Verdana" w:hAnsi="Verdana"/>
                <w:sz w:val="20"/>
                <w:lang w:eastAsia="zh-CN"/>
              </w:rPr>
            </w:pPr>
            <w:r>
              <w:rPr>
                <w:rFonts w:ascii="Verdana" w:hAnsi="Verdana"/>
                <w:b/>
                <w:sz w:val="20"/>
                <w:lang w:eastAsia="zh-CN"/>
              </w:rPr>
              <w:t>20</w:t>
            </w:r>
            <w:r>
              <w:rPr>
                <w:rFonts w:ascii="Verdana" w:hAnsi="Verdana"/>
                <w:b/>
                <w:sz w:val="20"/>
                <w:lang w:eastAsia="zh-CN"/>
              </w:rPr>
              <w:t xml:space="preserve"> November </w:t>
            </w:r>
            <w:r w:rsidRPr="00970B01">
              <w:rPr>
                <w:rFonts w:ascii="Verdana" w:hAnsi="Verdana"/>
                <w:b/>
                <w:sz w:val="20"/>
                <w:lang w:eastAsia="zh-CN"/>
              </w:rPr>
              <w:t>202</w:t>
            </w:r>
            <w:r>
              <w:rPr>
                <w:rFonts w:ascii="Verdana" w:hAnsi="Verdana"/>
                <w:b/>
                <w:sz w:val="20"/>
                <w:lang w:eastAsia="zh-CN"/>
              </w:rPr>
              <w:t>5</w:t>
            </w:r>
          </w:p>
        </w:tc>
      </w:tr>
      <w:tr w:rsidR="00A83887" w:rsidRPr="00970B01" w14:paraId="47313DC7" w14:textId="77777777" w:rsidTr="00C30247">
        <w:trPr>
          <w:cantSplit/>
        </w:trPr>
        <w:tc>
          <w:tcPr>
            <w:tcW w:w="5850" w:type="dxa"/>
            <w:vMerge/>
          </w:tcPr>
          <w:p w14:paraId="7EDB8638" w14:textId="77777777" w:rsidR="00A83887" w:rsidRPr="00970B01" w:rsidRDefault="00A83887" w:rsidP="00C30247">
            <w:pPr>
              <w:spacing w:before="60"/>
              <w:jc w:val="center"/>
              <w:rPr>
                <w:b/>
                <w:smallCaps/>
                <w:sz w:val="32"/>
                <w:lang w:eastAsia="zh-CN"/>
              </w:rPr>
            </w:pPr>
          </w:p>
        </w:tc>
        <w:tc>
          <w:tcPr>
            <w:tcW w:w="4039" w:type="dxa"/>
          </w:tcPr>
          <w:p w14:paraId="46B920EF" w14:textId="77777777" w:rsidR="00A83887" w:rsidRPr="00970B01" w:rsidRDefault="00A83887" w:rsidP="00C30247">
            <w:pPr>
              <w:shd w:val="solid" w:color="FFFFFF" w:fill="FFFFFF"/>
              <w:spacing w:before="0" w:line="240" w:lineRule="atLeast"/>
              <w:rPr>
                <w:rFonts w:ascii="Verdana" w:eastAsia="SimSun" w:hAnsi="Verdana"/>
                <w:b/>
                <w:sz w:val="20"/>
                <w:lang w:eastAsia="zh-CN"/>
              </w:rPr>
            </w:pPr>
            <w:r w:rsidRPr="00970B01">
              <w:rPr>
                <w:rFonts w:ascii="Verdana" w:eastAsia="SimSun" w:hAnsi="Verdana"/>
                <w:b/>
                <w:sz w:val="20"/>
                <w:lang w:eastAsia="zh-CN"/>
              </w:rPr>
              <w:t>English only</w:t>
            </w:r>
          </w:p>
        </w:tc>
      </w:tr>
      <w:tr w:rsidR="00A83887" w:rsidRPr="00970B01" w14:paraId="0F2E8929" w14:textId="77777777" w:rsidTr="00C30247">
        <w:trPr>
          <w:cantSplit/>
        </w:trPr>
        <w:tc>
          <w:tcPr>
            <w:tcW w:w="9889" w:type="dxa"/>
            <w:gridSpan w:val="2"/>
          </w:tcPr>
          <w:p w14:paraId="471BC3AC" w14:textId="42F23493" w:rsidR="00A83887" w:rsidRPr="00970B01" w:rsidRDefault="00A83887" w:rsidP="00C30247">
            <w:pPr>
              <w:pStyle w:val="Source"/>
              <w:rPr>
                <w:lang w:eastAsia="zh-CN"/>
              </w:rPr>
            </w:pPr>
            <w:r w:rsidRPr="00A83887">
              <w:t>World Broadcasting Unions</w:t>
            </w:r>
          </w:p>
        </w:tc>
      </w:tr>
      <w:tr w:rsidR="00A83887" w:rsidRPr="00970B01" w14:paraId="3ACBF605" w14:textId="77777777" w:rsidTr="00C30247">
        <w:trPr>
          <w:cantSplit/>
        </w:trPr>
        <w:tc>
          <w:tcPr>
            <w:tcW w:w="9889" w:type="dxa"/>
            <w:gridSpan w:val="2"/>
          </w:tcPr>
          <w:p w14:paraId="07509E0C" w14:textId="10AF77C0" w:rsidR="00A83887" w:rsidRPr="00DB4B46" w:rsidRDefault="00A83887" w:rsidP="00C30247">
            <w:pPr>
              <w:pStyle w:val="Title1"/>
              <w:rPr>
                <w:lang w:eastAsia="zh-CN"/>
              </w:rPr>
            </w:pPr>
            <w:r w:rsidRPr="00A83887">
              <w:rPr>
                <w:lang w:eastAsia="zh-CN"/>
              </w:rPr>
              <w:t>Preliminary WBU Positions on Relevant</w:t>
            </w:r>
            <w:r>
              <w:rPr>
                <w:lang w:eastAsia="zh-CN"/>
              </w:rPr>
              <w:br/>
            </w:r>
            <w:r w:rsidRPr="00A83887">
              <w:rPr>
                <w:lang w:eastAsia="zh-CN"/>
              </w:rPr>
              <w:t>WRC-27 Agenda Items</w:t>
            </w:r>
          </w:p>
        </w:tc>
      </w:tr>
      <w:tr w:rsidR="00A83887" w:rsidRPr="00970B01" w14:paraId="3CAE5848" w14:textId="77777777" w:rsidTr="00C30247">
        <w:trPr>
          <w:cantSplit/>
        </w:trPr>
        <w:tc>
          <w:tcPr>
            <w:tcW w:w="9889" w:type="dxa"/>
            <w:gridSpan w:val="2"/>
          </w:tcPr>
          <w:p w14:paraId="3DA9F87B" w14:textId="7739AF93" w:rsidR="00A83887" w:rsidRPr="00970B01" w:rsidRDefault="00A83887" w:rsidP="00C30247">
            <w:pPr>
              <w:pStyle w:val="Title4"/>
              <w:rPr>
                <w:lang w:eastAsia="zh-CN"/>
              </w:rPr>
            </w:pPr>
          </w:p>
        </w:tc>
      </w:tr>
    </w:tbl>
    <w:p w14:paraId="68EBA032" w14:textId="518216DE" w:rsidR="00970B01" w:rsidRPr="006915B5" w:rsidRDefault="00970B01" w:rsidP="0032202E">
      <w:pPr>
        <w:pStyle w:val="Reasons"/>
        <w:rPr>
          <w:rFonts w:ascii="Arial" w:hAnsi="Arial" w:cs="Arial"/>
          <w:sz w:val="20"/>
        </w:rPr>
      </w:pPr>
    </w:p>
    <w:p w14:paraId="0CAF232E" w14:textId="59C747F2" w:rsidR="006915B5" w:rsidRDefault="008B3BCA" w:rsidP="006915B5">
      <w:pPr>
        <w:pStyle w:val="NoSpacing"/>
        <w:rPr>
          <w:rFonts w:ascii="Arial" w:hAnsi="Arial" w:cs="Arial"/>
          <w:bdr w:val="none" w:sz="0" w:space="0" w:color="auto" w:frame="1"/>
          <w:lang w:eastAsia="en-CA"/>
        </w:rPr>
      </w:pPr>
      <w:r w:rsidRPr="008B3BCA">
        <w:rPr>
          <w:rFonts w:ascii="Arial" w:hAnsi="Arial" w:cs="Arial"/>
          <w:bdr w:val="none" w:sz="0" w:space="0" w:color="auto" w:frame="1"/>
          <w:lang w:val="en-US" w:eastAsia="en-CA"/>
        </w:rPr>
        <w:t xml:space="preserve">The World Broadcasting Unions (WBU) is the coordinating body for broadcasting unions </w:t>
      </w:r>
      <w:r w:rsidR="002C738E">
        <w:rPr>
          <w:rFonts w:ascii="Arial" w:hAnsi="Arial" w:cs="Arial"/>
          <w:bdr w:val="none" w:sz="0" w:space="0" w:color="auto" w:frame="1"/>
          <w:lang w:val="en-US" w:eastAsia="en-CA"/>
        </w:rPr>
        <w:t>representing</w:t>
      </w:r>
      <w:r>
        <w:rPr>
          <w:rFonts w:ascii="Arial" w:hAnsi="Arial" w:cs="Arial"/>
          <w:bdr w:val="none" w:sz="0" w:space="0" w:color="auto" w:frame="1"/>
          <w:lang w:val="en-US" w:eastAsia="en-CA"/>
        </w:rPr>
        <w:t xml:space="preserve"> radio and television</w:t>
      </w:r>
      <w:r w:rsidRPr="008B3BCA">
        <w:rPr>
          <w:rFonts w:ascii="Arial" w:hAnsi="Arial" w:cs="Arial"/>
          <w:bdr w:val="none" w:sz="0" w:space="0" w:color="auto" w:frame="1"/>
          <w:lang w:val="en-US" w:eastAsia="en-CA"/>
        </w:rPr>
        <w:t xml:space="preserve"> broadcast</w:t>
      </w:r>
      <w:r w:rsidR="002C738E">
        <w:rPr>
          <w:rFonts w:ascii="Arial" w:hAnsi="Arial" w:cs="Arial"/>
          <w:bdr w:val="none" w:sz="0" w:space="0" w:color="auto" w:frame="1"/>
          <w:lang w:val="en-US" w:eastAsia="en-CA"/>
        </w:rPr>
        <w:t xml:space="preserve"> stations and</w:t>
      </w:r>
      <w:r w:rsidRPr="008B3BCA">
        <w:rPr>
          <w:rFonts w:ascii="Arial" w:hAnsi="Arial" w:cs="Arial"/>
          <w:bdr w:val="none" w:sz="0" w:space="0" w:color="auto" w:frame="1"/>
          <w:lang w:val="en-US" w:eastAsia="en-CA"/>
        </w:rPr>
        <w:t xml:space="preserve"> networks across the globe.</w:t>
      </w:r>
      <w:r>
        <w:rPr>
          <w:rFonts w:ascii="Arial" w:hAnsi="Arial" w:cs="Arial"/>
          <w:bdr w:val="none" w:sz="0" w:space="0" w:color="auto" w:frame="1"/>
          <w:lang w:val="en-US" w:eastAsia="en-CA"/>
        </w:rPr>
        <w:t xml:space="preserve"> </w:t>
      </w:r>
      <w:r w:rsidRPr="008B3BCA">
        <w:rPr>
          <w:rFonts w:ascii="Arial" w:hAnsi="Arial" w:cs="Arial"/>
          <w:bdr w:val="none" w:sz="0" w:space="0" w:color="auto" w:frame="1"/>
          <w:lang w:val="en-US" w:eastAsia="en-CA"/>
        </w:rPr>
        <w:t>It was established in 1992 as a coordinating body at the international broadcasting level. Since then, the WBU has</w:t>
      </w:r>
      <w:r w:rsidR="002C738E">
        <w:rPr>
          <w:rFonts w:ascii="Arial" w:hAnsi="Arial" w:cs="Arial"/>
          <w:bdr w:val="none" w:sz="0" w:space="0" w:color="auto" w:frame="1"/>
          <w:lang w:val="en-US" w:eastAsia="en-CA"/>
        </w:rPr>
        <w:t xml:space="preserve"> work</w:t>
      </w:r>
      <w:r w:rsidR="009C6A61">
        <w:rPr>
          <w:rFonts w:ascii="Arial" w:hAnsi="Arial" w:cs="Arial"/>
          <w:bdr w:val="none" w:sz="0" w:space="0" w:color="auto" w:frame="1"/>
          <w:lang w:val="en-US" w:eastAsia="en-CA"/>
        </w:rPr>
        <w:t>ed</w:t>
      </w:r>
      <w:r w:rsidR="002C738E">
        <w:rPr>
          <w:rFonts w:ascii="Arial" w:hAnsi="Arial" w:cs="Arial"/>
          <w:bdr w:val="none" w:sz="0" w:space="0" w:color="auto" w:frame="1"/>
          <w:lang w:val="en-US" w:eastAsia="en-CA"/>
        </w:rPr>
        <w:t xml:space="preserve"> on</w:t>
      </w:r>
      <w:r w:rsidRPr="008B3BCA">
        <w:rPr>
          <w:rFonts w:ascii="Arial" w:hAnsi="Arial" w:cs="Arial"/>
          <w:bdr w:val="none" w:sz="0" w:space="0" w:color="auto" w:frame="1"/>
          <w:lang w:val="en-US" w:eastAsia="en-CA"/>
        </w:rPr>
        <w:t xml:space="preserve"> </w:t>
      </w:r>
      <w:proofErr w:type="gramStart"/>
      <w:r w:rsidRPr="008B3BCA">
        <w:rPr>
          <w:rFonts w:ascii="Arial" w:hAnsi="Arial" w:cs="Arial"/>
          <w:bdr w:val="none" w:sz="0" w:space="0" w:color="auto" w:frame="1"/>
          <w:lang w:val="en-US" w:eastAsia="en-CA"/>
        </w:rPr>
        <w:t>provided</w:t>
      </w:r>
      <w:proofErr w:type="gramEnd"/>
      <w:r w:rsidRPr="008B3BCA">
        <w:rPr>
          <w:rFonts w:ascii="Arial" w:hAnsi="Arial" w:cs="Arial"/>
          <w:bdr w:val="none" w:sz="0" w:space="0" w:color="auto" w:frame="1"/>
          <w:lang w:val="en-US" w:eastAsia="en-CA"/>
        </w:rPr>
        <w:t xml:space="preserve"> global solutions on key </w:t>
      </w:r>
      <w:r w:rsidR="002C738E">
        <w:rPr>
          <w:rFonts w:ascii="Arial" w:hAnsi="Arial" w:cs="Arial"/>
          <w:bdr w:val="none" w:sz="0" w:space="0" w:color="auto" w:frame="1"/>
          <w:lang w:val="en-US" w:eastAsia="en-CA"/>
        </w:rPr>
        <w:t xml:space="preserve">spectrum, technical and operational </w:t>
      </w:r>
      <w:r w:rsidRPr="008B3BCA">
        <w:rPr>
          <w:rFonts w:ascii="Arial" w:hAnsi="Arial" w:cs="Arial"/>
          <w:bdr w:val="none" w:sz="0" w:space="0" w:color="auto" w:frame="1"/>
          <w:lang w:val="en-US" w:eastAsia="en-CA"/>
        </w:rPr>
        <w:t xml:space="preserve">issues for its member unions. The North American Broadcasters Association (NABA) acts as </w:t>
      </w:r>
      <w:r w:rsidR="002C738E">
        <w:rPr>
          <w:rFonts w:ascii="Arial" w:hAnsi="Arial" w:cs="Arial"/>
          <w:bdr w:val="none" w:sz="0" w:space="0" w:color="auto" w:frame="1"/>
          <w:lang w:val="en-US" w:eastAsia="en-CA"/>
        </w:rPr>
        <w:t>S</w:t>
      </w:r>
      <w:r w:rsidRPr="008B3BCA">
        <w:rPr>
          <w:rFonts w:ascii="Arial" w:hAnsi="Arial" w:cs="Arial"/>
          <w:bdr w:val="none" w:sz="0" w:space="0" w:color="auto" w:frame="1"/>
          <w:lang w:val="en-US" w:eastAsia="en-CA"/>
        </w:rPr>
        <w:t>ecretariat for the WBU.</w:t>
      </w:r>
      <w:r w:rsidR="002C738E">
        <w:rPr>
          <w:rFonts w:ascii="Arial" w:hAnsi="Arial" w:cs="Arial"/>
          <w:bdr w:val="none" w:sz="0" w:space="0" w:color="auto" w:frame="1"/>
          <w:lang w:val="en-US" w:eastAsia="en-CA"/>
        </w:rPr>
        <w:t xml:space="preserve"> </w:t>
      </w:r>
      <w:r w:rsidR="006915B5">
        <w:rPr>
          <w:rFonts w:ascii="Arial" w:hAnsi="Arial" w:cs="Arial"/>
          <w:bdr w:val="none" w:sz="0" w:space="0" w:color="auto" w:frame="1"/>
          <w:lang w:eastAsia="en-CA"/>
        </w:rPr>
        <w:t>The World Broadcasting Unions consist</w:t>
      </w:r>
      <w:r w:rsidR="002C738E">
        <w:rPr>
          <w:rFonts w:ascii="Arial" w:hAnsi="Arial" w:cs="Arial"/>
          <w:bdr w:val="none" w:sz="0" w:space="0" w:color="auto" w:frame="1"/>
          <w:lang w:eastAsia="en-CA"/>
        </w:rPr>
        <w:t>s</w:t>
      </w:r>
      <w:r w:rsidR="006915B5">
        <w:rPr>
          <w:rFonts w:ascii="Arial" w:hAnsi="Arial" w:cs="Arial"/>
          <w:bdr w:val="none" w:sz="0" w:space="0" w:color="auto" w:frame="1"/>
          <w:lang w:eastAsia="en-CA"/>
        </w:rPr>
        <w:t xml:space="preserve"> of public service media and commercial broadcasters, including specifically:</w:t>
      </w:r>
    </w:p>
    <w:p w14:paraId="6D7E3E0D" w14:textId="39745C3A" w:rsidR="00FB1B07" w:rsidRDefault="00FB1B07" w:rsidP="008B3BCA">
      <w:pPr>
        <w:pStyle w:val="NoSpacing"/>
        <w:ind w:left="2160"/>
        <w:rPr>
          <w:rFonts w:ascii="Arial" w:hAnsi="Arial" w:cs="Arial"/>
          <w:bdr w:val="none" w:sz="0" w:space="0" w:color="auto" w:frame="1"/>
          <w:lang w:eastAsia="en-CA"/>
        </w:rPr>
      </w:pPr>
    </w:p>
    <w:p w14:paraId="66AD6791" w14:textId="2B0A9338" w:rsidR="008B3BCA" w:rsidRDefault="008B3BCA" w:rsidP="008B3BCA">
      <w:pPr>
        <w:pStyle w:val="NoSpacing"/>
        <w:numPr>
          <w:ilvl w:val="0"/>
          <w:numId w:val="20"/>
        </w:numPr>
        <w:ind w:left="1440"/>
        <w:rPr>
          <w:rFonts w:ascii="Arial" w:hAnsi="Arial" w:cs="Arial"/>
          <w:bdr w:val="none" w:sz="0" w:space="0" w:color="auto" w:frame="1"/>
          <w:lang w:eastAsia="en-CA"/>
        </w:rPr>
      </w:pPr>
      <w:r>
        <w:rPr>
          <w:rFonts w:ascii="Arial" w:hAnsi="Arial" w:cs="Arial"/>
          <w:bdr w:val="none" w:sz="0" w:space="0" w:color="auto" w:frame="1"/>
          <w:lang w:eastAsia="en-CA"/>
        </w:rPr>
        <w:t>The Asia-Pacific Broadcasting Union (ABU)</w:t>
      </w:r>
    </w:p>
    <w:p w14:paraId="7EF85936" w14:textId="65D76E6B" w:rsidR="008B3BCA" w:rsidRPr="00A83887" w:rsidRDefault="008B3BCA" w:rsidP="008B3BCA">
      <w:pPr>
        <w:pStyle w:val="NoSpacing"/>
        <w:numPr>
          <w:ilvl w:val="0"/>
          <w:numId w:val="20"/>
        </w:numPr>
        <w:ind w:left="1440"/>
        <w:rPr>
          <w:rFonts w:ascii="Arial" w:hAnsi="Arial" w:cs="Arial"/>
          <w:bdr w:val="none" w:sz="0" w:space="0" w:color="auto" w:frame="1"/>
          <w:lang w:val="it-IT" w:eastAsia="en-CA"/>
        </w:rPr>
      </w:pPr>
      <w:r w:rsidRPr="00A83887">
        <w:rPr>
          <w:rFonts w:ascii="Arial" w:hAnsi="Arial" w:cs="Arial"/>
          <w:bdr w:val="none" w:sz="0" w:space="0" w:color="auto" w:frame="1"/>
          <w:lang w:val="it-IT" w:eastAsia="en-CA"/>
        </w:rPr>
        <w:t>The Alianza Informativa Latinoamerica (AIL)</w:t>
      </w:r>
    </w:p>
    <w:p w14:paraId="0834C565" w14:textId="60FFCD07" w:rsidR="008B3BCA" w:rsidRPr="00A83887" w:rsidRDefault="008B3BCA" w:rsidP="008B3BCA">
      <w:pPr>
        <w:pStyle w:val="NoSpacing"/>
        <w:numPr>
          <w:ilvl w:val="0"/>
          <w:numId w:val="20"/>
        </w:numPr>
        <w:ind w:left="1440"/>
        <w:rPr>
          <w:rFonts w:ascii="Arial" w:hAnsi="Arial" w:cs="Arial"/>
          <w:bdr w:val="none" w:sz="0" w:space="0" w:color="auto" w:frame="1"/>
          <w:lang w:val="es-ES" w:eastAsia="en-CA"/>
        </w:rPr>
      </w:pPr>
      <w:r w:rsidRPr="00A83887">
        <w:rPr>
          <w:rFonts w:ascii="Arial" w:hAnsi="Arial" w:cs="Arial"/>
          <w:bdr w:val="none" w:sz="0" w:space="0" w:color="auto" w:frame="1"/>
          <w:lang w:val="es-ES" w:eastAsia="en-CA"/>
        </w:rPr>
        <w:t>The Asociación Internacional de Radiodifusión (AIR/IAB)</w:t>
      </w:r>
    </w:p>
    <w:p w14:paraId="47A3BE43" w14:textId="7668B9AA" w:rsidR="006915B5" w:rsidRPr="008B3BCA" w:rsidRDefault="006915B5" w:rsidP="008B3BCA">
      <w:pPr>
        <w:pStyle w:val="NoSpacing"/>
        <w:numPr>
          <w:ilvl w:val="0"/>
          <w:numId w:val="20"/>
        </w:numPr>
        <w:ind w:left="1440"/>
        <w:rPr>
          <w:rFonts w:ascii="Arial" w:hAnsi="Arial" w:cs="Arial"/>
          <w:bdr w:val="none" w:sz="0" w:space="0" w:color="auto" w:frame="1"/>
          <w:lang w:eastAsia="en-CA"/>
        </w:rPr>
      </w:pPr>
      <w:r w:rsidRPr="008B3BCA">
        <w:rPr>
          <w:rFonts w:ascii="Arial" w:hAnsi="Arial" w:cs="Arial"/>
          <w:bdr w:val="none" w:sz="0" w:space="0" w:color="auto" w:frame="1"/>
          <w:lang w:eastAsia="en-CA"/>
        </w:rPr>
        <w:t>The Arab States Broadcasting Union</w:t>
      </w:r>
      <w:r w:rsidR="008B3BCA">
        <w:rPr>
          <w:rFonts w:ascii="Arial" w:hAnsi="Arial" w:cs="Arial"/>
          <w:bdr w:val="none" w:sz="0" w:space="0" w:color="auto" w:frame="1"/>
          <w:lang w:eastAsia="en-CA"/>
        </w:rPr>
        <w:t xml:space="preserve"> (ASBU)</w:t>
      </w:r>
    </w:p>
    <w:p w14:paraId="2606D2E1" w14:textId="1FFDD917" w:rsidR="006915B5" w:rsidRDefault="006915B5" w:rsidP="008B3BCA">
      <w:pPr>
        <w:pStyle w:val="NoSpacing"/>
        <w:numPr>
          <w:ilvl w:val="0"/>
          <w:numId w:val="20"/>
        </w:numPr>
        <w:ind w:left="1440"/>
        <w:rPr>
          <w:rFonts w:ascii="Arial" w:hAnsi="Arial" w:cs="Arial"/>
          <w:bdr w:val="none" w:sz="0" w:space="0" w:color="auto" w:frame="1"/>
          <w:lang w:eastAsia="en-CA"/>
        </w:rPr>
      </w:pPr>
      <w:r>
        <w:rPr>
          <w:rFonts w:ascii="Arial" w:hAnsi="Arial" w:cs="Arial"/>
          <w:bdr w:val="none" w:sz="0" w:space="0" w:color="auto" w:frame="1"/>
          <w:lang w:eastAsia="en-CA"/>
        </w:rPr>
        <w:t>The African Union of Broadcast</w:t>
      </w:r>
      <w:r w:rsidR="008B3BCA">
        <w:rPr>
          <w:rFonts w:ascii="Arial" w:hAnsi="Arial" w:cs="Arial"/>
          <w:bdr w:val="none" w:sz="0" w:space="0" w:color="auto" w:frame="1"/>
          <w:lang w:eastAsia="en-CA"/>
        </w:rPr>
        <w:t>ing (AUB)</w:t>
      </w:r>
    </w:p>
    <w:p w14:paraId="022DCB9D" w14:textId="3A81CA6F" w:rsidR="006915B5" w:rsidRDefault="006915B5" w:rsidP="008B3BCA">
      <w:pPr>
        <w:pStyle w:val="NoSpacing"/>
        <w:numPr>
          <w:ilvl w:val="0"/>
          <w:numId w:val="20"/>
        </w:numPr>
        <w:ind w:left="1440"/>
        <w:rPr>
          <w:rFonts w:ascii="Arial" w:hAnsi="Arial" w:cs="Arial"/>
          <w:bdr w:val="none" w:sz="0" w:space="0" w:color="auto" w:frame="1"/>
          <w:lang w:eastAsia="en-CA"/>
        </w:rPr>
      </w:pPr>
      <w:r>
        <w:rPr>
          <w:rFonts w:ascii="Arial" w:hAnsi="Arial" w:cs="Arial"/>
          <w:bdr w:val="none" w:sz="0" w:space="0" w:color="auto" w:frame="1"/>
          <w:lang w:eastAsia="en-CA"/>
        </w:rPr>
        <w:t xml:space="preserve">The </w:t>
      </w:r>
      <w:r w:rsidR="008B3BCA">
        <w:rPr>
          <w:rFonts w:ascii="Arial" w:hAnsi="Arial" w:cs="Arial"/>
          <w:bdr w:val="none" w:sz="0" w:space="0" w:color="auto" w:frame="1"/>
          <w:lang w:eastAsia="en-CA"/>
        </w:rPr>
        <w:t>Caribbean Broadcasting Union (CBU)</w:t>
      </w:r>
    </w:p>
    <w:p w14:paraId="4D405678" w14:textId="7B36AFB9" w:rsidR="00DB0C92" w:rsidRPr="00DB0C92" w:rsidRDefault="008B3BCA" w:rsidP="00DB0C92">
      <w:pPr>
        <w:pStyle w:val="NoSpacing"/>
        <w:numPr>
          <w:ilvl w:val="0"/>
          <w:numId w:val="20"/>
        </w:numPr>
        <w:ind w:left="1440"/>
        <w:rPr>
          <w:rFonts w:ascii="Arial" w:hAnsi="Arial" w:cs="Arial"/>
          <w:bdr w:val="none" w:sz="0" w:space="0" w:color="auto" w:frame="1"/>
          <w:lang w:eastAsia="en-CA"/>
        </w:rPr>
      </w:pPr>
      <w:r>
        <w:rPr>
          <w:rFonts w:ascii="Arial" w:hAnsi="Arial" w:cs="Arial"/>
          <w:bdr w:val="none" w:sz="0" w:space="0" w:color="auto" w:frame="1"/>
          <w:lang w:eastAsia="en-CA"/>
        </w:rPr>
        <w:t>The European Broadcasting Union (EBU)</w:t>
      </w:r>
    </w:p>
    <w:p w14:paraId="4622602F" w14:textId="5AEBF334" w:rsidR="008B3BCA" w:rsidRDefault="008B3BCA" w:rsidP="008B3BCA">
      <w:pPr>
        <w:pStyle w:val="NoSpacing"/>
        <w:numPr>
          <w:ilvl w:val="0"/>
          <w:numId w:val="20"/>
        </w:numPr>
        <w:ind w:left="1440"/>
        <w:rPr>
          <w:rFonts w:ascii="Arial" w:hAnsi="Arial" w:cs="Arial"/>
          <w:bdr w:val="none" w:sz="0" w:space="0" w:color="auto" w:frame="1"/>
          <w:lang w:eastAsia="en-CA"/>
        </w:rPr>
      </w:pPr>
      <w:r>
        <w:rPr>
          <w:rFonts w:ascii="Arial" w:hAnsi="Arial" w:cs="Arial"/>
          <w:bdr w:val="none" w:sz="0" w:space="0" w:color="auto" w:frame="1"/>
          <w:lang w:eastAsia="en-CA"/>
        </w:rPr>
        <w:t>The North American Broadcasters Association (NABA)</w:t>
      </w:r>
    </w:p>
    <w:p w14:paraId="34043882" w14:textId="77777777" w:rsidR="00DB0C92" w:rsidRPr="006915B5" w:rsidRDefault="00DB0C92" w:rsidP="00DB0C92">
      <w:pPr>
        <w:pStyle w:val="NoSpacing"/>
        <w:ind w:left="1440"/>
        <w:rPr>
          <w:rFonts w:ascii="Arial" w:hAnsi="Arial" w:cs="Arial"/>
          <w:bdr w:val="none" w:sz="0" w:space="0" w:color="auto" w:frame="1"/>
          <w:lang w:eastAsia="en-CA"/>
        </w:rPr>
      </w:pPr>
    </w:p>
    <w:p w14:paraId="55EAE409" w14:textId="4BCCE57C" w:rsidR="002C738E" w:rsidRDefault="002C738E" w:rsidP="00DB0C92">
      <w:pPr>
        <w:pStyle w:val="NoSpacing"/>
        <w:rPr>
          <w:rFonts w:ascii="Arial" w:hAnsi="Arial" w:cs="Arial"/>
          <w:bdr w:val="none" w:sz="0" w:space="0" w:color="auto" w:frame="1"/>
          <w:lang w:eastAsia="en-CA"/>
        </w:rPr>
      </w:pPr>
      <w:r>
        <w:rPr>
          <w:rFonts w:ascii="Arial" w:hAnsi="Arial" w:cs="Arial"/>
          <w:bdr w:val="none" w:sz="0" w:space="0" w:color="auto" w:frame="1"/>
          <w:lang w:eastAsia="en-CA"/>
        </w:rPr>
        <w:t xml:space="preserve">The WBU presents these </w:t>
      </w:r>
      <w:r w:rsidR="009C6A61">
        <w:rPr>
          <w:rFonts w:ascii="Arial" w:hAnsi="Arial" w:cs="Arial"/>
          <w:bdr w:val="none" w:sz="0" w:space="0" w:color="auto" w:frame="1"/>
          <w:lang w:eastAsia="en-CA"/>
        </w:rPr>
        <w:t>preliminary positions</w:t>
      </w:r>
      <w:r>
        <w:rPr>
          <w:rFonts w:ascii="Arial" w:hAnsi="Arial" w:cs="Arial"/>
          <w:bdr w:val="none" w:sz="0" w:space="0" w:color="auto" w:frame="1"/>
          <w:lang w:eastAsia="en-CA"/>
        </w:rPr>
        <w:t xml:space="preserve"> on the identified Agenda Items for your consideration.</w:t>
      </w:r>
    </w:p>
    <w:p w14:paraId="37007FB9" w14:textId="77777777" w:rsidR="00DB0C92" w:rsidRPr="002C738E" w:rsidRDefault="00DB0C92" w:rsidP="00DB0C92">
      <w:pPr>
        <w:pStyle w:val="NoSpacing"/>
        <w:rPr>
          <w:rFonts w:ascii="Arial" w:hAnsi="Arial" w:cs="Arial"/>
          <w:bdr w:val="none" w:sz="0" w:space="0" w:color="auto" w:frame="1"/>
          <w:lang w:eastAsia="en-CA"/>
        </w:rPr>
      </w:pPr>
    </w:p>
    <w:p w14:paraId="3BE49609"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1.2 </w:t>
      </w:r>
    </w:p>
    <w:p w14:paraId="4B5CBE72"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To consider possible revisions of sharing conditions in the frequency band 13.75-14 GHz to allow the use of uplink fixed-satellite service earth stations with smaller antenna sizes, in accordance with Resolution </w:t>
      </w:r>
      <w:hyperlink r:id="rId9" w:history="1">
        <w:r w:rsidRPr="006915B5">
          <w:rPr>
            <w:rFonts w:ascii="Arial" w:hAnsi="Arial" w:cs="Arial"/>
            <w:bdr w:val="none" w:sz="0" w:space="0" w:color="auto" w:frame="1"/>
            <w:lang w:eastAsia="en-CA"/>
          </w:rPr>
          <w:t>129 (WRC-23)</w:t>
        </w:r>
      </w:hyperlink>
      <w:r w:rsidRPr="006915B5">
        <w:rPr>
          <w:rFonts w:ascii="Arial" w:hAnsi="Arial" w:cs="Arial"/>
          <w:bdr w:val="none" w:sz="0" w:space="0" w:color="auto" w:frame="1"/>
          <w:lang w:eastAsia="en-CA"/>
        </w:rPr>
        <w:t>.</w:t>
      </w:r>
    </w:p>
    <w:p w14:paraId="4002F9D3" w14:textId="77777777" w:rsidR="006915B5" w:rsidRPr="006915B5" w:rsidRDefault="006915B5" w:rsidP="006915B5">
      <w:pPr>
        <w:pStyle w:val="NoSpacing"/>
        <w:rPr>
          <w:rFonts w:ascii="Arial" w:hAnsi="Arial" w:cs="Arial"/>
          <w:b/>
          <w:bCs/>
          <w:bdr w:val="none" w:sz="0" w:space="0" w:color="auto" w:frame="1"/>
          <w:lang w:eastAsia="en-CA"/>
        </w:rPr>
      </w:pPr>
    </w:p>
    <w:p w14:paraId="4D36E865" w14:textId="1B52BD4A"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5F98EA3D" w14:textId="20F8A760"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 xml:space="preserve">The 13.75-14 GHz band is adjacent to the 14-14.5 GHz band used for Ku-band uplinks. If uplink antenna beamwidths are to be increased in 13.75-14 GHz, there is increased potential for interference to Ku-band satellites. Compatibility studies are needed to evaluate the potential for such interference. </w:t>
      </w:r>
    </w:p>
    <w:p w14:paraId="085F0147" w14:textId="77777777" w:rsidR="006915B5" w:rsidRPr="006915B5" w:rsidRDefault="006915B5" w:rsidP="006915B5">
      <w:pPr>
        <w:pStyle w:val="NoSpacing"/>
        <w:rPr>
          <w:rFonts w:ascii="Arial" w:hAnsi="Arial" w:cs="Arial"/>
          <w:b/>
          <w:bCs/>
          <w:bdr w:val="none" w:sz="0" w:space="0" w:color="auto" w:frame="1"/>
          <w:lang w:eastAsia="en-CA"/>
        </w:rPr>
      </w:pPr>
    </w:p>
    <w:p w14:paraId="3FC0AF79"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lastRenderedPageBreak/>
        <w:t xml:space="preserve">Agenda Item 1.4 </w:t>
      </w:r>
    </w:p>
    <w:p w14:paraId="5E189503"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To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w:t>
      </w:r>
      <w:r w:rsidRPr="006915B5">
        <w:rPr>
          <w:rFonts w:ascii="Arial" w:hAnsi="Arial" w:cs="Arial"/>
          <w:bdr w:val="none" w:sz="0" w:space="0" w:color="auto" w:frame="1"/>
          <w:lang w:eastAsia="en-CA"/>
        </w:rPr>
        <w:noBreakHyphen/>
        <w:t>17.7 GHz, in accordance with Resolution </w:t>
      </w:r>
      <w:hyperlink r:id="rId10" w:history="1">
        <w:r w:rsidRPr="006915B5">
          <w:rPr>
            <w:rFonts w:ascii="Arial" w:hAnsi="Arial" w:cs="Arial"/>
            <w:bdr w:val="none" w:sz="0" w:space="0" w:color="auto" w:frame="1"/>
            <w:lang w:eastAsia="en-CA"/>
          </w:rPr>
          <w:t>726 (WRC</w:t>
        </w:r>
        <w:r w:rsidRPr="006915B5">
          <w:rPr>
            <w:rFonts w:ascii="Arial" w:hAnsi="Arial" w:cs="Arial"/>
            <w:bdr w:val="none" w:sz="0" w:space="0" w:color="auto" w:frame="1"/>
            <w:lang w:eastAsia="en-CA"/>
          </w:rPr>
          <w:noBreakHyphen/>
          <w:t>23)</w:t>
        </w:r>
      </w:hyperlink>
      <w:r w:rsidRPr="006915B5">
        <w:rPr>
          <w:rFonts w:ascii="Arial" w:hAnsi="Arial" w:cs="Arial"/>
          <w:bdr w:val="none" w:sz="0" w:space="0" w:color="auto" w:frame="1"/>
          <w:lang w:eastAsia="en-CA"/>
        </w:rPr>
        <w:t>.</w:t>
      </w:r>
    </w:p>
    <w:p w14:paraId="70198F0B" w14:textId="77777777" w:rsidR="006915B5" w:rsidRPr="006915B5" w:rsidRDefault="006915B5" w:rsidP="006915B5">
      <w:pPr>
        <w:pStyle w:val="NoSpacing"/>
        <w:rPr>
          <w:rFonts w:ascii="Arial" w:hAnsi="Arial" w:cs="Arial"/>
          <w:bdr w:val="none" w:sz="0" w:space="0" w:color="auto" w:frame="1"/>
          <w:lang w:eastAsia="en-CA"/>
        </w:rPr>
      </w:pPr>
    </w:p>
    <w:p w14:paraId="1F919BF9" w14:textId="0BCF2D55"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597ACADF" w14:textId="7E39C0AC" w:rsidR="006915B5" w:rsidRPr="00DB0C92" w:rsidRDefault="006915B5" w:rsidP="006915B5">
      <w:pPr>
        <w:pStyle w:val="NoSpacing"/>
        <w:rPr>
          <w:rFonts w:ascii="Arial" w:hAnsi="Arial" w:cs="Arial"/>
          <w:color w:val="FF0000"/>
          <w:bdr w:val="none" w:sz="0" w:space="0" w:color="auto" w:frame="1"/>
          <w:lang w:eastAsia="en-CA"/>
        </w:rPr>
      </w:pPr>
      <w:r w:rsidRPr="006915B5">
        <w:rPr>
          <w:rFonts w:ascii="Arial" w:hAnsi="Arial" w:cs="Arial"/>
          <w:bdr w:val="none" w:sz="0" w:space="0" w:color="auto" w:frame="1"/>
          <w:lang w:eastAsia="en-CA"/>
        </w:rPr>
        <w:t xml:space="preserve">The 17.3-17.7 GHz band is used for Ku-band BSS and FSS links in all Regions. Any new allocation must protect services using the 17.3-17.7 GHz band. Compatibility studies are needed to evaluate the potential for such interference. </w:t>
      </w:r>
      <w:r w:rsidRPr="006915B5">
        <w:rPr>
          <w:rFonts w:ascii="Arial" w:hAnsi="Arial" w:cs="Arial"/>
          <w:color w:val="FF0000"/>
          <w:bdr w:val="none" w:sz="0" w:space="0" w:color="auto" w:frame="1"/>
          <w:lang w:eastAsia="en-CA"/>
        </w:rPr>
        <w:t xml:space="preserve">  </w:t>
      </w:r>
    </w:p>
    <w:p w14:paraId="56C5A919" w14:textId="77777777" w:rsidR="006915B5" w:rsidRPr="006915B5" w:rsidRDefault="006915B5" w:rsidP="006915B5">
      <w:pPr>
        <w:pStyle w:val="NoSpacing"/>
        <w:rPr>
          <w:rFonts w:ascii="Arial" w:hAnsi="Arial" w:cs="Arial"/>
          <w:b/>
          <w:bCs/>
          <w:bdr w:val="none" w:sz="0" w:space="0" w:color="auto" w:frame="1"/>
          <w:lang w:eastAsia="en-CA"/>
        </w:rPr>
      </w:pPr>
    </w:p>
    <w:p w14:paraId="77F506FC"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1.5 </w:t>
      </w:r>
    </w:p>
    <w:p w14:paraId="0E19E8C3"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 xml:space="preserve">To consider regulatory measures, and </w:t>
      </w:r>
      <w:proofErr w:type="spellStart"/>
      <w:r w:rsidRPr="006915B5">
        <w:rPr>
          <w:rFonts w:ascii="Arial" w:hAnsi="Arial" w:cs="Arial"/>
          <w:bdr w:val="none" w:sz="0" w:space="0" w:color="auto" w:frame="1"/>
          <w:lang w:eastAsia="en-CA"/>
        </w:rPr>
        <w:t>implementability</w:t>
      </w:r>
      <w:proofErr w:type="spellEnd"/>
      <w:r w:rsidRPr="006915B5">
        <w:rPr>
          <w:rFonts w:ascii="Arial" w:hAnsi="Arial" w:cs="Arial"/>
          <w:bdr w:val="none" w:sz="0" w:space="0" w:color="auto" w:frame="1"/>
          <w:lang w:eastAsia="en-CA"/>
        </w:rPr>
        <w:t xml:space="preserve">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14 (WRC</w:t>
      </w:r>
      <w:r w:rsidRPr="006915B5">
        <w:rPr>
          <w:rFonts w:ascii="Cambria Math" w:hAnsi="Cambria Math" w:cs="Cambria Math"/>
          <w:bdr w:val="none" w:sz="0" w:space="0" w:color="auto" w:frame="1"/>
          <w:lang w:eastAsia="en-CA"/>
        </w:rPr>
        <w:t>‑</w:t>
      </w:r>
      <w:r w:rsidRPr="006915B5">
        <w:rPr>
          <w:rFonts w:ascii="Arial" w:hAnsi="Arial" w:cs="Arial"/>
          <w:bdr w:val="none" w:sz="0" w:space="0" w:color="auto" w:frame="1"/>
          <w:lang w:eastAsia="en-CA"/>
        </w:rPr>
        <w:t>23)</w:t>
      </w:r>
    </w:p>
    <w:p w14:paraId="13033405" w14:textId="77777777" w:rsidR="006915B5" w:rsidRPr="006915B5" w:rsidRDefault="006915B5" w:rsidP="006915B5">
      <w:pPr>
        <w:pStyle w:val="NoSpacing"/>
        <w:rPr>
          <w:rFonts w:ascii="Arial" w:hAnsi="Arial" w:cs="Arial"/>
          <w:bdr w:val="none" w:sz="0" w:space="0" w:color="auto" w:frame="1"/>
          <w:lang w:eastAsia="en-CA"/>
        </w:rPr>
      </w:pPr>
    </w:p>
    <w:p w14:paraId="7CEF599D" w14:textId="07C72F21"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054DC5EA"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position is that broadcasters’ existing use of applications provided by non-geostationary satellite systems must be protected and maintained, and that this is best accomplished by No Change under this agenda item.</w:t>
      </w:r>
    </w:p>
    <w:p w14:paraId="201E1E39" w14:textId="77777777" w:rsidR="006915B5" w:rsidRPr="006915B5" w:rsidRDefault="006915B5" w:rsidP="006915B5">
      <w:pPr>
        <w:pStyle w:val="NoSpacing"/>
        <w:rPr>
          <w:rFonts w:ascii="Arial" w:hAnsi="Arial" w:cs="Arial"/>
          <w:b/>
          <w:bCs/>
          <w:bdr w:val="none" w:sz="0" w:space="0" w:color="auto" w:frame="1"/>
          <w:lang w:eastAsia="en-CA"/>
        </w:rPr>
      </w:pPr>
    </w:p>
    <w:p w14:paraId="3E7A3E42"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1.7 </w:t>
      </w:r>
    </w:p>
    <w:p w14:paraId="72B343BD"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To consider 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hyperlink r:id="rId11" w:history="1">
        <w:r w:rsidRPr="006915B5">
          <w:rPr>
            <w:rFonts w:ascii="Arial" w:hAnsi="Arial" w:cs="Arial"/>
            <w:bdr w:val="none" w:sz="0" w:space="0" w:color="auto" w:frame="1"/>
            <w:lang w:eastAsia="en-CA"/>
          </w:rPr>
          <w:t>256 (WRC</w:t>
        </w:r>
        <w:r w:rsidRPr="006915B5">
          <w:rPr>
            <w:rFonts w:ascii="Arial" w:hAnsi="Arial" w:cs="Arial"/>
            <w:bdr w:val="none" w:sz="0" w:space="0" w:color="auto" w:frame="1"/>
            <w:lang w:eastAsia="en-CA"/>
          </w:rPr>
          <w:noBreakHyphen/>
          <w:t>23)</w:t>
        </w:r>
      </w:hyperlink>
      <w:r w:rsidRPr="006915B5">
        <w:rPr>
          <w:rFonts w:ascii="Arial" w:hAnsi="Arial" w:cs="Arial"/>
          <w:bdr w:val="none" w:sz="0" w:space="0" w:color="auto" w:frame="1"/>
          <w:lang w:eastAsia="en-CA"/>
        </w:rPr>
        <w:t>; </w:t>
      </w:r>
    </w:p>
    <w:p w14:paraId="623A9ABA" w14:textId="77777777" w:rsidR="006915B5" w:rsidRPr="006915B5" w:rsidRDefault="006915B5" w:rsidP="006915B5">
      <w:pPr>
        <w:pStyle w:val="NoSpacing"/>
        <w:rPr>
          <w:rFonts w:ascii="Arial" w:hAnsi="Arial" w:cs="Arial"/>
          <w:bdr w:val="none" w:sz="0" w:space="0" w:color="auto" w:frame="1"/>
          <w:lang w:eastAsia="en-CA"/>
        </w:rPr>
      </w:pPr>
    </w:p>
    <w:p w14:paraId="7D4EAF27" w14:textId="4A24F301"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 </w:t>
      </w:r>
    </w:p>
    <w:p w14:paraId="4EA26659" w14:textId="77777777" w:rsidR="006915B5" w:rsidRPr="006915B5" w:rsidRDefault="006915B5" w:rsidP="006915B5">
      <w:pPr>
        <w:pStyle w:val="NoSpacing"/>
        <w:jc w:val="both"/>
        <w:rPr>
          <w:rFonts w:ascii="Arial" w:hAnsi="Arial" w:cs="Arial"/>
          <w:bdr w:val="none" w:sz="0" w:space="0" w:color="auto" w:frame="1"/>
          <w:lang w:eastAsia="en-CA"/>
        </w:rPr>
      </w:pPr>
      <w:r w:rsidRPr="006915B5">
        <w:rPr>
          <w:rFonts w:ascii="Arial" w:hAnsi="Arial" w:cs="Arial"/>
          <w:bdr w:val="none" w:sz="0" w:space="0" w:color="auto" w:frame="1"/>
          <w:lang w:eastAsia="en-CA"/>
        </w:rPr>
        <w:t>The WBU contends that broadcasters’ use of PMSE</w:t>
      </w:r>
      <w:r w:rsidRPr="006915B5">
        <w:rPr>
          <w:rStyle w:val="FootnoteReference"/>
          <w:rFonts w:ascii="Arial" w:hAnsi="Arial" w:cs="Arial"/>
          <w:sz w:val="24"/>
          <w:bdr w:val="none" w:sz="0" w:space="0" w:color="auto" w:frame="1"/>
          <w:lang w:eastAsia="en-CA"/>
        </w:rPr>
        <w:footnoteReference w:id="1"/>
      </w:r>
      <w:r w:rsidRPr="006915B5">
        <w:rPr>
          <w:rFonts w:ascii="Arial" w:hAnsi="Arial" w:cs="Arial"/>
          <w:bdr w:val="none" w:sz="0" w:space="0" w:color="auto" w:frame="1"/>
          <w:lang w:eastAsia="en-CA"/>
        </w:rPr>
        <w:t xml:space="preserve"> and fixed terrestrial links in the bands in the scope of this agenda item and in the adjacent frequency bands are critical for broadcast production and must be protected. Sharing studies are required before a determination can be made if new allocations for IMT would ensure continued availability for PMSE and terrestrial fixed links.</w:t>
      </w:r>
    </w:p>
    <w:p w14:paraId="0FF1F20E" w14:textId="77777777" w:rsidR="006915B5" w:rsidRPr="006915B5" w:rsidRDefault="006915B5" w:rsidP="006915B5">
      <w:pPr>
        <w:pStyle w:val="NoSpacing"/>
        <w:jc w:val="both"/>
        <w:rPr>
          <w:rFonts w:ascii="Arial" w:hAnsi="Arial" w:cs="Arial"/>
          <w:bdr w:val="none" w:sz="0" w:space="0" w:color="auto" w:frame="1"/>
          <w:lang w:eastAsia="en-CA"/>
        </w:rPr>
      </w:pPr>
    </w:p>
    <w:p w14:paraId="171346CB" w14:textId="6B4D75A2" w:rsidR="006915B5" w:rsidRPr="006915B5" w:rsidRDefault="006915B5" w:rsidP="006915B5">
      <w:pPr>
        <w:pStyle w:val="NoSpacing"/>
        <w:jc w:val="both"/>
        <w:rPr>
          <w:rFonts w:ascii="Arial" w:hAnsi="Arial" w:cs="Arial"/>
          <w:bdr w:val="none" w:sz="0" w:space="0" w:color="auto" w:frame="1"/>
          <w:lang w:eastAsia="en-CA"/>
        </w:rPr>
      </w:pPr>
      <w:r w:rsidRPr="006915B5">
        <w:rPr>
          <w:rFonts w:ascii="Arial" w:hAnsi="Arial" w:cs="Arial"/>
          <w:bdr w:val="none" w:sz="0" w:space="0" w:color="auto" w:frame="1"/>
          <w:lang w:eastAsia="en-CA"/>
        </w:rPr>
        <w:t xml:space="preserve">Specifically, the 7125-8400 MHz band is adjacent to the 6875 - 7125 MHz band which is used for fixed links and PMSE everywhere in </w:t>
      </w:r>
      <w:proofErr w:type="gramStart"/>
      <w:r w:rsidRPr="006915B5">
        <w:rPr>
          <w:rFonts w:ascii="Arial" w:hAnsi="Arial" w:cs="Arial"/>
          <w:bdr w:val="none" w:sz="0" w:space="0" w:color="auto" w:frame="1"/>
          <w:lang w:eastAsia="en-CA"/>
        </w:rPr>
        <w:t>Region</w:t>
      </w:r>
      <w:proofErr w:type="gramEnd"/>
      <w:r w:rsidRPr="006915B5">
        <w:rPr>
          <w:rFonts w:ascii="Arial" w:hAnsi="Arial" w:cs="Arial"/>
          <w:bdr w:val="none" w:sz="0" w:space="0" w:color="auto" w:frame="1"/>
          <w:lang w:eastAsia="en-CA"/>
        </w:rPr>
        <w:t xml:space="preserve"> 2 and in some parts of </w:t>
      </w:r>
      <w:proofErr w:type="gramStart"/>
      <w:r w:rsidRPr="006915B5">
        <w:rPr>
          <w:rFonts w:ascii="Arial" w:hAnsi="Arial" w:cs="Arial"/>
          <w:bdr w:val="none" w:sz="0" w:space="0" w:color="auto" w:frame="1"/>
          <w:lang w:eastAsia="en-CA"/>
        </w:rPr>
        <w:t>Regions</w:t>
      </w:r>
      <w:proofErr w:type="gramEnd"/>
      <w:r w:rsidRPr="006915B5">
        <w:rPr>
          <w:rFonts w:ascii="Arial" w:hAnsi="Arial" w:cs="Arial"/>
          <w:bdr w:val="none" w:sz="0" w:space="0" w:color="auto" w:frame="1"/>
          <w:lang w:eastAsia="en-CA"/>
        </w:rPr>
        <w:t xml:space="preserve"> 1 and 3. Any potential IMT allocation in the 7125 MHz - 8400 MHz band must protect broadcasters’ use of fixed links and ENG in this spectrum.</w:t>
      </w:r>
    </w:p>
    <w:p w14:paraId="7368D288" w14:textId="77777777" w:rsidR="006915B5" w:rsidRPr="006915B5" w:rsidRDefault="006915B5" w:rsidP="006915B5">
      <w:pPr>
        <w:pStyle w:val="NoSpacing"/>
        <w:rPr>
          <w:rFonts w:ascii="Arial" w:hAnsi="Arial" w:cs="Arial"/>
          <w:bdr w:val="none" w:sz="0" w:space="0" w:color="auto" w:frame="1"/>
          <w:lang w:eastAsia="en-CA"/>
        </w:rPr>
      </w:pPr>
    </w:p>
    <w:p w14:paraId="17619D3A"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1.11 </w:t>
      </w:r>
    </w:p>
    <w:p w14:paraId="16D96A41"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lastRenderedPageBreak/>
        <w:t>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hyperlink r:id="rId12" w:history="1">
        <w:r w:rsidRPr="006915B5">
          <w:rPr>
            <w:rFonts w:ascii="Arial" w:hAnsi="Arial" w:cs="Arial"/>
            <w:bdr w:val="none" w:sz="0" w:space="0" w:color="auto" w:frame="1"/>
            <w:lang w:eastAsia="en-CA"/>
          </w:rPr>
          <w:t>249 (Rev. WRC</w:t>
        </w:r>
        <w:r w:rsidRPr="006915B5">
          <w:rPr>
            <w:rFonts w:ascii="Arial" w:hAnsi="Arial" w:cs="Arial"/>
            <w:bdr w:val="none" w:sz="0" w:space="0" w:color="auto" w:frame="1"/>
            <w:lang w:eastAsia="en-CA"/>
          </w:rPr>
          <w:noBreakHyphen/>
          <w:t>23)</w:t>
        </w:r>
      </w:hyperlink>
      <w:r w:rsidRPr="006915B5">
        <w:rPr>
          <w:rFonts w:ascii="Arial" w:hAnsi="Arial" w:cs="Arial"/>
          <w:bdr w:val="none" w:sz="0" w:space="0" w:color="auto" w:frame="1"/>
          <w:lang w:eastAsia="en-CA"/>
        </w:rPr>
        <w:t>.</w:t>
      </w:r>
    </w:p>
    <w:p w14:paraId="2DCDEB39" w14:textId="77777777" w:rsidR="006915B5" w:rsidRPr="006915B5" w:rsidRDefault="006915B5" w:rsidP="006915B5">
      <w:pPr>
        <w:pStyle w:val="NoSpacing"/>
        <w:rPr>
          <w:rFonts w:ascii="Arial" w:hAnsi="Arial" w:cs="Arial"/>
          <w:bdr w:val="none" w:sz="0" w:space="0" w:color="auto" w:frame="1"/>
          <w:lang w:eastAsia="en-CA"/>
        </w:rPr>
      </w:pPr>
    </w:p>
    <w:p w14:paraId="4FC5B89B" w14:textId="6D441793"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 </w:t>
      </w:r>
    </w:p>
    <w:p w14:paraId="6F47F669" w14:textId="77777777" w:rsidR="006915B5" w:rsidRPr="006915B5" w:rsidRDefault="006915B5" w:rsidP="006915B5">
      <w:pPr>
        <w:pStyle w:val="NoSpacing"/>
        <w:rPr>
          <w:rFonts w:ascii="Arial" w:hAnsi="Arial" w:cs="Arial"/>
          <w:color w:val="FF0000"/>
          <w:bdr w:val="none" w:sz="0" w:space="0" w:color="auto" w:frame="1"/>
          <w:lang w:eastAsia="en-CA"/>
        </w:rPr>
      </w:pPr>
      <w:r w:rsidRPr="006915B5">
        <w:rPr>
          <w:rFonts w:ascii="Arial" w:hAnsi="Arial" w:cs="Arial"/>
          <w:bdr w:val="none" w:sz="0" w:space="0" w:color="auto" w:frame="1"/>
          <w:lang w:eastAsia="en-CA"/>
        </w:rPr>
        <w:t>The 2483.5-2500 MHz band includes some applications of the mobile service used for PMSE operations in many countries, which must continue to be protected.  In addition, ITU-R Report BT.2069-7 mentions the use of 2450-2690 MHz in Region 3 for PMSE, specifically in Australia.</w:t>
      </w:r>
    </w:p>
    <w:p w14:paraId="40ADAFCE" w14:textId="77777777" w:rsidR="006915B5" w:rsidRPr="006915B5" w:rsidRDefault="006915B5" w:rsidP="006915B5">
      <w:pPr>
        <w:pStyle w:val="NoSpacing"/>
        <w:rPr>
          <w:rFonts w:ascii="Arial" w:hAnsi="Arial" w:cs="Arial"/>
          <w:b/>
          <w:bCs/>
          <w:bdr w:val="none" w:sz="0" w:space="0" w:color="auto" w:frame="1"/>
          <w:lang w:eastAsia="en-CA"/>
        </w:rPr>
      </w:pPr>
    </w:p>
    <w:p w14:paraId="623E53FE"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1.12 </w:t>
      </w:r>
    </w:p>
    <w:p w14:paraId="0C290F2B" w14:textId="77777777" w:rsidR="006915B5" w:rsidRPr="006915B5" w:rsidRDefault="006915B5" w:rsidP="006915B5">
      <w:pPr>
        <w:pStyle w:val="NoSpacing"/>
        <w:rPr>
          <w:rFonts w:ascii="Arial" w:hAnsi="Arial" w:cs="Arial"/>
        </w:rPr>
      </w:pPr>
      <w:r w:rsidRPr="006915B5">
        <w:rPr>
          <w:rFonts w:ascii="Arial" w:hAnsi="Arial" w:cs="Arial"/>
          <w:bdr w:val="none" w:sz="0" w:space="0" w:color="auto" w:frame="1"/>
          <w:lang w:eastAsia="en-CA"/>
        </w:rPr>
        <w:t>To consider, based on the results of studies, possible allocations to the mobile</w:t>
      </w:r>
      <w:r w:rsidRPr="006915B5">
        <w:rPr>
          <w:rFonts w:ascii="Arial" w:hAnsi="Arial" w:cs="Arial"/>
          <w:bdr w:val="none" w:sz="0" w:space="0" w:color="auto" w:frame="1"/>
          <w:lang w:eastAsia="en-CA"/>
        </w:rPr>
        <w:noBreakHyphen/>
        <w:t>satellite service and possible regulatory actions in the frequency bands 1 427-1 432 MHz (space-to-Earth), 1 645.5-1 646.5 MHz (space-to-Earth) (Earth-to-space), 1 880-1 920 MHz (space-to-Earth) (Earth</w:t>
      </w:r>
      <w:r w:rsidRPr="006915B5">
        <w:rPr>
          <w:rFonts w:ascii="Arial" w:hAnsi="Arial" w:cs="Arial"/>
          <w:bdr w:val="none" w:sz="0" w:space="0" w:color="auto" w:frame="1"/>
          <w:lang w:eastAsia="en-CA"/>
        </w:rPr>
        <w:noBreakHyphen/>
        <w:t>to-space) and 2 010-2 025 MHz (space-to-Earth) (Earth-to-space) required for the future development of low-data-rate non-geostationary mobile</w:t>
      </w:r>
      <w:r w:rsidRPr="006915B5">
        <w:rPr>
          <w:rFonts w:ascii="Arial" w:hAnsi="Arial" w:cs="Arial"/>
          <w:bdr w:val="none" w:sz="0" w:space="0" w:color="auto" w:frame="1"/>
          <w:lang w:eastAsia="en-CA"/>
        </w:rPr>
        <w:noBreakHyphen/>
        <w:t>satellite systems, in accordance with Resolution </w:t>
      </w:r>
      <w:hyperlink r:id="rId13" w:history="1">
        <w:r w:rsidRPr="006915B5">
          <w:rPr>
            <w:rFonts w:ascii="Arial" w:hAnsi="Arial" w:cs="Arial"/>
            <w:bdr w:val="none" w:sz="0" w:space="0" w:color="auto" w:frame="1"/>
            <w:lang w:eastAsia="en-CA"/>
          </w:rPr>
          <w:t>252 (WRC</w:t>
        </w:r>
        <w:r w:rsidRPr="006915B5">
          <w:rPr>
            <w:rFonts w:ascii="Arial" w:hAnsi="Arial" w:cs="Arial"/>
            <w:bdr w:val="none" w:sz="0" w:space="0" w:color="auto" w:frame="1"/>
            <w:lang w:eastAsia="en-CA"/>
          </w:rPr>
          <w:noBreakHyphen/>
          <w:t>23)</w:t>
        </w:r>
      </w:hyperlink>
      <w:r w:rsidRPr="006915B5">
        <w:rPr>
          <w:rFonts w:ascii="Arial" w:hAnsi="Arial" w:cs="Arial"/>
        </w:rPr>
        <w:t>.</w:t>
      </w:r>
    </w:p>
    <w:p w14:paraId="1E379A92" w14:textId="77777777" w:rsidR="006915B5" w:rsidRPr="006915B5" w:rsidRDefault="006915B5" w:rsidP="006915B5">
      <w:pPr>
        <w:pStyle w:val="NoSpacing"/>
        <w:rPr>
          <w:rFonts w:ascii="Arial" w:hAnsi="Arial" w:cs="Arial"/>
          <w:bdr w:val="none" w:sz="0" w:space="0" w:color="auto" w:frame="1"/>
          <w:lang w:eastAsia="en-CA"/>
        </w:rPr>
      </w:pPr>
    </w:p>
    <w:p w14:paraId="5631A47C" w14:textId="5EFA4CDA"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498013E5"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position is that broadcasters’ use of PMSE in the bands in the scope of this agenda item and in adjacent frequency bands must be protected. Sharing studies are needed to determine if new allocations for non-GSO LDR</w:t>
      </w:r>
      <w:r w:rsidRPr="006915B5">
        <w:rPr>
          <w:rStyle w:val="FootnoteReference"/>
          <w:rFonts w:ascii="Arial" w:hAnsi="Arial" w:cs="Arial"/>
          <w:sz w:val="24"/>
          <w:bdr w:val="none" w:sz="0" w:space="0" w:color="auto" w:frame="1"/>
          <w:lang w:eastAsia="en-CA"/>
        </w:rPr>
        <w:footnoteReference w:id="2"/>
      </w:r>
      <w:r w:rsidRPr="006915B5">
        <w:rPr>
          <w:rFonts w:ascii="Arial" w:hAnsi="Arial" w:cs="Arial"/>
          <w:bdr w:val="none" w:sz="0" w:space="0" w:color="auto" w:frame="1"/>
          <w:lang w:eastAsia="en-CA"/>
        </w:rPr>
        <w:t xml:space="preserve"> MSS would ensure the necessary continued availability of the spectrum for PMSE.</w:t>
      </w:r>
    </w:p>
    <w:p w14:paraId="518812C7" w14:textId="77777777" w:rsidR="006915B5" w:rsidRPr="006915B5" w:rsidRDefault="006915B5" w:rsidP="006915B5">
      <w:pPr>
        <w:pStyle w:val="NoSpacing"/>
        <w:rPr>
          <w:rFonts w:ascii="Arial" w:hAnsi="Arial" w:cs="Arial"/>
          <w:color w:val="222222"/>
          <w:shd w:val="clear" w:color="auto" w:fill="FFFFFF"/>
        </w:rPr>
      </w:pPr>
    </w:p>
    <w:p w14:paraId="6C454D48"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notes that the April 2025 CEPT contributions to the WP 4C on the protection of PMSE systems under WRC-27 Agenda Items 1.12</w:t>
      </w:r>
      <w:r w:rsidRPr="006915B5">
        <w:rPr>
          <w:rStyle w:val="FootnoteReference"/>
          <w:rFonts w:ascii="Arial" w:hAnsi="Arial" w:cs="Arial"/>
          <w:sz w:val="24"/>
          <w:bdr w:val="none" w:sz="0" w:space="0" w:color="auto" w:frame="1"/>
          <w:lang w:eastAsia="en-CA"/>
        </w:rPr>
        <w:footnoteReference w:id="3"/>
      </w:r>
      <w:r w:rsidRPr="006915B5">
        <w:rPr>
          <w:rFonts w:ascii="Arial" w:hAnsi="Arial" w:cs="Arial"/>
          <w:bdr w:val="none" w:sz="0" w:space="0" w:color="auto" w:frame="1"/>
          <w:lang w:eastAsia="en-CA"/>
        </w:rPr>
        <w:t xml:space="preserve"> propose protection criteria for both mobile and fixed PMSE equipment, which have since been agreed by WP 4C. The WBU supports the use of these criteria in sharing studies.</w:t>
      </w:r>
    </w:p>
    <w:p w14:paraId="39B2C010" w14:textId="77777777" w:rsidR="006915B5" w:rsidRPr="006915B5" w:rsidRDefault="006915B5" w:rsidP="006915B5">
      <w:pPr>
        <w:pStyle w:val="NoSpacing"/>
        <w:rPr>
          <w:rFonts w:ascii="Arial" w:hAnsi="Arial" w:cs="Arial"/>
          <w:bdr w:val="none" w:sz="0" w:space="0" w:color="auto" w:frame="1"/>
          <w:lang w:eastAsia="en-CA"/>
        </w:rPr>
      </w:pPr>
    </w:p>
    <w:p w14:paraId="36F788CA" w14:textId="08A18C89" w:rsidR="006915B5" w:rsidRPr="00DB0C92" w:rsidRDefault="006915B5" w:rsidP="00DB0C92">
      <w:pPr>
        <w:pStyle w:val="NoSpacing"/>
        <w:jc w:val="both"/>
        <w:rPr>
          <w:rFonts w:ascii="Arial" w:hAnsi="Arial" w:cs="Arial"/>
        </w:rPr>
      </w:pPr>
      <w:r w:rsidRPr="006915B5">
        <w:rPr>
          <w:rFonts w:ascii="Arial" w:hAnsi="Arial" w:cs="Arial"/>
          <w:bdr w:val="none" w:sz="0" w:space="0" w:color="auto" w:frame="1"/>
          <w:lang w:eastAsia="en-CA"/>
        </w:rPr>
        <w:t xml:space="preserve">The 1427 -1432 MHz band is adjacent to the 1435 – 1525 MHz band, which is used for </w:t>
      </w:r>
      <w:proofErr w:type="gramStart"/>
      <w:r w:rsidRPr="006915B5">
        <w:rPr>
          <w:rFonts w:ascii="Arial" w:hAnsi="Arial" w:cs="Arial"/>
          <w:bdr w:val="none" w:sz="0" w:space="0" w:color="auto" w:frame="1"/>
          <w:lang w:eastAsia="en-CA"/>
        </w:rPr>
        <w:t>PMSE</w:t>
      </w:r>
      <w:proofErr w:type="gramEnd"/>
      <w:r w:rsidRPr="006915B5">
        <w:rPr>
          <w:rFonts w:ascii="Arial" w:hAnsi="Arial" w:cs="Arial"/>
          <w:bdr w:val="none" w:sz="0" w:space="0" w:color="auto" w:frame="1"/>
          <w:lang w:eastAsia="en-CA"/>
        </w:rPr>
        <w:t xml:space="preserve"> and such use is likely to increase. The 2010-2025 MHz band is used for video PMSE in many countries and the 1880-1900 MHz band is used by DECT</w:t>
      </w:r>
      <w:r w:rsidRPr="006915B5">
        <w:rPr>
          <w:rStyle w:val="FootnoteReference"/>
          <w:rFonts w:ascii="Arial" w:hAnsi="Arial" w:cs="Arial"/>
          <w:sz w:val="24"/>
          <w:bdr w:val="none" w:sz="0" w:space="0" w:color="auto" w:frame="1"/>
          <w:lang w:eastAsia="en-CA"/>
        </w:rPr>
        <w:footnoteReference w:id="4"/>
      </w:r>
      <w:r w:rsidRPr="006915B5">
        <w:rPr>
          <w:rFonts w:ascii="Arial" w:hAnsi="Arial" w:cs="Arial"/>
          <w:bdr w:val="none" w:sz="0" w:space="0" w:color="auto" w:frame="1"/>
          <w:lang w:eastAsia="en-CA"/>
        </w:rPr>
        <w:t xml:space="preserve"> technologies for audio PMSE systems. The use of these bands by broadcasters must continue to be protected.</w:t>
      </w:r>
      <w:r w:rsidRPr="006915B5">
        <w:rPr>
          <w:rStyle w:val="CommentReference"/>
          <w:rFonts w:ascii="Arial" w:hAnsi="Arial" w:cs="Arial"/>
          <w:sz w:val="24"/>
          <w:szCs w:val="24"/>
        </w:rPr>
        <w:t xml:space="preserve"> </w:t>
      </w:r>
    </w:p>
    <w:p w14:paraId="51478D5D" w14:textId="77777777" w:rsidR="006915B5" w:rsidRPr="006915B5" w:rsidRDefault="006915B5" w:rsidP="006915B5">
      <w:pPr>
        <w:pStyle w:val="NoSpacing"/>
        <w:rPr>
          <w:rFonts w:ascii="Arial" w:hAnsi="Arial" w:cs="Arial"/>
          <w:b/>
          <w:bCs/>
          <w:bdr w:val="none" w:sz="0" w:space="0" w:color="auto" w:frame="1"/>
          <w:lang w:eastAsia="en-CA"/>
        </w:rPr>
      </w:pPr>
    </w:p>
    <w:p w14:paraId="41071CC6"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1.13 </w:t>
      </w:r>
    </w:p>
    <w:p w14:paraId="48E7B8A9" w14:textId="77777777" w:rsid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To consider studies on possible new allocations to the mobile-satellite service for direct connectivity between space stations and International Mobile Telecommunications (IMT) user equipment to complement terrestrial IMT network coverage, in accordance with Resolution </w:t>
      </w:r>
      <w:hyperlink r:id="rId14" w:history="1">
        <w:r w:rsidRPr="006915B5">
          <w:rPr>
            <w:rFonts w:ascii="Arial" w:hAnsi="Arial" w:cs="Arial"/>
            <w:bdr w:val="none" w:sz="0" w:space="0" w:color="auto" w:frame="1"/>
            <w:lang w:eastAsia="en-CA"/>
          </w:rPr>
          <w:t>253 (WRC-23)</w:t>
        </w:r>
      </w:hyperlink>
      <w:r w:rsidRPr="006915B5">
        <w:rPr>
          <w:rFonts w:ascii="Arial" w:hAnsi="Arial" w:cs="Arial"/>
          <w:bdr w:val="none" w:sz="0" w:space="0" w:color="auto" w:frame="1"/>
          <w:lang w:eastAsia="en-CA"/>
        </w:rPr>
        <w:t>.</w:t>
      </w:r>
    </w:p>
    <w:p w14:paraId="63DE6067" w14:textId="77777777" w:rsidR="00DB0C92" w:rsidRDefault="00DB0C92" w:rsidP="006915B5">
      <w:pPr>
        <w:pStyle w:val="NoSpacing"/>
        <w:rPr>
          <w:rFonts w:ascii="Arial" w:hAnsi="Arial" w:cs="Arial"/>
          <w:bdr w:val="none" w:sz="0" w:space="0" w:color="auto" w:frame="1"/>
          <w:lang w:eastAsia="en-CA"/>
        </w:rPr>
      </w:pPr>
    </w:p>
    <w:p w14:paraId="5FB2035E" w14:textId="77777777" w:rsidR="00DB0C92" w:rsidRDefault="00DB0C92" w:rsidP="006915B5">
      <w:pPr>
        <w:pStyle w:val="NoSpacing"/>
        <w:rPr>
          <w:rFonts w:ascii="Arial" w:hAnsi="Arial" w:cs="Arial"/>
          <w:bdr w:val="none" w:sz="0" w:space="0" w:color="auto" w:frame="1"/>
          <w:lang w:eastAsia="en-CA"/>
        </w:rPr>
      </w:pPr>
    </w:p>
    <w:p w14:paraId="4330FE63" w14:textId="77777777" w:rsidR="00DB0C92" w:rsidRPr="006915B5" w:rsidRDefault="00DB0C92" w:rsidP="006915B5">
      <w:pPr>
        <w:pStyle w:val="NoSpacing"/>
        <w:rPr>
          <w:rFonts w:ascii="Arial" w:hAnsi="Arial" w:cs="Arial"/>
          <w:bdr w:val="none" w:sz="0" w:space="0" w:color="auto" w:frame="1"/>
          <w:lang w:eastAsia="en-CA"/>
        </w:rPr>
      </w:pPr>
    </w:p>
    <w:p w14:paraId="7CA41856" w14:textId="77777777" w:rsidR="006915B5" w:rsidRPr="006915B5" w:rsidRDefault="006915B5" w:rsidP="006915B5">
      <w:pPr>
        <w:pStyle w:val="NoSpacing"/>
        <w:rPr>
          <w:rFonts w:ascii="Arial" w:hAnsi="Arial" w:cs="Arial"/>
          <w:bdr w:val="none" w:sz="0" w:space="0" w:color="auto" w:frame="1"/>
          <w:lang w:eastAsia="en-CA"/>
        </w:rPr>
      </w:pPr>
    </w:p>
    <w:p w14:paraId="3E469F7E" w14:textId="4F3EADB0"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36616F2E" w14:textId="77777777" w:rsidR="006915B5" w:rsidRPr="006915B5" w:rsidRDefault="006915B5" w:rsidP="006915B5">
      <w:pPr>
        <w:pStyle w:val="NoSpacing"/>
        <w:rPr>
          <w:rFonts w:ascii="Arial" w:hAnsi="Arial" w:cs="Arial"/>
          <w:u w:val="words"/>
          <w:bdr w:val="none" w:sz="0" w:space="0" w:color="auto" w:frame="1"/>
          <w:lang w:eastAsia="en-CA"/>
        </w:rPr>
      </w:pPr>
      <w:r w:rsidRPr="006915B5">
        <w:rPr>
          <w:rFonts w:ascii="Arial" w:hAnsi="Arial" w:cs="Arial"/>
          <w:bdr w:val="none" w:sz="0" w:space="0" w:color="auto" w:frame="1"/>
          <w:lang w:eastAsia="en-CA"/>
        </w:rPr>
        <w:t xml:space="preserve">While the WBU and its members are interested in exploring the new ‘direct to device’ applications, their existing use of frequencies for DTT services and for PMSE under this agenda item must be protected. </w:t>
      </w:r>
    </w:p>
    <w:p w14:paraId="52F2F959"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notes that the April 2025 CEPT contributions to the WP 4C on the protection of PMSE systems under WRC-27 Agenda Items 1.13</w:t>
      </w:r>
      <w:r w:rsidRPr="006915B5">
        <w:rPr>
          <w:rStyle w:val="FootnoteReference"/>
          <w:rFonts w:ascii="Arial" w:hAnsi="Arial" w:cs="Arial"/>
          <w:sz w:val="24"/>
          <w:bdr w:val="none" w:sz="0" w:space="0" w:color="auto" w:frame="1"/>
          <w:lang w:eastAsia="en-CA"/>
        </w:rPr>
        <w:footnoteReference w:id="5"/>
      </w:r>
      <w:r w:rsidRPr="006915B5">
        <w:rPr>
          <w:rFonts w:ascii="Arial" w:hAnsi="Arial" w:cs="Arial"/>
          <w:bdr w:val="none" w:sz="0" w:space="0" w:color="auto" w:frame="1"/>
          <w:lang w:eastAsia="en-CA"/>
        </w:rPr>
        <w:t xml:space="preserve"> propose protection criteria for both mobile and fixed PMSE equipment, which have since been agreed by WP 4C. The WBU supports the use of these criteria in sharing studies.</w:t>
      </w:r>
    </w:p>
    <w:p w14:paraId="4E54A9AB" w14:textId="77777777" w:rsidR="006915B5" w:rsidRPr="006915B5" w:rsidRDefault="006915B5" w:rsidP="006915B5">
      <w:pPr>
        <w:pStyle w:val="NoSpacing"/>
        <w:rPr>
          <w:rFonts w:ascii="Arial" w:hAnsi="Arial" w:cs="Arial"/>
          <w:bdr w:val="none" w:sz="0" w:space="0" w:color="auto" w:frame="1"/>
          <w:lang w:eastAsia="en-CA"/>
        </w:rPr>
      </w:pPr>
    </w:p>
    <w:p w14:paraId="449089DC" w14:textId="499BFA00"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Therefore, sharing studies are needed to determine if new allocations for MSS D2D would ensure the necessary continued availability for PMSE in 2200-2400 MHz and protection of DTT and mobile video links.</w:t>
      </w:r>
    </w:p>
    <w:p w14:paraId="7805A19F" w14:textId="77777777" w:rsidR="006915B5" w:rsidRPr="006915B5" w:rsidRDefault="006915B5" w:rsidP="006915B5">
      <w:pPr>
        <w:pStyle w:val="NoSpacing"/>
        <w:rPr>
          <w:rFonts w:ascii="Arial" w:hAnsi="Arial" w:cs="Arial"/>
          <w:bdr w:val="none" w:sz="0" w:space="0" w:color="auto" w:frame="1"/>
          <w:lang w:eastAsia="en-CA"/>
        </w:rPr>
      </w:pPr>
    </w:p>
    <w:p w14:paraId="0B1655C3"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 xml:space="preserve">Agenda Item 1.14 </w:t>
      </w:r>
    </w:p>
    <w:p w14:paraId="72E4DD33"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To consider possible additional allocations to the mobile-satellite service, in accordance with Resolution </w:t>
      </w:r>
      <w:hyperlink r:id="rId15" w:history="1">
        <w:r w:rsidRPr="006915B5">
          <w:rPr>
            <w:rFonts w:ascii="Arial" w:hAnsi="Arial" w:cs="Arial"/>
            <w:bdr w:val="none" w:sz="0" w:space="0" w:color="auto" w:frame="1"/>
            <w:lang w:eastAsia="en-CA"/>
          </w:rPr>
          <w:t>254 (WRC</w:t>
        </w:r>
        <w:r w:rsidRPr="006915B5">
          <w:rPr>
            <w:rFonts w:ascii="Arial" w:hAnsi="Arial" w:cs="Arial"/>
            <w:bdr w:val="none" w:sz="0" w:space="0" w:color="auto" w:frame="1"/>
            <w:lang w:eastAsia="en-CA"/>
          </w:rPr>
          <w:noBreakHyphen/>
          <w:t>23)</w:t>
        </w:r>
      </w:hyperlink>
      <w:r w:rsidRPr="006915B5">
        <w:rPr>
          <w:rFonts w:ascii="Arial" w:hAnsi="Arial" w:cs="Arial"/>
          <w:bdr w:val="none" w:sz="0" w:space="0" w:color="auto" w:frame="1"/>
          <w:lang w:eastAsia="en-CA"/>
        </w:rPr>
        <w:t>.</w:t>
      </w:r>
    </w:p>
    <w:p w14:paraId="5106D2AE" w14:textId="77777777" w:rsidR="006915B5" w:rsidRPr="006915B5" w:rsidRDefault="006915B5" w:rsidP="006915B5">
      <w:pPr>
        <w:pStyle w:val="NoSpacing"/>
        <w:rPr>
          <w:rFonts w:ascii="Arial" w:hAnsi="Arial" w:cs="Arial"/>
          <w:bdr w:val="none" w:sz="0" w:space="0" w:color="auto" w:frame="1"/>
          <w:lang w:eastAsia="en-CA"/>
        </w:rPr>
      </w:pPr>
    </w:p>
    <w:p w14:paraId="0DCD3F72" w14:textId="5CDA81F0"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1607B0EA"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objects to any consideration of the band 2010 – 2025 MHz for any additional MSS allocations due to the impact on PMSE equipment, specifically wireless video cameras.</w:t>
      </w:r>
    </w:p>
    <w:p w14:paraId="401AB2D6" w14:textId="77777777" w:rsidR="006915B5" w:rsidRPr="006915B5" w:rsidRDefault="006915B5" w:rsidP="006915B5">
      <w:pPr>
        <w:pStyle w:val="NoSpacing"/>
        <w:rPr>
          <w:rFonts w:ascii="Arial" w:hAnsi="Arial" w:cs="Arial"/>
          <w:bdr w:val="none" w:sz="0" w:space="0" w:color="auto" w:frame="1"/>
          <w:lang w:eastAsia="en-CA"/>
        </w:rPr>
      </w:pPr>
    </w:p>
    <w:p w14:paraId="7C82B4A3" w14:textId="4FDACB7E"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notes the April 2025 CEPT contributions to the WP 4C on the protection of PMSE systems under WRC-27 Agenda Items 1.14. These propose protection criteria for both mobile and fixed PMSE equipment, which have been agreed by WP 4C. The WBU supports these criteria.</w:t>
      </w:r>
    </w:p>
    <w:p w14:paraId="3D58BD90" w14:textId="77777777" w:rsidR="006915B5" w:rsidRPr="006915B5" w:rsidRDefault="006915B5" w:rsidP="006915B5">
      <w:pPr>
        <w:pStyle w:val="NoSpacing"/>
        <w:rPr>
          <w:rFonts w:ascii="Arial" w:hAnsi="Arial" w:cs="Arial"/>
          <w:bdr w:val="none" w:sz="0" w:space="0" w:color="auto" w:frame="1"/>
          <w:lang w:eastAsia="en-CA"/>
        </w:rPr>
      </w:pPr>
    </w:p>
    <w:p w14:paraId="106D09F8" w14:textId="77777777" w:rsidR="006915B5" w:rsidRPr="006915B5" w:rsidRDefault="006915B5" w:rsidP="006915B5">
      <w:pPr>
        <w:pStyle w:val="NoSpacing"/>
        <w:rPr>
          <w:rFonts w:ascii="Arial" w:hAnsi="Arial" w:cs="Arial"/>
          <w:b/>
          <w:bCs/>
          <w:u w:val="single"/>
          <w:bdr w:val="none" w:sz="0" w:space="0" w:color="auto" w:frame="1"/>
          <w:lang w:eastAsia="en-CA"/>
        </w:rPr>
      </w:pPr>
      <w:r w:rsidRPr="006915B5">
        <w:rPr>
          <w:rFonts w:ascii="Arial" w:hAnsi="Arial" w:cs="Arial"/>
          <w:b/>
          <w:bCs/>
          <w:u w:val="single"/>
          <w:bdr w:val="none" w:sz="0" w:space="0" w:color="auto" w:frame="1"/>
          <w:lang w:eastAsia="en-CA"/>
        </w:rPr>
        <w:t>Agenda Item 8</w:t>
      </w:r>
    </w:p>
    <w:p w14:paraId="42241B9A"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 xml:space="preserve">To consider and take appropriate action on requests from administrations to delete their country footnotes or to have their country name deleted from footnotes, if no longer required, </w:t>
      </w:r>
      <w:proofErr w:type="gramStart"/>
      <w:r w:rsidRPr="006915B5">
        <w:rPr>
          <w:rFonts w:ascii="Arial" w:hAnsi="Arial" w:cs="Arial"/>
          <w:bdr w:val="none" w:sz="0" w:space="0" w:color="auto" w:frame="1"/>
          <w:lang w:eastAsia="en-CA"/>
        </w:rPr>
        <w:t>taking into account</w:t>
      </w:r>
      <w:proofErr w:type="gramEnd"/>
      <w:r w:rsidRPr="006915B5">
        <w:rPr>
          <w:rFonts w:ascii="Arial" w:hAnsi="Arial" w:cs="Arial"/>
          <w:bdr w:val="none" w:sz="0" w:space="0" w:color="auto" w:frame="1"/>
          <w:lang w:eastAsia="en-CA"/>
        </w:rPr>
        <w:t xml:space="preserve"> Resolution 26 (Rev.WRC</w:t>
      </w:r>
      <w:r w:rsidRPr="006915B5">
        <w:rPr>
          <w:rFonts w:ascii="Arial" w:hAnsi="Arial" w:cs="Arial"/>
          <w:bdr w:val="none" w:sz="0" w:space="0" w:color="auto" w:frame="1"/>
          <w:lang w:eastAsia="en-CA"/>
        </w:rPr>
        <w:noBreakHyphen/>
        <w:t>23).</w:t>
      </w:r>
    </w:p>
    <w:p w14:paraId="7E43B8BC" w14:textId="77777777" w:rsidR="006915B5" w:rsidRP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 </w:t>
      </w:r>
    </w:p>
    <w:p w14:paraId="071303AE" w14:textId="32993458" w:rsidR="006915B5" w:rsidRPr="006915B5" w:rsidRDefault="002834A2" w:rsidP="006915B5">
      <w:pPr>
        <w:pStyle w:val="NoSpacing"/>
        <w:rPr>
          <w:rFonts w:ascii="Arial" w:hAnsi="Arial" w:cs="Arial"/>
          <w:b/>
          <w:bCs/>
          <w:bdr w:val="none" w:sz="0" w:space="0" w:color="auto" w:frame="1"/>
          <w:lang w:eastAsia="en-CA"/>
        </w:rPr>
      </w:pPr>
      <w:r>
        <w:rPr>
          <w:rFonts w:ascii="Arial" w:hAnsi="Arial" w:cs="Arial"/>
          <w:b/>
          <w:bCs/>
          <w:bdr w:val="none" w:sz="0" w:space="0" w:color="auto" w:frame="1"/>
          <w:lang w:eastAsia="en-CA"/>
        </w:rPr>
        <w:t>Preliminary</w:t>
      </w:r>
      <w:r w:rsidR="006915B5" w:rsidRPr="006915B5">
        <w:rPr>
          <w:rFonts w:ascii="Arial" w:hAnsi="Arial" w:cs="Arial"/>
          <w:b/>
          <w:bCs/>
          <w:bdr w:val="none" w:sz="0" w:space="0" w:color="auto" w:frame="1"/>
          <w:lang w:eastAsia="en-CA"/>
        </w:rPr>
        <w:t xml:space="preserve"> WBU Position</w:t>
      </w:r>
    </w:p>
    <w:p w14:paraId="14C6F9E2" w14:textId="01F2A2E3" w:rsidR="006915B5" w:rsidRDefault="006915B5" w:rsidP="006915B5">
      <w:pPr>
        <w:pStyle w:val="NoSpacing"/>
        <w:rPr>
          <w:rFonts w:ascii="Arial" w:hAnsi="Arial" w:cs="Arial"/>
          <w:bdr w:val="none" w:sz="0" w:space="0" w:color="auto" w:frame="1"/>
          <w:lang w:eastAsia="en-CA"/>
        </w:rPr>
      </w:pPr>
      <w:r w:rsidRPr="006915B5">
        <w:rPr>
          <w:rFonts w:ascii="Arial" w:hAnsi="Arial" w:cs="Arial"/>
          <w:bdr w:val="none" w:sz="0" w:space="0" w:color="auto" w:frame="1"/>
          <w:lang w:eastAsia="en-CA"/>
        </w:rPr>
        <w:t>The WBU notes that this agenda item is limited in scope to the removal of country names from footnotes, or the deletion of country footnotes. The WBU is therefore of the view that this agenda item is not intended for adding country names into existing footnotes, or for the addition of new country footnotes</w:t>
      </w:r>
      <w:r w:rsidR="002C738E">
        <w:rPr>
          <w:rFonts w:ascii="Arial" w:hAnsi="Arial" w:cs="Arial"/>
          <w:bdr w:val="none" w:sz="0" w:space="0" w:color="auto" w:frame="1"/>
          <w:lang w:eastAsia="en-CA"/>
        </w:rPr>
        <w:t>.</w:t>
      </w:r>
    </w:p>
    <w:p w14:paraId="71745BF7" w14:textId="77777777" w:rsidR="002C738E" w:rsidRPr="006915B5" w:rsidRDefault="002C738E" w:rsidP="006915B5">
      <w:pPr>
        <w:pStyle w:val="NoSpacing"/>
        <w:rPr>
          <w:rFonts w:ascii="Arial" w:hAnsi="Arial" w:cs="Arial"/>
          <w:bdr w:val="none" w:sz="0" w:space="0" w:color="auto" w:frame="1"/>
          <w:lang w:eastAsia="en-CA"/>
        </w:rPr>
      </w:pPr>
    </w:p>
    <w:p w14:paraId="306D1351" w14:textId="77777777" w:rsidR="006915B5" w:rsidRPr="006915B5" w:rsidRDefault="006915B5" w:rsidP="006915B5">
      <w:pPr>
        <w:pStyle w:val="NoSpacing"/>
        <w:rPr>
          <w:rFonts w:ascii="Arial" w:hAnsi="Arial" w:cs="Arial"/>
          <w:bdr w:val="none" w:sz="0" w:space="0" w:color="auto" w:frame="1"/>
          <w:lang w:eastAsia="en-CA"/>
        </w:rPr>
      </w:pPr>
    </w:p>
    <w:p w14:paraId="2BCFDF25" w14:textId="6010B92B" w:rsidR="00D9243D" w:rsidRPr="006915B5" w:rsidRDefault="006915B5" w:rsidP="002834A2">
      <w:pPr>
        <w:pStyle w:val="NoSpacing"/>
        <w:rPr>
          <w:rFonts w:ascii="Arial" w:hAnsi="Arial" w:cs="Arial"/>
        </w:rPr>
      </w:pPr>
      <w:r w:rsidRPr="006915B5">
        <w:rPr>
          <w:rFonts w:ascii="Arial" w:hAnsi="Arial" w:cs="Arial"/>
          <w:b/>
          <w:bCs/>
          <w:bdr w:val="none" w:sz="0" w:space="0" w:color="auto" w:frame="1"/>
          <w:lang w:eastAsia="en-CA"/>
        </w:rPr>
        <w:t>World Broadcasting Unions</w:t>
      </w:r>
      <w:r w:rsidR="002C738E">
        <w:rPr>
          <w:rFonts w:ascii="Arial" w:hAnsi="Arial" w:cs="Arial"/>
          <w:b/>
          <w:bCs/>
          <w:bdr w:val="none" w:sz="0" w:space="0" w:color="auto" w:frame="1"/>
          <w:lang w:eastAsia="en-CA"/>
        </w:rPr>
        <w:t xml:space="preserve">, </w:t>
      </w:r>
      <w:r w:rsidRPr="006915B5">
        <w:rPr>
          <w:rFonts w:ascii="Arial" w:hAnsi="Arial" w:cs="Arial"/>
          <w:b/>
          <w:bCs/>
          <w:bdr w:val="none" w:sz="0" w:space="0" w:color="auto" w:frame="1"/>
          <w:lang w:eastAsia="en-CA"/>
        </w:rPr>
        <w:t>November 1</w:t>
      </w:r>
      <w:r w:rsidR="009C6A61">
        <w:rPr>
          <w:rFonts w:ascii="Arial" w:hAnsi="Arial" w:cs="Arial"/>
          <w:b/>
          <w:bCs/>
          <w:bdr w:val="none" w:sz="0" w:space="0" w:color="auto" w:frame="1"/>
          <w:lang w:eastAsia="en-CA"/>
        </w:rPr>
        <w:t>9</w:t>
      </w:r>
      <w:r w:rsidRPr="006915B5">
        <w:rPr>
          <w:rFonts w:ascii="Arial" w:hAnsi="Arial" w:cs="Arial"/>
          <w:b/>
          <w:bCs/>
          <w:bdr w:val="none" w:sz="0" w:space="0" w:color="auto" w:frame="1"/>
          <w:lang w:eastAsia="en-CA"/>
        </w:rPr>
        <w:t>, 2025</w:t>
      </w:r>
    </w:p>
    <w:sectPr w:rsidR="00D9243D" w:rsidRPr="006915B5" w:rsidSect="00615168">
      <w:headerReference w:type="default" r:id="rId16"/>
      <w:footerReference w:type="default" r:id="rId17"/>
      <w:footerReference w:type="first" r:id="rId18"/>
      <w:pgSz w:w="11907" w:h="16834"/>
      <w:pgMar w:top="1418" w:right="1134" w:bottom="1418" w:left="1134" w:header="567"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8C90" w14:textId="77777777" w:rsidR="007B7705" w:rsidRDefault="007B7705">
      <w:r>
        <w:separator/>
      </w:r>
    </w:p>
  </w:endnote>
  <w:endnote w:type="continuationSeparator" w:id="0">
    <w:p w14:paraId="1CB1F6A2" w14:textId="77777777" w:rsidR="007B7705" w:rsidRDefault="007B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3EBE" w14:textId="38ED865E" w:rsidR="00FA124A" w:rsidRPr="00A83887" w:rsidRDefault="00A83887" w:rsidP="00A83887">
    <w:pPr>
      <w:pStyle w:val="Footer"/>
      <w:rPr>
        <w:lang w:val="en-US"/>
      </w:rPr>
    </w:pPr>
    <w:r>
      <w:fldChar w:fldCharType="begin"/>
    </w:r>
    <w:r>
      <w:instrText xml:space="preserve"> FILENAME \p \* MERGEFORMAT </w:instrText>
    </w:r>
    <w:r>
      <w:fldChar w:fldCharType="separate"/>
    </w:r>
    <w:r w:rsidR="00D77039" w:rsidRPr="00D77039">
      <w:rPr>
        <w:lang w:val="en-US"/>
      </w:rPr>
      <w:t>L</w:t>
    </w:r>
    <w:r w:rsidR="00D77039">
      <w:t>:\BRSGD\Documents\CPM-27\1st Inter-regional Information Session 2025\000\0008e.docx</w:t>
    </w:r>
    <w:r>
      <w:fldChar w:fldCharType="end"/>
    </w:r>
    <w:r w:rsidRPr="002F7CB3">
      <w:rPr>
        <w:lang w:val="en-US"/>
      </w:rPr>
      <w:tab/>
    </w:r>
    <w:r>
      <w:fldChar w:fldCharType="begin"/>
    </w:r>
    <w:r>
      <w:instrText xml:space="preserve"> savedate \@ dd.MM.yy </w:instrText>
    </w:r>
    <w:r>
      <w:fldChar w:fldCharType="separate"/>
    </w:r>
    <w:r w:rsidR="00D77039">
      <w:t>20.11.25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0515" w14:textId="25612806" w:rsidR="00A83887" w:rsidRPr="00A83887" w:rsidRDefault="00A83887" w:rsidP="00A83887">
    <w:pPr>
      <w:pStyle w:val="Footer"/>
      <w:rPr>
        <w:lang w:val="en-US"/>
      </w:rPr>
    </w:pPr>
    <w:r>
      <w:fldChar w:fldCharType="begin"/>
    </w:r>
    <w:r>
      <w:instrText xml:space="preserve"> FILENAME \p \* MERGEFORMAT </w:instrText>
    </w:r>
    <w:r>
      <w:fldChar w:fldCharType="separate"/>
    </w:r>
    <w:r w:rsidR="00D77039" w:rsidRPr="00D77039">
      <w:rPr>
        <w:lang w:val="en-US"/>
      </w:rPr>
      <w:t>L</w:t>
    </w:r>
    <w:r w:rsidR="00D77039">
      <w:t>:\BRSGD\Documents\CPM-27\1st Inter-regional Information Session 2025\000\0008e.docx</w:t>
    </w:r>
    <w:r>
      <w:fldChar w:fldCharType="end"/>
    </w:r>
    <w:r w:rsidRPr="002F7CB3">
      <w:rPr>
        <w:lang w:val="en-US"/>
      </w:rPr>
      <w:tab/>
    </w:r>
    <w:r>
      <w:fldChar w:fldCharType="begin"/>
    </w:r>
    <w:r>
      <w:instrText xml:space="preserve"> savedate \@ dd.MM.yy </w:instrText>
    </w:r>
    <w:r>
      <w:fldChar w:fldCharType="separate"/>
    </w:r>
    <w:r w:rsidR="00D77039">
      <w:t>20.11.25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8725" w14:textId="77777777" w:rsidR="007B7705" w:rsidRDefault="007B7705">
      <w:r>
        <w:t>____________________</w:t>
      </w:r>
    </w:p>
  </w:footnote>
  <w:footnote w:type="continuationSeparator" w:id="0">
    <w:p w14:paraId="46176085" w14:textId="77777777" w:rsidR="007B7705" w:rsidRDefault="007B7705">
      <w:r>
        <w:continuationSeparator/>
      </w:r>
    </w:p>
  </w:footnote>
  <w:footnote w:id="1">
    <w:p w14:paraId="021B3EF7" w14:textId="77777777" w:rsidR="006915B5" w:rsidRPr="006915B5" w:rsidRDefault="006915B5" w:rsidP="006915B5">
      <w:pPr>
        <w:pStyle w:val="FootnoteText"/>
        <w:rPr>
          <w:rFonts w:ascii="Arial" w:hAnsi="Arial" w:cs="Arial"/>
          <w:sz w:val="20"/>
          <w:lang w:val="en-US"/>
        </w:rPr>
      </w:pPr>
      <w:r w:rsidRPr="006915B5">
        <w:rPr>
          <w:rStyle w:val="FootnoteReference"/>
          <w:rFonts w:ascii="Arial" w:hAnsi="Arial" w:cs="Arial"/>
          <w:sz w:val="20"/>
        </w:rPr>
        <w:footnoteRef/>
      </w:r>
      <w:r w:rsidRPr="006915B5">
        <w:rPr>
          <w:rFonts w:ascii="Arial" w:hAnsi="Arial" w:cs="Arial"/>
          <w:sz w:val="20"/>
        </w:rPr>
        <w:t xml:space="preserve"> </w:t>
      </w:r>
      <w:r w:rsidRPr="006915B5">
        <w:rPr>
          <w:rFonts w:ascii="Arial" w:hAnsi="Arial" w:cs="Arial"/>
          <w:sz w:val="20"/>
          <w:lang w:val="en-US"/>
        </w:rPr>
        <w:t>Program Making and Special Events</w:t>
      </w:r>
    </w:p>
  </w:footnote>
  <w:footnote w:id="2">
    <w:p w14:paraId="63A02A1E" w14:textId="77777777" w:rsidR="006915B5" w:rsidRPr="006915B5" w:rsidRDefault="006915B5" w:rsidP="006915B5">
      <w:pPr>
        <w:pStyle w:val="FootnoteText"/>
        <w:rPr>
          <w:rFonts w:ascii="Arial" w:hAnsi="Arial" w:cs="Arial"/>
          <w:sz w:val="20"/>
          <w:lang w:val="en-US"/>
        </w:rPr>
      </w:pPr>
      <w:r w:rsidRPr="006915B5">
        <w:rPr>
          <w:rStyle w:val="FootnoteReference"/>
          <w:rFonts w:ascii="Arial" w:hAnsi="Arial" w:cs="Arial"/>
          <w:sz w:val="20"/>
        </w:rPr>
        <w:footnoteRef/>
      </w:r>
      <w:r w:rsidRPr="006915B5">
        <w:rPr>
          <w:rFonts w:ascii="Arial" w:hAnsi="Arial" w:cs="Arial"/>
          <w:sz w:val="20"/>
        </w:rPr>
        <w:t xml:space="preserve"> </w:t>
      </w:r>
      <w:r w:rsidRPr="006915B5">
        <w:rPr>
          <w:rFonts w:ascii="Arial" w:hAnsi="Arial" w:cs="Arial"/>
          <w:sz w:val="20"/>
          <w:lang w:val="en-US"/>
        </w:rPr>
        <w:t>Low-data-rate</w:t>
      </w:r>
    </w:p>
  </w:footnote>
  <w:footnote w:id="3">
    <w:p w14:paraId="127C9DF6" w14:textId="77777777" w:rsidR="006915B5" w:rsidRPr="006915B5" w:rsidRDefault="006915B5" w:rsidP="006915B5">
      <w:pPr>
        <w:pStyle w:val="FootnoteText"/>
        <w:rPr>
          <w:rFonts w:ascii="Arial" w:hAnsi="Arial" w:cs="Arial"/>
          <w:sz w:val="20"/>
          <w:lang w:val="en-US"/>
        </w:rPr>
      </w:pPr>
      <w:r w:rsidRPr="006915B5">
        <w:rPr>
          <w:rStyle w:val="FootnoteReference"/>
          <w:rFonts w:ascii="Arial" w:hAnsi="Arial" w:cs="Arial"/>
          <w:sz w:val="20"/>
        </w:rPr>
        <w:footnoteRef/>
      </w:r>
      <w:r w:rsidRPr="006915B5">
        <w:rPr>
          <w:rFonts w:ascii="Arial" w:hAnsi="Arial" w:cs="Arial"/>
          <w:sz w:val="20"/>
        </w:rPr>
        <w:t xml:space="preserve"> Document 4C/266-E, 8 April 2025: “CHARACTERISTICS AND PROTECTION CRITERIA OF THE EXISTING SAP/SAB WIRELESS VIDEO LINKS FOR SHARING AND COMPATIBILITY STUDIES UNDER AGENDA ITEM 1.12 IN PREPARATION FOR WRC-27”</w:t>
      </w:r>
    </w:p>
  </w:footnote>
  <w:footnote w:id="4">
    <w:p w14:paraId="51C4B0C5" w14:textId="77777777" w:rsidR="006915B5" w:rsidRPr="003430DB" w:rsidRDefault="006915B5" w:rsidP="006915B5">
      <w:pPr>
        <w:pStyle w:val="FootnoteText"/>
      </w:pPr>
      <w:r w:rsidRPr="006915B5">
        <w:rPr>
          <w:rStyle w:val="FootnoteReference"/>
          <w:rFonts w:ascii="Arial" w:hAnsi="Arial" w:cs="Arial"/>
          <w:sz w:val="20"/>
        </w:rPr>
        <w:footnoteRef/>
      </w:r>
      <w:r w:rsidRPr="006915B5">
        <w:rPr>
          <w:rFonts w:ascii="Arial" w:hAnsi="Arial" w:cs="Arial"/>
          <w:sz w:val="20"/>
        </w:rPr>
        <w:t xml:space="preserve"> Digital Enhanced Cordless Telecommunications</w:t>
      </w:r>
    </w:p>
  </w:footnote>
  <w:footnote w:id="5">
    <w:p w14:paraId="01BE5D92" w14:textId="77777777" w:rsidR="006915B5" w:rsidRPr="006915B5" w:rsidRDefault="006915B5" w:rsidP="006915B5">
      <w:pPr>
        <w:pStyle w:val="FootnoteText"/>
        <w:rPr>
          <w:rFonts w:ascii="Arial" w:hAnsi="Arial" w:cs="Arial"/>
          <w:sz w:val="20"/>
          <w:lang w:val="en-US"/>
        </w:rPr>
      </w:pPr>
      <w:r w:rsidRPr="006915B5">
        <w:rPr>
          <w:rStyle w:val="FootnoteReference"/>
          <w:rFonts w:ascii="Arial" w:hAnsi="Arial" w:cs="Arial"/>
          <w:sz w:val="20"/>
        </w:rPr>
        <w:footnoteRef/>
      </w:r>
      <w:r w:rsidRPr="006915B5">
        <w:rPr>
          <w:rFonts w:ascii="Arial" w:hAnsi="Arial" w:cs="Arial"/>
          <w:sz w:val="20"/>
        </w:rPr>
        <w:t xml:space="preserve"> Document 4C/273-E, 10 April 2025: “CHARACTERISTICS AND PROTECTION CRITERIA OF THE EXISTING SAP/SAB WIRELESS VIDEO LINKS FOR SHARING AND COMPATIBILITY STUDIES UNDER AGENDA ITEM 1.13 IN PREPARATION FOR WRC-27”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09E" w14:textId="33A6F58E" w:rsidR="00FA124A" w:rsidRDefault="00D02712" w:rsidP="00330567">
    <w:pPr>
      <w:pStyle w:val="Header"/>
      <w:rPr>
        <w:rStyle w:val="PageNumber"/>
      </w:rPr>
    </w:pPr>
    <w:r>
      <w:rPr>
        <w:rStyle w:val="PageNumber"/>
      </w:rPr>
      <w:fldChar w:fldCharType="begin"/>
    </w:r>
    <w:r w:rsidR="00FA124A">
      <w:rPr>
        <w:rStyle w:val="PageNumber"/>
      </w:rPr>
      <w:instrText xml:space="preserve"> PAGE </w:instrText>
    </w:r>
    <w:r>
      <w:rPr>
        <w:rStyle w:val="PageNumber"/>
      </w:rPr>
      <w:fldChar w:fldCharType="separate"/>
    </w:r>
    <w:r w:rsidR="0081449E">
      <w:rPr>
        <w:rStyle w:val="PageNumber"/>
        <w:noProof/>
      </w:rPr>
      <w:t>4</w:t>
    </w:r>
    <w:r>
      <w:rPr>
        <w:rStyle w:val="PageNumber"/>
      </w:rPr>
      <w:fldChar w:fldCharType="end"/>
    </w:r>
  </w:p>
  <w:p w14:paraId="0B1DEC40" w14:textId="4240E0E0" w:rsidR="00615168" w:rsidRDefault="00E9074E" w:rsidP="00E9074E">
    <w:pPr>
      <w:pStyle w:val="Header"/>
      <w:rPr>
        <w:rStyle w:val="PageNumber"/>
      </w:rPr>
    </w:pPr>
    <w:r w:rsidRPr="00E9074E">
      <w:rPr>
        <w:rStyle w:val="PageNumber"/>
      </w:rPr>
      <w:t>WRC-2</w:t>
    </w:r>
    <w:r w:rsidR="008C560A">
      <w:rPr>
        <w:rStyle w:val="PageNumber"/>
      </w:rPr>
      <w:t>7</w:t>
    </w:r>
    <w:r w:rsidRPr="00E9074E">
      <w:rPr>
        <w:rStyle w:val="PageNumber"/>
      </w:rPr>
      <w:t>-IR</w:t>
    </w:r>
    <w:r w:rsidR="00380DE9">
      <w:rPr>
        <w:rStyle w:val="PageNumber"/>
      </w:rPr>
      <w:t>IS</w:t>
    </w:r>
    <w:r w:rsidRPr="00E9074E">
      <w:rPr>
        <w:rStyle w:val="PageNumber"/>
      </w:rPr>
      <w:t>-2</w:t>
    </w:r>
    <w:r w:rsidR="00380DE9">
      <w:rPr>
        <w:rStyle w:val="PageNumber"/>
      </w:rPr>
      <w:t>5</w:t>
    </w:r>
    <w:r w:rsidR="00615168">
      <w:rPr>
        <w:rStyle w:val="PageNumber"/>
      </w:rPr>
      <w:t>/</w:t>
    </w:r>
    <w:r w:rsidR="00A83887">
      <w:rPr>
        <w:rStyle w:val="PageNumber"/>
      </w:rPr>
      <w:t>8</w:t>
    </w:r>
    <w:r w:rsidR="00615168">
      <w:rPr>
        <w:rStyle w:val="PageNumber"/>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503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46A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C9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3C28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45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761A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E7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12D9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181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9C0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E87402"/>
    <w:multiLevelType w:val="hybridMultilevel"/>
    <w:tmpl w:val="10B66A74"/>
    <w:lvl w:ilvl="0" w:tplc="C7B294FC">
      <w:start w:val="5"/>
      <w:numFmt w:val="bullet"/>
      <w:lvlText w:val="-"/>
      <w:lvlJc w:val="left"/>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64E1B"/>
    <w:multiLevelType w:val="hybridMultilevel"/>
    <w:tmpl w:val="4EB0287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A86886"/>
    <w:multiLevelType w:val="hybridMultilevel"/>
    <w:tmpl w:val="D1C02D30"/>
    <w:lvl w:ilvl="0" w:tplc="32D219A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73F0C"/>
    <w:multiLevelType w:val="hybridMultilevel"/>
    <w:tmpl w:val="D8920F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7B6BEE"/>
    <w:multiLevelType w:val="hybridMultilevel"/>
    <w:tmpl w:val="961E7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630A1"/>
    <w:multiLevelType w:val="hybridMultilevel"/>
    <w:tmpl w:val="9ED6E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011087">
    <w:abstractNumId w:val="19"/>
  </w:num>
  <w:num w:numId="2" w16cid:durableId="714891417">
    <w:abstractNumId w:val="9"/>
  </w:num>
  <w:num w:numId="3" w16cid:durableId="1859999528">
    <w:abstractNumId w:val="15"/>
  </w:num>
  <w:num w:numId="4" w16cid:durableId="2083092740">
    <w:abstractNumId w:val="16"/>
  </w:num>
  <w:num w:numId="5" w16cid:durableId="1946039795">
    <w:abstractNumId w:val="11"/>
  </w:num>
  <w:num w:numId="6" w16cid:durableId="1688287853">
    <w:abstractNumId w:val="18"/>
  </w:num>
  <w:num w:numId="7" w16cid:durableId="274991226">
    <w:abstractNumId w:val="14"/>
  </w:num>
  <w:num w:numId="8" w16cid:durableId="1638221527">
    <w:abstractNumId w:val="10"/>
  </w:num>
  <w:num w:numId="9" w16cid:durableId="1941332125">
    <w:abstractNumId w:val="13"/>
  </w:num>
  <w:num w:numId="10" w16cid:durableId="659694389">
    <w:abstractNumId w:val="17"/>
  </w:num>
  <w:num w:numId="11" w16cid:durableId="1988898260">
    <w:abstractNumId w:val="7"/>
  </w:num>
  <w:num w:numId="12" w16cid:durableId="1078207142">
    <w:abstractNumId w:val="6"/>
  </w:num>
  <w:num w:numId="13" w16cid:durableId="768743285">
    <w:abstractNumId w:val="5"/>
  </w:num>
  <w:num w:numId="14" w16cid:durableId="1847403689">
    <w:abstractNumId w:val="4"/>
  </w:num>
  <w:num w:numId="15" w16cid:durableId="297077225">
    <w:abstractNumId w:val="8"/>
  </w:num>
  <w:num w:numId="16" w16cid:durableId="608009849">
    <w:abstractNumId w:val="3"/>
  </w:num>
  <w:num w:numId="17" w16cid:durableId="1741050226">
    <w:abstractNumId w:val="2"/>
  </w:num>
  <w:num w:numId="18" w16cid:durableId="300841869">
    <w:abstractNumId w:val="1"/>
  </w:num>
  <w:num w:numId="19" w16cid:durableId="612056988">
    <w:abstractNumId w:val="0"/>
  </w:num>
  <w:num w:numId="20" w16cid:durableId="912010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6" w:nlCheck="1" w:checkStyle="0"/>
  <w:activeWritingStyle w:appName="MSWord" w:lang="fr-CH" w:vendorID="64" w:dllVersion="6" w:nlCheck="1" w:checkStyle="0"/>
  <w:activeWritingStyle w:appName="MSWord" w:lang="en-CA"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73"/>
    <w:rsid w:val="000069D4"/>
    <w:rsid w:val="000174AD"/>
    <w:rsid w:val="00047A1D"/>
    <w:rsid w:val="000604B9"/>
    <w:rsid w:val="000A7D55"/>
    <w:rsid w:val="000C12C8"/>
    <w:rsid w:val="000C2E8E"/>
    <w:rsid w:val="000D1B52"/>
    <w:rsid w:val="000E0E7C"/>
    <w:rsid w:val="000F1B4B"/>
    <w:rsid w:val="00103160"/>
    <w:rsid w:val="0012744F"/>
    <w:rsid w:val="00131178"/>
    <w:rsid w:val="00156F66"/>
    <w:rsid w:val="00163271"/>
    <w:rsid w:val="00172122"/>
    <w:rsid w:val="00182528"/>
    <w:rsid w:val="0018500B"/>
    <w:rsid w:val="00187F20"/>
    <w:rsid w:val="00196A19"/>
    <w:rsid w:val="00202DC1"/>
    <w:rsid w:val="002116EE"/>
    <w:rsid w:val="002309D8"/>
    <w:rsid w:val="002558B1"/>
    <w:rsid w:val="002834A2"/>
    <w:rsid w:val="002A7FE2"/>
    <w:rsid w:val="002C738E"/>
    <w:rsid w:val="002D0C38"/>
    <w:rsid w:val="002E1B4F"/>
    <w:rsid w:val="002F2E67"/>
    <w:rsid w:val="002F7CB3"/>
    <w:rsid w:val="00315546"/>
    <w:rsid w:val="00330567"/>
    <w:rsid w:val="00344622"/>
    <w:rsid w:val="00380DE9"/>
    <w:rsid w:val="0038697F"/>
    <w:rsid w:val="00386A9D"/>
    <w:rsid w:val="00390A80"/>
    <w:rsid w:val="00391081"/>
    <w:rsid w:val="003B2789"/>
    <w:rsid w:val="003C13CE"/>
    <w:rsid w:val="003C697E"/>
    <w:rsid w:val="003E2518"/>
    <w:rsid w:val="003E7CEF"/>
    <w:rsid w:val="00443019"/>
    <w:rsid w:val="004535B1"/>
    <w:rsid w:val="004B1EF7"/>
    <w:rsid w:val="004B3FAD"/>
    <w:rsid w:val="004C5749"/>
    <w:rsid w:val="004C70E6"/>
    <w:rsid w:val="005007B9"/>
    <w:rsid w:val="00501DCA"/>
    <w:rsid w:val="00513A47"/>
    <w:rsid w:val="00533DFC"/>
    <w:rsid w:val="005408DF"/>
    <w:rsid w:val="00564516"/>
    <w:rsid w:val="00573344"/>
    <w:rsid w:val="00583F9B"/>
    <w:rsid w:val="005B0D29"/>
    <w:rsid w:val="005E5C10"/>
    <w:rsid w:val="005F2C78"/>
    <w:rsid w:val="006065DA"/>
    <w:rsid w:val="006144E4"/>
    <w:rsid w:val="00615168"/>
    <w:rsid w:val="0063268B"/>
    <w:rsid w:val="00650299"/>
    <w:rsid w:val="00655FC5"/>
    <w:rsid w:val="00690DC3"/>
    <w:rsid w:val="006915B5"/>
    <w:rsid w:val="006D0604"/>
    <w:rsid w:val="00723D80"/>
    <w:rsid w:val="007315A1"/>
    <w:rsid w:val="007418E2"/>
    <w:rsid w:val="007B577D"/>
    <w:rsid w:val="007B7705"/>
    <w:rsid w:val="007C44C0"/>
    <w:rsid w:val="0080538C"/>
    <w:rsid w:val="00810B3E"/>
    <w:rsid w:val="0081449E"/>
    <w:rsid w:val="00814E0A"/>
    <w:rsid w:val="00822581"/>
    <w:rsid w:val="008309DD"/>
    <w:rsid w:val="0083227A"/>
    <w:rsid w:val="00866900"/>
    <w:rsid w:val="00876A8A"/>
    <w:rsid w:val="00881BA1"/>
    <w:rsid w:val="008B029A"/>
    <w:rsid w:val="008B3BCA"/>
    <w:rsid w:val="008C2302"/>
    <w:rsid w:val="008C26B8"/>
    <w:rsid w:val="008C2BC0"/>
    <w:rsid w:val="008C560A"/>
    <w:rsid w:val="008F193C"/>
    <w:rsid w:val="008F208F"/>
    <w:rsid w:val="00901939"/>
    <w:rsid w:val="00921A37"/>
    <w:rsid w:val="00965C10"/>
    <w:rsid w:val="00970B01"/>
    <w:rsid w:val="00982084"/>
    <w:rsid w:val="00995963"/>
    <w:rsid w:val="009B61EB"/>
    <w:rsid w:val="009C2064"/>
    <w:rsid w:val="009C6A61"/>
    <w:rsid w:val="009D1697"/>
    <w:rsid w:val="009D5FA0"/>
    <w:rsid w:val="009F3A46"/>
    <w:rsid w:val="009F6520"/>
    <w:rsid w:val="00A014F8"/>
    <w:rsid w:val="00A5173C"/>
    <w:rsid w:val="00A61AEF"/>
    <w:rsid w:val="00A73A33"/>
    <w:rsid w:val="00A75FE0"/>
    <w:rsid w:val="00A83887"/>
    <w:rsid w:val="00A868CE"/>
    <w:rsid w:val="00AD2345"/>
    <w:rsid w:val="00AF173A"/>
    <w:rsid w:val="00AF3973"/>
    <w:rsid w:val="00B00107"/>
    <w:rsid w:val="00B066A4"/>
    <w:rsid w:val="00B07A13"/>
    <w:rsid w:val="00B40ECE"/>
    <w:rsid w:val="00B4279B"/>
    <w:rsid w:val="00B45FC9"/>
    <w:rsid w:val="00B76F35"/>
    <w:rsid w:val="00B81138"/>
    <w:rsid w:val="00BC7CCF"/>
    <w:rsid w:val="00BE470B"/>
    <w:rsid w:val="00BE7391"/>
    <w:rsid w:val="00C3353D"/>
    <w:rsid w:val="00C57A91"/>
    <w:rsid w:val="00C90778"/>
    <w:rsid w:val="00CC01C2"/>
    <w:rsid w:val="00CC5C44"/>
    <w:rsid w:val="00CF21F2"/>
    <w:rsid w:val="00D02712"/>
    <w:rsid w:val="00D046A7"/>
    <w:rsid w:val="00D214D0"/>
    <w:rsid w:val="00D23359"/>
    <w:rsid w:val="00D35444"/>
    <w:rsid w:val="00D6546B"/>
    <w:rsid w:val="00D77039"/>
    <w:rsid w:val="00D9243D"/>
    <w:rsid w:val="00DA1373"/>
    <w:rsid w:val="00DA5C47"/>
    <w:rsid w:val="00DB0C92"/>
    <w:rsid w:val="00DB178B"/>
    <w:rsid w:val="00DC17D3"/>
    <w:rsid w:val="00DD4BED"/>
    <w:rsid w:val="00DE39F0"/>
    <w:rsid w:val="00DF0AF3"/>
    <w:rsid w:val="00DF7E9F"/>
    <w:rsid w:val="00E27D7E"/>
    <w:rsid w:val="00E42E13"/>
    <w:rsid w:val="00E56D5C"/>
    <w:rsid w:val="00E6257C"/>
    <w:rsid w:val="00E63C59"/>
    <w:rsid w:val="00E9074E"/>
    <w:rsid w:val="00F03356"/>
    <w:rsid w:val="00F25662"/>
    <w:rsid w:val="00F514D3"/>
    <w:rsid w:val="00FA124A"/>
    <w:rsid w:val="00FB1B07"/>
    <w:rsid w:val="00FC08DD"/>
    <w:rsid w:val="00FC2316"/>
    <w:rsid w:val="00FC2CFD"/>
    <w:rsid w:val="00FD43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F0662"/>
  <w15:docId w15:val="{120121E6-05C1-480F-8125-14F4C75C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8F208F"/>
    <w:rPr>
      <w:position w:val="6"/>
      <w:sz w:val="18"/>
    </w:rPr>
  </w:style>
  <w:style w:type="paragraph" w:styleId="FootnoteText">
    <w:name w:val="footnote tex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rsid w:val="00E63C59"/>
    <w:rPr>
      <w:b/>
    </w:rPr>
  </w:style>
  <w:style w:type="character" w:customStyle="1" w:styleId="Resdef">
    <w:name w:val="Res_def"/>
    <w:rsid w:val="00E63C59"/>
    <w:rPr>
      <w:rFonts w:ascii="Times New Roman" w:hAnsi="Times New Roman"/>
      <w:b/>
    </w:rPr>
  </w:style>
  <w:style w:type="character" w:customStyle="1" w:styleId="Tablefreq">
    <w:name w:val="Table_freq"/>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Calibri" w:hAnsi="Calibri" w:cs="Calibri"/>
      <w:b/>
      <w:szCs w:val="24"/>
    </w:rPr>
  </w:style>
  <w:style w:type="character" w:customStyle="1" w:styleId="FooterChar">
    <w:name w:val="Footer Char"/>
    <w:link w:val="Footer"/>
    <w:rsid w:val="008F208F"/>
    <w:rPr>
      <w:rFonts w:ascii="Times New Roman" w:hAnsi="Times New Roman"/>
      <w:caps/>
      <w:noProof/>
      <w:sz w:val="16"/>
      <w:lang w:val="en-GB" w:eastAsia="en-US"/>
    </w:rPr>
  </w:style>
  <w:style w:type="character" w:customStyle="1" w:styleId="FootnoteTextChar">
    <w:name w:val="Footnote Text Char"/>
    <w:link w:val="FootnoteText"/>
    <w:uiPriority w:val="99"/>
    <w:rsid w:val="008F208F"/>
    <w:rPr>
      <w:rFonts w:ascii="Times New Roman" w:hAnsi="Times New Roman"/>
      <w:sz w:val="24"/>
      <w:lang w:val="en-GB" w:eastAsia="en-US"/>
    </w:rPr>
  </w:style>
  <w:style w:type="character" w:customStyle="1" w:styleId="HeaderChar">
    <w:name w:val="Header Char"/>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LSDeadline">
    <w:name w:val="LSDeadline"/>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Action">
    <w:name w:val="LSForAction"/>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Info">
    <w:name w:val="LSForInfo"/>
    <w:basedOn w:val="LSForAction"/>
    <w:rsid w:val="00DA1373"/>
  </w:style>
  <w:style w:type="paragraph" w:customStyle="1" w:styleId="LSForComment">
    <w:name w:val="LSForComment"/>
    <w:basedOn w:val="LSForAction"/>
    <w:rsid w:val="00DA1373"/>
  </w:style>
  <w:style w:type="character" w:styleId="Hyperlink">
    <w:name w:val="Hyperlink"/>
    <w:aliases w:val="超级链接,超?级链,CEO_Hyperlink,Style 58,超????,超链接1"/>
    <w:qFormat/>
    <w:rsid w:val="00DA1373"/>
    <w:rPr>
      <w:color w:val="0000FF"/>
      <w:u w:val="single"/>
    </w:rPr>
  </w:style>
  <w:style w:type="paragraph" w:styleId="ListParagraph">
    <w:name w:val="List Paragraph"/>
    <w:basedOn w:val="Normal"/>
    <w:uiPriority w:val="34"/>
    <w:qFormat/>
    <w:rsid w:val="00DA1373"/>
    <w:pPr>
      <w:tabs>
        <w:tab w:val="clear" w:pos="1134"/>
        <w:tab w:val="clear" w:pos="1871"/>
        <w:tab w:val="clear" w:pos="2268"/>
        <w:tab w:val="left" w:pos="794"/>
        <w:tab w:val="left" w:pos="1191"/>
        <w:tab w:val="left" w:pos="1588"/>
        <w:tab w:val="left" w:pos="1985"/>
      </w:tabs>
      <w:ind w:firstLineChars="200" w:firstLine="420"/>
    </w:pPr>
    <w:rPr>
      <w:rFonts w:eastAsia="SimSun"/>
    </w:rPr>
  </w:style>
  <w:style w:type="character" w:styleId="PlaceholderText">
    <w:name w:val="Placeholder Text"/>
    <w:uiPriority w:val="99"/>
    <w:semiHidden/>
    <w:rsid w:val="00DA1373"/>
    <w:rPr>
      <w:rFonts w:ascii="Times New Roman" w:hAnsi="Times New Roman"/>
      <w:color w:val="808080"/>
    </w:rPr>
  </w:style>
  <w:style w:type="character" w:customStyle="1" w:styleId="UnresolvedMention1">
    <w:name w:val="Unresolved Mention1"/>
    <w:uiPriority w:val="99"/>
    <w:semiHidden/>
    <w:unhideWhenUsed/>
    <w:rsid w:val="00DA1373"/>
    <w:rPr>
      <w:color w:val="605E5C"/>
      <w:shd w:val="clear" w:color="auto" w:fill="E1DFDD"/>
    </w:rPr>
  </w:style>
  <w:style w:type="character" w:styleId="FollowedHyperlink">
    <w:name w:val="FollowedHyperlink"/>
    <w:semiHidden/>
    <w:unhideWhenUsed/>
    <w:rsid w:val="007C44C0"/>
    <w:rPr>
      <w:color w:val="800080"/>
      <w:u w:val="single"/>
    </w:rPr>
  </w:style>
  <w:style w:type="character" w:customStyle="1" w:styleId="Heading1Char">
    <w:name w:val="Heading 1 Char"/>
    <w:link w:val="Heading1"/>
    <w:rsid w:val="00A73A33"/>
    <w:rPr>
      <w:rFonts w:ascii="Times New Roman" w:hAnsi="Times New Roman"/>
      <w:b/>
      <w:sz w:val="28"/>
      <w:lang w:eastAsia="en-US"/>
    </w:rPr>
  </w:style>
  <w:style w:type="paragraph" w:styleId="NormalWeb">
    <w:name w:val="Normal (Web)"/>
    <w:basedOn w:val="Normal"/>
    <w:uiPriority w:val="99"/>
    <w:unhideWhenUsed/>
    <w:rsid w:val="00A73A33"/>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character" w:customStyle="1" w:styleId="enumlev1Char">
    <w:name w:val="enumlev1 Char"/>
    <w:link w:val="enumlev1"/>
    <w:qFormat/>
    <w:locked/>
    <w:rsid w:val="00A73A33"/>
    <w:rPr>
      <w:rFonts w:ascii="Times New Roman" w:hAnsi="Times New Roman"/>
      <w:sz w:val="24"/>
      <w:lang w:eastAsia="en-US"/>
    </w:rPr>
  </w:style>
  <w:style w:type="character" w:styleId="UnresolvedMention">
    <w:name w:val="Unresolved Mention"/>
    <w:basedOn w:val="DefaultParagraphFont"/>
    <w:uiPriority w:val="99"/>
    <w:semiHidden/>
    <w:unhideWhenUsed/>
    <w:rsid w:val="00344622"/>
    <w:rPr>
      <w:color w:val="605E5C"/>
      <w:shd w:val="clear" w:color="auto" w:fill="E1DFDD"/>
    </w:rPr>
  </w:style>
  <w:style w:type="paragraph" w:styleId="NoSpacing">
    <w:name w:val="No Spacing"/>
    <w:uiPriority w:val="1"/>
    <w:qFormat/>
    <w:rsid w:val="006915B5"/>
    <w:rPr>
      <w:rFonts w:asciiTheme="minorHAnsi" w:eastAsiaTheme="minorHAnsi" w:hAnsiTheme="minorHAnsi" w:cstheme="minorBidi"/>
      <w:kern w:val="2"/>
      <w:sz w:val="24"/>
      <w:szCs w:val="24"/>
      <w:lang w:val="en-CA" w:eastAsia="en-US"/>
      <w14:ligatures w14:val="standardContextual"/>
    </w:rPr>
  </w:style>
  <w:style w:type="character" w:styleId="CommentReference">
    <w:name w:val="annotation reference"/>
    <w:basedOn w:val="DefaultParagraphFont"/>
    <w:uiPriority w:val="99"/>
    <w:semiHidden/>
    <w:unhideWhenUsed/>
    <w:rsid w:val="006915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dms_pub/itu-r/oth/0c/0a/R0C0A0000100012PDFE.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dms_pub/itu-r/oth/0c/0a/R0C0A0000100011PDF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r/oth/0c/0a/R0C0A0000100007PDFE.pdf" TargetMode="External"/><Relationship Id="rId5" Type="http://schemas.openxmlformats.org/officeDocument/2006/relationships/webSettings" Target="webSettings.xml"/><Relationship Id="rId15" Type="http://schemas.openxmlformats.org/officeDocument/2006/relationships/hyperlink" Target="https://www.itu.int/dms_pub/itu-r/oth/0c/0a/R0C0A0000100014PDFE.pdf" TargetMode="External"/><Relationship Id="rId10" Type="http://schemas.openxmlformats.org/officeDocument/2006/relationships/hyperlink" Target="https://www.itu.int/dms_pub/itu-r/oth/0c/0a/R0C0A0000100004PDF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dms_pub/itu-r/oth/0c/0a/R0C0A0000100002PDFE.pdf" TargetMode="External"/><Relationship Id="rId14" Type="http://schemas.openxmlformats.org/officeDocument/2006/relationships/hyperlink" Target="https://www.itu.int/dms_pub/itu-r/oth/0c/0a/R0C0A0000100013PDF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F5519-DF6E-4F69-B071-68ED30E1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4</Pages>
  <Words>1357</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WRC-27-IRIS-25</vt:lpstr>
    </vt:vector>
  </TitlesOfParts>
  <Company>ITU</Company>
  <LinksUpToDate>false</LinksUpToDate>
  <CharactersWithSpaces>9599</CharactersWithSpaces>
  <SharedDoc>false</SharedDoc>
  <HLinks>
    <vt:vector size="36" baseType="variant">
      <vt:variant>
        <vt:i4>7274586</vt:i4>
      </vt:variant>
      <vt:variant>
        <vt:i4>18</vt:i4>
      </vt:variant>
      <vt:variant>
        <vt:i4>0</vt:i4>
      </vt:variant>
      <vt:variant>
        <vt:i4>5</vt:i4>
      </vt:variant>
      <vt:variant>
        <vt:lpwstr>mailto:tsbcits@itu.int</vt:lpwstr>
      </vt:variant>
      <vt:variant>
        <vt:lpwstr/>
      </vt:variant>
      <vt:variant>
        <vt:i4>5439602</vt:i4>
      </vt:variant>
      <vt:variant>
        <vt:i4>15</vt:i4>
      </vt:variant>
      <vt:variant>
        <vt:i4>0</vt:i4>
      </vt:variant>
      <vt:variant>
        <vt:i4>5</vt:i4>
      </vt:variant>
      <vt:variant>
        <vt:lpwstr>mailto:trs@roaddb.com</vt:lpwstr>
      </vt:variant>
      <vt:variant>
        <vt:lpwstr/>
      </vt:variant>
      <vt:variant>
        <vt:i4>7274586</vt:i4>
      </vt:variant>
      <vt:variant>
        <vt:i4>9</vt:i4>
      </vt:variant>
      <vt:variant>
        <vt:i4>0</vt:i4>
      </vt:variant>
      <vt:variant>
        <vt:i4>5</vt:i4>
      </vt:variant>
      <vt:variant>
        <vt:lpwstr>mailto:tsbcits@itu.int</vt:lpwstr>
      </vt:variant>
      <vt:variant>
        <vt:lpwstr/>
      </vt:variant>
      <vt:variant>
        <vt:i4>2556020</vt:i4>
      </vt:variant>
      <vt:variant>
        <vt:i4>6</vt:i4>
      </vt:variant>
      <vt:variant>
        <vt:i4>0</vt:i4>
      </vt:variant>
      <vt:variant>
        <vt:i4>5</vt:i4>
      </vt:variant>
      <vt:variant>
        <vt:lpwstr>https://www.itu.int/net4/ITU-T/landscape</vt:lpwstr>
      </vt:variant>
      <vt:variant>
        <vt:lpwstr>?topic=0.131&amp;workgroup=1&amp;searchValue=&amp;page=1&amp;sort=Revelance</vt:lpwstr>
      </vt:variant>
      <vt:variant>
        <vt:i4>2556020</vt:i4>
      </vt:variant>
      <vt:variant>
        <vt:i4>3</vt:i4>
      </vt:variant>
      <vt:variant>
        <vt:i4>0</vt:i4>
      </vt:variant>
      <vt:variant>
        <vt:i4>5</vt:i4>
      </vt:variant>
      <vt:variant>
        <vt:lpwstr>https://www.itu.int/net4/ITU-T/landscape</vt:lpwstr>
      </vt:variant>
      <vt:variant>
        <vt:lpwstr>?topic=0.131&amp;workgroup=1&amp;searchValue=&amp;page=1&amp;sort=Revelance</vt:lpwstr>
      </vt:variant>
      <vt:variant>
        <vt:i4>4456476</vt:i4>
      </vt:variant>
      <vt:variant>
        <vt:i4>0</vt:i4>
      </vt:variant>
      <vt:variant>
        <vt:i4>0</vt:i4>
      </vt:variant>
      <vt:variant>
        <vt:i4>5</vt:i4>
      </vt:variant>
      <vt:variant>
        <vt:lpwstr>https://www.itu.int/en/ITU-T/extcoop/cits/Documents/Meeting-20210910-e-meeting/24_CITS_draft_outgoing_LS.zip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WRC-27-IRIS-25</dc:title>
  <dc:subject/>
  <dc:creator>ITU</dc:creator>
  <cp:keywords/>
  <cp:lastModifiedBy>Huguet, Fabienne</cp:lastModifiedBy>
  <cp:revision>3</cp:revision>
  <cp:lastPrinted>2008-02-21T14:04:00Z</cp:lastPrinted>
  <dcterms:created xsi:type="dcterms:W3CDTF">2025-11-20T10:18:00Z</dcterms:created>
  <dcterms:modified xsi:type="dcterms:W3CDTF">2025-11-20T10:19:00Z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