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4819"/>
        <w:gridCol w:w="2127"/>
        <w:gridCol w:w="1667"/>
      </w:tblGrid>
      <w:tr w:rsidR="00B23EDF" w:rsidRPr="00E554DE" w14:paraId="4AEFD4F0" w14:textId="77777777" w:rsidTr="00B23EDF">
        <w:trPr>
          <w:cantSplit/>
        </w:trPr>
        <w:tc>
          <w:tcPr>
            <w:tcW w:w="1418" w:type="dxa"/>
            <w:vAlign w:val="center"/>
          </w:tcPr>
          <w:p w14:paraId="243B3525" w14:textId="77777777" w:rsidR="00B23EDF" w:rsidRPr="00E554DE" w:rsidRDefault="00B23EDF" w:rsidP="00906541">
            <w:pPr>
              <w:spacing w:before="100" w:beforeAutospacing="1"/>
              <w:rPr>
                <w:rFonts w:ascii="Verdana" w:hAnsi="Verdana"/>
                <w:b/>
                <w:bCs/>
                <w:sz w:val="20"/>
              </w:rPr>
            </w:pPr>
            <w:r w:rsidRPr="00E554DE">
              <w:rPr>
                <w:noProof/>
              </w:rPr>
              <w:drawing>
                <wp:inline distT="0" distB="0" distL="0" distR="0" wp14:anchorId="082D3D67" wp14:editId="4A99554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0E728DEF" w14:textId="6ED3E6E5" w:rsidR="00B23EDF" w:rsidRPr="00E554DE" w:rsidRDefault="00B23EDF" w:rsidP="00906541">
            <w:pPr>
              <w:spacing w:before="400" w:after="48"/>
              <w:rPr>
                <w:rFonts w:ascii="Verdana" w:hAnsi="Verdana"/>
                <w:b/>
                <w:bCs/>
                <w:sz w:val="20"/>
              </w:rPr>
            </w:pPr>
            <w:r w:rsidRPr="00E554DE">
              <w:rPr>
                <w:rFonts w:ascii="Verdana" w:hAnsi="Verdana"/>
                <w:b/>
                <w:bCs/>
                <w:sz w:val="20"/>
              </w:rPr>
              <w:t>Conférence mondiale des radiocommunications (CMR-23)</w:t>
            </w:r>
            <w:r w:rsidRPr="00E554DE">
              <w:rPr>
                <w:rFonts w:ascii="Verdana" w:hAnsi="Verdana"/>
                <w:b/>
                <w:bCs/>
                <w:sz w:val="20"/>
              </w:rPr>
              <w:br/>
            </w:r>
            <w:r w:rsidRPr="00E554DE">
              <w:rPr>
                <w:rFonts w:ascii="Verdana" w:hAnsi="Verdana"/>
                <w:b/>
                <w:bCs/>
                <w:sz w:val="18"/>
                <w:szCs w:val="18"/>
              </w:rPr>
              <w:t xml:space="preserve">Dubaï, 20 novembre </w:t>
            </w:r>
            <w:r w:rsidR="002930B6" w:rsidRPr="00E554DE">
              <w:rPr>
                <w:rFonts w:ascii="Verdana" w:hAnsi="Verdana"/>
                <w:b/>
                <w:bCs/>
                <w:sz w:val="18"/>
                <w:szCs w:val="18"/>
              </w:rPr>
              <w:t>–</w:t>
            </w:r>
            <w:r w:rsidRPr="00E554DE">
              <w:rPr>
                <w:rFonts w:ascii="Verdana" w:hAnsi="Verdana"/>
                <w:b/>
                <w:bCs/>
                <w:sz w:val="18"/>
                <w:szCs w:val="18"/>
              </w:rPr>
              <w:t xml:space="preserve"> 15 décembre 2023</w:t>
            </w:r>
          </w:p>
        </w:tc>
        <w:tc>
          <w:tcPr>
            <w:tcW w:w="1667" w:type="dxa"/>
            <w:vAlign w:val="center"/>
          </w:tcPr>
          <w:p w14:paraId="5BBBB3DC" w14:textId="77777777" w:rsidR="00B23EDF" w:rsidRPr="00E554DE" w:rsidRDefault="00B23EDF" w:rsidP="00906541">
            <w:pPr>
              <w:spacing w:before="0"/>
            </w:pPr>
            <w:bookmarkStart w:id="0" w:name="ditulogo"/>
            <w:bookmarkEnd w:id="0"/>
            <w:r w:rsidRPr="00E554DE">
              <w:rPr>
                <w:noProof/>
              </w:rPr>
              <w:drawing>
                <wp:inline distT="0" distB="0" distL="0" distR="0" wp14:anchorId="7768B1B2" wp14:editId="0675E903">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E554DE" w14:paraId="52B9D537" w14:textId="77777777" w:rsidTr="00AD7824">
        <w:trPr>
          <w:cantSplit/>
        </w:trPr>
        <w:tc>
          <w:tcPr>
            <w:tcW w:w="6237" w:type="dxa"/>
            <w:gridSpan w:val="2"/>
            <w:tcBorders>
              <w:bottom w:val="single" w:sz="12" w:space="0" w:color="auto"/>
            </w:tcBorders>
          </w:tcPr>
          <w:p w14:paraId="6DC8E91B" w14:textId="77777777" w:rsidR="00587A4E" w:rsidRPr="00E554DE" w:rsidRDefault="00587A4E" w:rsidP="00906541">
            <w:pPr>
              <w:spacing w:before="0" w:after="48"/>
              <w:rPr>
                <w:b/>
                <w:smallCaps/>
                <w:szCs w:val="24"/>
              </w:rPr>
            </w:pPr>
            <w:bookmarkStart w:id="1" w:name="dhead"/>
          </w:p>
        </w:tc>
        <w:tc>
          <w:tcPr>
            <w:tcW w:w="3794" w:type="dxa"/>
            <w:gridSpan w:val="2"/>
            <w:tcBorders>
              <w:bottom w:val="single" w:sz="12" w:space="0" w:color="auto"/>
            </w:tcBorders>
          </w:tcPr>
          <w:p w14:paraId="4FA39C8E" w14:textId="77777777" w:rsidR="00587A4E" w:rsidRPr="00E554DE" w:rsidRDefault="00587A4E" w:rsidP="00906541">
            <w:pPr>
              <w:spacing w:before="0"/>
              <w:rPr>
                <w:rFonts w:ascii="Verdana" w:hAnsi="Verdana"/>
                <w:szCs w:val="24"/>
              </w:rPr>
            </w:pPr>
          </w:p>
        </w:tc>
      </w:tr>
      <w:tr w:rsidR="00587A4E" w:rsidRPr="00E554DE" w14:paraId="6022FBD1" w14:textId="77777777" w:rsidTr="00AD7824">
        <w:trPr>
          <w:cantSplit/>
        </w:trPr>
        <w:tc>
          <w:tcPr>
            <w:tcW w:w="6237" w:type="dxa"/>
            <w:gridSpan w:val="2"/>
            <w:tcBorders>
              <w:top w:val="single" w:sz="12" w:space="0" w:color="auto"/>
            </w:tcBorders>
          </w:tcPr>
          <w:p w14:paraId="3E3592D2" w14:textId="77777777" w:rsidR="00587A4E" w:rsidRPr="00E554DE" w:rsidRDefault="00587A4E" w:rsidP="00906541">
            <w:pPr>
              <w:spacing w:before="0" w:after="48"/>
              <w:rPr>
                <w:rFonts w:ascii="Verdana" w:hAnsi="Verdana"/>
                <w:b/>
                <w:smallCaps/>
                <w:sz w:val="20"/>
              </w:rPr>
            </w:pPr>
          </w:p>
        </w:tc>
        <w:tc>
          <w:tcPr>
            <w:tcW w:w="3794" w:type="dxa"/>
            <w:gridSpan w:val="2"/>
            <w:tcBorders>
              <w:top w:val="single" w:sz="12" w:space="0" w:color="auto"/>
            </w:tcBorders>
          </w:tcPr>
          <w:p w14:paraId="284E5516" w14:textId="77777777" w:rsidR="00587A4E" w:rsidRPr="00E554DE" w:rsidRDefault="00587A4E" w:rsidP="00906541">
            <w:pPr>
              <w:spacing w:before="0"/>
              <w:rPr>
                <w:rFonts w:ascii="Verdana" w:hAnsi="Verdana"/>
                <w:sz w:val="20"/>
              </w:rPr>
            </w:pPr>
          </w:p>
        </w:tc>
      </w:tr>
      <w:tr w:rsidR="00587A4E" w:rsidRPr="00E554DE" w14:paraId="4CEFB7F4" w14:textId="77777777" w:rsidTr="00AD7824">
        <w:trPr>
          <w:cantSplit/>
        </w:trPr>
        <w:tc>
          <w:tcPr>
            <w:tcW w:w="6237" w:type="dxa"/>
            <w:gridSpan w:val="2"/>
          </w:tcPr>
          <w:p w14:paraId="39235E10" w14:textId="77777777" w:rsidR="00587A4E" w:rsidRPr="00E554DE" w:rsidRDefault="008D6821" w:rsidP="00906541">
            <w:pPr>
              <w:spacing w:before="0"/>
              <w:rPr>
                <w:rFonts w:ascii="Verdana" w:hAnsi="Verdana"/>
                <w:b/>
                <w:sz w:val="20"/>
              </w:rPr>
            </w:pPr>
            <w:r w:rsidRPr="00E554DE">
              <w:rPr>
                <w:rFonts w:ascii="Verdana" w:hAnsi="Verdana"/>
                <w:b/>
                <w:sz w:val="20"/>
              </w:rPr>
              <w:t>SÉANCE PLÉNIÈRE</w:t>
            </w:r>
          </w:p>
        </w:tc>
        <w:tc>
          <w:tcPr>
            <w:tcW w:w="3794" w:type="dxa"/>
            <w:gridSpan w:val="2"/>
          </w:tcPr>
          <w:p w14:paraId="1CDC5D30" w14:textId="13ACAD39" w:rsidR="00587A4E" w:rsidRPr="00E554DE" w:rsidRDefault="00587A4E" w:rsidP="00906541">
            <w:pPr>
              <w:spacing w:before="0"/>
              <w:rPr>
                <w:rFonts w:ascii="Verdana" w:hAnsi="Verdana"/>
                <w:sz w:val="20"/>
              </w:rPr>
            </w:pPr>
            <w:r w:rsidRPr="00E554DE">
              <w:rPr>
                <w:rFonts w:ascii="Verdana" w:hAnsi="Verdana"/>
                <w:b/>
                <w:sz w:val="20"/>
              </w:rPr>
              <w:t xml:space="preserve">Document </w:t>
            </w:r>
            <w:r w:rsidR="00AD7824" w:rsidRPr="00E554DE">
              <w:rPr>
                <w:rFonts w:ascii="Verdana" w:hAnsi="Verdana"/>
                <w:b/>
                <w:sz w:val="20"/>
              </w:rPr>
              <w:t>528</w:t>
            </w:r>
            <w:r w:rsidRPr="00E554DE">
              <w:rPr>
                <w:rFonts w:ascii="Verdana" w:hAnsi="Verdana"/>
                <w:b/>
                <w:sz w:val="20"/>
              </w:rPr>
              <w:t>-F</w:t>
            </w:r>
          </w:p>
        </w:tc>
      </w:tr>
      <w:bookmarkEnd w:id="1"/>
      <w:tr w:rsidR="00587A4E" w:rsidRPr="00E554DE" w14:paraId="208A6C58" w14:textId="77777777" w:rsidTr="00AD7824">
        <w:trPr>
          <w:cantSplit/>
        </w:trPr>
        <w:tc>
          <w:tcPr>
            <w:tcW w:w="6237" w:type="dxa"/>
            <w:gridSpan w:val="2"/>
          </w:tcPr>
          <w:p w14:paraId="2370EA5A" w14:textId="77777777" w:rsidR="00587A4E" w:rsidRPr="00E554DE" w:rsidRDefault="00587A4E" w:rsidP="00906541">
            <w:pPr>
              <w:spacing w:before="0"/>
              <w:rPr>
                <w:rFonts w:ascii="Verdana" w:hAnsi="Verdana"/>
                <w:b/>
                <w:sz w:val="20"/>
              </w:rPr>
            </w:pPr>
          </w:p>
        </w:tc>
        <w:tc>
          <w:tcPr>
            <w:tcW w:w="3794" w:type="dxa"/>
            <w:gridSpan w:val="2"/>
          </w:tcPr>
          <w:p w14:paraId="3DDB48F3" w14:textId="351A4846" w:rsidR="00587A4E" w:rsidRPr="00E554DE" w:rsidRDefault="00AD7824" w:rsidP="00906541">
            <w:pPr>
              <w:spacing w:before="0"/>
              <w:rPr>
                <w:rFonts w:ascii="Verdana" w:hAnsi="Verdana"/>
                <w:b/>
                <w:sz w:val="20"/>
              </w:rPr>
            </w:pPr>
            <w:r w:rsidRPr="00E554DE">
              <w:rPr>
                <w:rFonts w:ascii="Verdana" w:hAnsi="Verdana"/>
                <w:b/>
                <w:sz w:val="20"/>
              </w:rPr>
              <w:t>15 janvier 2024</w:t>
            </w:r>
          </w:p>
        </w:tc>
      </w:tr>
      <w:tr w:rsidR="00587A4E" w:rsidRPr="00E554DE" w14:paraId="2BF7B8CC" w14:textId="77777777" w:rsidTr="00AD7824">
        <w:trPr>
          <w:cantSplit/>
        </w:trPr>
        <w:tc>
          <w:tcPr>
            <w:tcW w:w="6237" w:type="dxa"/>
            <w:gridSpan w:val="2"/>
          </w:tcPr>
          <w:p w14:paraId="796B2C2E" w14:textId="77777777" w:rsidR="00587A4E" w:rsidRPr="00E554DE" w:rsidRDefault="00587A4E" w:rsidP="00906541">
            <w:pPr>
              <w:spacing w:before="0" w:after="48"/>
              <w:rPr>
                <w:rFonts w:ascii="Verdana" w:hAnsi="Verdana"/>
                <w:b/>
                <w:smallCaps/>
                <w:sz w:val="20"/>
              </w:rPr>
            </w:pPr>
          </w:p>
        </w:tc>
        <w:tc>
          <w:tcPr>
            <w:tcW w:w="3794" w:type="dxa"/>
            <w:gridSpan w:val="2"/>
          </w:tcPr>
          <w:p w14:paraId="1F8AD41A" w14:textId="6AC5953B" w:rsidR="00587A4E" w:rsidRPr="00E554DE" w:rsidRDefault="00587A4E" w:rsidP="00906541">
            <w:pPr>
              <w:spacing w:before="0"/>
              <w:rPr>
                <w:rFonts w:ascii="Verdana" w:hAnsi="Verdana"/>
                <w:b/>
                <w:sz w:val="20"/>
              </w:rPr>
            </w:pPr>
            <w:r w:rsidRPr="00E554DE">
              <w:rPr>
                <w:rFonts w:ascii="Verdana" w:hAnsi="Verdana"/>
                <w:b/>
                <w:sz w:val="20"/>
              </w:rPr>
              <w:t>Original: anglais</w:t>
            </w:r>
            <w:r w:rsidR="00AD7824" w:rsidRPr="00E554DE">
              <w:rPr>
                <w:rFonts w:ascii="Verdana" w:hAnsi="Verdana"/>
                <w:b/>
                <w:sz w:val="20"/>
              </w:rPr>
              <w:t>/russe/chinois</w:t>
            </w:r>
          </w:p>
        </w:tc>
      </w:tr>
      <w:tr w:rsidR="00587A4E" w:rsidRPr="00E554DE" w14:paraId="187EDD80" w14:textId="77777777" w:rsidTr="00D848A9">
        <w:trPr>
          <w:cantSplit/>
        </w:trPr>
        <w:tc>
          <w:tcPr>
            <w:tcW w:w="10031" w:type="dxa"/>
            <w:gridSpan w:val="4"/>
          </w:tcPr>
          <w:p w14:paraId="59792B4C" w14:textId="77777777" w:rsidR="00587A4E" w:rsidRPr="00E554DE" w:rsidRDefault="00587A4E" w:rsidP="00906541">
            <w:pPr>
              <w:spacing w:before="0"/>
              <w:rPr>
                <w:rFonts w:ascii="Verdana" w:hAnsi="Verdana"/>
                <w:b/>
                <w:sz w:val="20"/>
              </w:rPr>
            </w:pPr>
          </w:p>
        </w:tc>
      </w:tr>
      <w:tr w:rsidR="00587A4E" w:rsidRPr="00E554DE" w14:paraId="7AD754A2" w14:textId="77777777" w:rsidTr="00D848A9">
        <w:trPr>
          <w:cantSplit/>
        </w:trPr>
        <w:tc>
          <w:tcPr>
            <w:tcW w:w="10031" w:type="dxa"/>
            <w:gridSpan w:val="4"/>
          </w:tcPr>
          <w:p w14:paraId="560437A3" w14:textId="77777777" w:rsidR="00587A4E" w:rsidRPr="00E554DE" w:rsidRDefault="00587A4E" w:rsidP="00906541">
            <w:bookmarkStart w:id="2" w:name="dsource" w:colFirst="0" w:colLast="0"/>
          </w:p>
        </w:tc>
      </w:tr>
      <w:tr w:rsidR="00587A4E" w:rsidRPr="00E554DE" w14:paraId="174454E7" w14:textId="77777777" w:rsidTr="00D848A9">
        <w:trPr>
          <w:cantSplit/>
        </w:trPr>
        <w:tc>
          <w:tcPr>
            <w:tcW w:w="10031" w:type="dxa"/>
            <w:gridSpan w:val="4"/>
          </w:tcPr>
          <w:tbl>
            <w:tblPr>
              <w:tblpPr w:leftFromText="180" w:rightFromText="180" w:horzAnchor="margin" w:tblpY="-675"/>
              <w:tblW w:w="10031" w:type="dxa"/>
              <w:tblLayout w:type="fixed"/>
              <w:tblLook w:val="0000" w:firstRow="0" w:lastRow="0" w:firstColumn="0" w:lastColumn="0" w:noHBand="0" w:noVBand="0"/>
            </w:tblPr>
            <w:tblGrid>
              <w:gridCol w:w="10031"/>
            </w:tblGrid>
            <w:tr w:rsidR="00AD7824" w:rsidRPr="00E554DE" w14:paraId="3F75B1F8" w14:textId="77777777" w:rsidTr="00D848A9">
              <w:trPr>
                <w:cantSplit/>
                <w:trHeight w:val="2260"/>
              </w:trPr>
              <w:tc>
                <w:tcPr>
                  <w:tcW w:w="10031" w:type="dxa"/>
                  <w:vAlign w:val="center"/>
                </w:tcPr>
                <w:p w14:paraId="1853086C" w14:textId="77777777" w:rsidR="00AD7824" w:rsidRPr="00E554DE" w:rsidRDefault="00AD7824" w:rsidP="00906541">
                  <w:pPr>
                    <w:pStyle w:val="Title1"/>
                  </w:pPr>
                  <w:bookmarkStart w:id="3" w:name="dtitle1" w:colFirst="0" w:colLast="0"/>
                  <w:bookmarkEnd w:id="2"/>
                  <w:r w:rsidRPr="00E554DE">
                    <w:t>PROCÈS-VERBAL</w:t>
                  </w:r>
                </w:p>
                <w:p w14:paraId="4476DC65" w14:textId="77777777" w:rsidR="00AD7824" w:rsidRPr="00E554DE" w:rsidRDefault="00AD7824" w:rsidP="00906541">
                  <w:pPr>
                    <w:pStyle w:val="Title1"/>
                  </w:pPr>
                  <w:r w:rsidRPr="00E554DE">
                    <w:t>DE LA</w:t>
                  </w:r>
                </w:p>
                <w:p w14:paraId="1EF1DB45" w14:textId="15CDEF03" w:rsidR="00AD7824" w:rsidRPr="00E554DE" w:rsidRDefault="00AD7824" w:rsidP="00906541">
                  <w:pPr>
                    <w:pStyle w:val="Title1"/>
                  </w:pPr>
                  <w:r w:rsidRPr="00E554DE">
                    <w:t>TREIZIÈME SÉANCE PLÉNIÈRE</w:t>
                  </w:r>
                </w:p>
              </w:tc>
            </w:tr>
            <w:tr w:rsidR="00AD7824" w:rsidRPr="00E554DE" w14:paraId="2EE5925E" w14:textId="77777777" w:rsidTr="00D848A9">
              <w:trPr>
                <w:cantSplit/>
              </w:trPr>
              <w:tc>
                <w:tcPr>
                  <w:tcW w:w="10031" w:type="dxa"/>
                </w:tcPr>
                <w:p w14:paraId="21395103" w14:textId="0A03E93D" w:rsidR="00AD7824" w:rsidRPr="00E554DE" w:rsidRDefault="00AD7824" w:rsidP="00906541">
                  <w:pPr>
                    <w:spacing w:before="240"/>
                    <w:jc w:val="center"/>
                  </w:pPr>
                  <w:r w:rsidRPr="00E554DE">
                    <w:t>Jeudi 14 décembre 2023, à 09 h 05</w:t>
                  </w:r>
                </w:p>
              </w:tc>
            </w:tr>
            <w:tr w:rsidR="00AD7824" w:rsidRPr="00E554DE" w14:paraId="2FCFD879" w14:textId="77777777" w:rsidTr="00D848A9">
              <w:trPr>
                <w:cantSplit/>
              </w:trPr>
              <w:tc>
                <w:tcPr>
                  <w:tcW w:w="10031" w:type="dxa"/>
                </w:tcPr>
                <w:p w14:paraId="382CF56B" w14:textId="77777777" w:rsidR="00AD7824" w:rsidRPr="00E554DE" w:rsidRDefault="00AD7824" w:rsidP="00906541">
                  <w:pPr>
                    <w:jc w:val="center"/>
                  </w:pPr>
                  <w:r w:rsidRPr="00E554DE">
                    <w:rPr>
                      <w:b/>
                      <w:bCs/>
                    </w:rPr>
                    <w:t>Président:</w:t>
                  </w:r>
                  <w:r w:rsidRPr="00E554DE">
                    <w:t xml:space="preserve"> S. E. M. M. AL RAMSI (Émirats arabes unis)</w:t>
                  </w:r>
                </w:p>
              </w:tc>
            </w:tr>
          </w:tbl>
          <w:p w14:paraId="31D6C4B0" w14:textId="77777777" w:rsidR="00587A4E" w:rsidRPr="00E554DE" w:rsidRDefault="00587A4E" w:rsidP="00906541">
            <w:pPr>
              <w:pStyle w:val="Title1"/>
            </w:pPr>
          </w:p>
        </w:tc>
      </w:tr>
      <w:bookmarkEnd w:id="3"/>
    </w:tbl>
    <w:p w14:paraId="67F6F54B" w14:textId="77777777" w:rsidR="00F372DE" w:rsidRPr="00E554DE" w:rsidRDefault="00F372DE" w:rsidP="00906541"/>
    <w:tbl>
      <w:tblPr>
        <w:tblW w:w="10031" w:type="dxa"/>
        <w:tblLook w:val="0000" w:firstRow="0" w:lastRow="0" w:firstColumn="0" w:lastColumn="0" w:noHBand="0" w:noVBand="0"/>
      </w:tblPr>
      <w:tblGrid>
        <w:gridCol w:w="482"/>
        <w:gridCol w:w="7740"/>
        <w:gridCol w:w="1809"/>
      </w:tblGrid>
      <w:tr w:rsidR="00AC6F9C" w:rsidRPr="00E554DE" w14:paraId="4950CAAF" w14:textId="77777777" w:rsidTr="00D848A9">
        <w:tc>
          <w:tcPr>
            <w:tcW w:w="482" w:type="dxa"/>
          </w:tcPr>
          <w:p w14:paraId="0810C97F" w14:textId="77777777" w:rsidR="00AC6F9C" w:rsidRPr="00E554DE" w:rsidRDefault="00AC6F9C" w:rsidP="00906541">
            <w:pPr>
              <w:pStyle w:val="toc0"/>
              <w:rPr>
                <w:rFonts w:asciiTheme="majorBidi" w:hAnsiTheme="majorBidi" w:cstheme="majorBidi"/>
                <w:b w:val="0"/>
                <w:bCs/>
                <w:szCs w:val="24"/>
              </w:rPr>
            </w:pPr>
          </w:p>
        </w:tc>
        <w:tc>
          <w:tcPr>
            <w:tcW w:w="7740" w:type="dxa"/>
          </w:tcPr>
          <w:p w14:paraId="070ED2C0" w14:textId="77777777" w:rsidR="00AC6F9C" w:rsidRPr="00E554DE" w:rsidRDefault="00AC6F9C" w:rsidP="00906541">
            <w:pPr>
              <w:pStyle w:val="Tablehead"/>
              <w:jc w:val="left"/>
              <w:rPr>
                <w:sz w:val="24"/>
                <w:szCs w:val="24"/>
              </w:rPr>
            </w:pPr>
            <w:r w:rsidRPr="00E554DE">
              <w:rPr>
                <w:sz w:val="24"/>
                <w:szCs w:val="24"/>
              </w:rPr>
              <w:t>Sujets examinés</w:t>
            </w:r>
          </w:p>
        </w:tc>
        <w:tc>
          <w:tcPr>
            <w:tcW w:w="1809" w:type="dxa"/>
          </w:tcPr>
          <w:p w14:paraId="5EB7B969" w14:textId="77777777" w:rsidR="00AC6F9C" w:rsidRPr="00E554DE" w:rsidRDefault="00AC6F9C" w:rsidP="00906541">
            <w:pPr>
              <w:pStyle w:val="Tablehead"/>
              <w:rPr>
                <w:sz w:val="24"/>
                <w:szCs w:val="24"/>
              </w:rPr>
            </w:pPr>
            <w:r w:rsidRPr="00E554DE">
              <w:rPr>
                <w:sz w:val="24"/>
                <w:szCs w:val="24"/>
              </w:rPr>
              <w:t>Documents</w:t>
            </w:r>
          </w:p>
        </w:tc>
      </w:tr>
      <w:tr w:rsidR="00AC6F9C" w:rsidRPr="00E554DE" w14:paraId="5FF20CF4" w14:textId="77777777" w:rsidTr="00D848A9">
        <w:tc>
          <w:tcPr>
            <w:tcW w:w="482" w:type="dxa"/>
          </w:tcPr>
          <w:p w14:paraId="3B7C77BD" w14:textId="77777777" w:rsidR="00AC6F9C" w:rsidRPr="00E554DE" w:rsidRDefault="00AC6F9C" w:rsidP="00906541">
            <w:pPr>
              <w:pStyle w:val="Tabletext"/>
              <w:rPr>
                <w:b/>
                <w:sz w:val="24"/>
                <w:szCs w:val="24"/>
              </w:rPr>
            </w:pPr>
            <w:r w:rsidRPr="00E554DE">
              <w:rPr>
                <w:b/>
                <w:sz w:val="24"/>
                <w:szCs w:val="24"/>
              </w:rPr>
              <w:t>1</w:t>
            </w:r>
          </w:p>
        </w:tc>
        <w:tc>
          <w:tcPr>
            <w:tcW w:w="7740" w:type="dxa"/>
          </w:tcPr>
          <w:p w14:paraId="310A512C" w14:textId="5D27D043" w:rsidR="00AC6F9C" w:rsidRPr="00E554DE" w:rsidRDefault="00AC6F9C" w:rsidP="00906541">
            <w:pPr>
              <w:pStyle w:val="Tabletext"/>
              <w:rPr>
                <w:sz w:val="24"/>
                <w:szCs w:val="24"/>
              </w:rPr>
            </w:pPr>
            <w:r w:rsidRPr="00E554DE">
              <w:rPr>
                <w:sz w:val="24"/>
                <w:szCs w:val="24"/>
              </w:rPr>
              <w:t xml:space="preserve">Rapports verbaux des </w:t>
            </w:r>
            <w:r w:rsidR="006432D1" w:rsidRPr="00E554DE">
              <w:rPr>
                <w:sz w:val="24"/>
                <w:szCs w:val="24"/>
              </w:rPr>
              <w:t>p</w:t>
            </w:r>
            <w:r w:rsidRPr="00E554DE">
              <w:rPr>
                <w:sz w:val="24"/>
                <w:szCs w:val="24"/>
              </w:rPr>
              <w:t xml:space="preserve">résidents des </w:t>
            </w:r>
            <w:r w:rsidR="00463AE9" w:rsidRPr="00E554DE">
              <w:rPr>
                <w:sz w:val="24"/>
                <w:szCs w:val="24"/>
              </w:rPr>
              <w:t>c</w:t>
            </w:r>
            <w:r w:rsidRPr="00E554DE">
              <w:rPr>
                <w:sz w:val="24"/>
                <w:szCs w:val="24"/>
              </w:rPr>
              <w:t>ommissions</w:t>
            </w:r>
          </w:p>
        </w:tc>
        <w:tc>
          <w:tcPr>
            <w:tcW w:w="1809" w:type="dxa"/>
          </w:tcPr>
          <w:p w14:paraId="73D8D1B5" w14:textId="77777777" w:rsidR="00AC6F9C" w:rsidRPr="00E554DE" w:rsidRDefault="00AC6F9C" w:rsidP="00906541">
            <w:pPr>
              <w:pStyle w:val="Tabletext"/>
              <w:jc w:val="center"/>
              <w:rPr>
                <w:sz w:val="24"/>
                <w:szCs w:val="24"/>
              </w:rPr>
            </w:pPr>
            <w:r w:rsidRPr="00E554DE">
              <w:rPr>
                <w:sz w:val="24"/>
                <w:szCs w:val="24"/>
              </w:rPr>
              <w:t>–</w:t>
            </w:r>
          </w:p>
        </w:tc>
      </w:tr>
      <w:tr w:rsidR="00AC6F9C" w:rsidRPr="00E554DE" w14:paraId="6C93C5EB" w14:textId="77777777" w:rsidTr="00D848A9">
        <w:tc>
          <w:tcPr>
            <w:tcW w:w="482" w:type="dxa"/>
          </w:tcPr>
          <w:p w14:paraId="63E7E4C0" w14:textId="77777777" w:rsidR="00AC6F9C" w:rsidRPr="00E554DE" w:rsidRDefault="00AC6F9C" w:rsidP="00906541">
            <w:pPr>
              <w:pStyle w:val="Tabletext"/>
              <w:rPr>
                <w:b/>
                <w:sz w:val="24"/>
                <w:szCs w:val="24"/>
              </w:rPr>
            </w:pPr>
            <w:r w:rsidRPr="00E554DE">
              <w:rPr>
                <w:b/>
                <w:sz w:val="24"/>
                <w:szCs w:val="24"/>
              </w:rPr>
              <w:t>2</w:t>
            </w:r>
          </w:p>
        </w:tc>
        <w:tc>
          <w:tcPr>
            <w:tcW w:w="7740" w:type="dxa"/>
          </w:tcPr>
          <w:p w14:paraId="523F7A1B" w14:textId="10930439" w:rsidR="00AC6F9C" w:rsidRPr="00E554DE" w:rsidRDefault="00AC6F9C" w:rsidP="00906541">
            <w:pPr>
              <w:pStyle w:val="Tabletext"/>
              <w:rPr>
                <w:sz w:val="24"/>
                <w:szCs w:val="24"/>
              </w:rPr>
            </w:pPr>
            <w:r w:rsidRPr="00E554DE">
              <w:rPr>
                <w:sz w:val="24"/>
                <w:szCs w:val="24"/>
              </w:rPr>
              <w:t>Note du Président de la Commission 7</w:t>
            </w:r>
          </w:p>
        </w:tc>
        <w:tc>
          <w:tcPr>
            <w:tcW w:w="1809" w:type="dxa"/>
            <w:vAlign w:val="center"/>
          </w:tcPr>
          <w:p w14:paraId="683C4E46" w14:textId="55016440" w:rsidR="00AC6F9C" w:rsidRPr="00E554DE" w:rsidRDefault="00AC6F9C" w:rsidP="00906541">
            <w:pPr>
              <w:pStyle w:val="Tabletext"/>
              <w:jc w:val="center"/>
              <w:rPr>
                <w:sz w:val="24"/>
                <w:szCs w:val="24"/>
              </w:rPr>
            </w:pPr>
            <w:r w:rsidRPr="00E554DE">
              <w:rPr>
                <w:sz w:val="24"/>
                <w:szCs w:val="24"/>
              </w:rPr>
              <w:t>503</w:t>
            </w:r>
          </w:p>
        </w:tc>
      </w:tr>
      <w:tr w:rsidR="00A7631A" w:rsidRPr="00E554DE" w14:paraId="65B99944" w14:textId="77777777" w:rsidTr="00D848A9">
        <w:tc>
          <w:tcPr>
            <w:tcW w:w="482" w:type="dxa"/>
          </w:tcPr>
          <w:p w14:paraId="7C1CB730" w14:textId="77777777" w:rsidR="00A7631A" w:rsidRPr="00E554DE" w:rsidRDefault="00A7631A" w:rsidP="00906541">
            <w:pPr>
              <w:pStyle w:val="Tabletext"/>
              <w:rPr>
                <w:b/>
                <w:sz w:val="24"/>
                <w:szCs w:val="24"/>
              </w:rPr>
            </w:pPr>
            <w:r w:rsidRPr="00E554DE">
              <w:rPr>
                <w:b/>
                <w:sz w:val="24"/>
                <w:szCs w:val="24"/>
              </w:rPr>
              <w:t>3</w:t>
            </w:r>
          </w:p>
        </w:tc>
        <w:tc>
          <w:tcPr>
            <w:tcW w:w="7740" w:type="dxa"/>
          </w:tcPr>
          <w:p w14:paraId="74AC9F26" w14:textId="4EA17165" w:rsidR="00A7631A" w:rsidRPr="00E554DE" w:rsidRDefault="00A7631A" w:rsidP="00906541">
            <w:pPr>
              <w:pStyle w:val="Tabletext"/>
              <w:rPr>
                <w:bCs/>
                <w:sz w:val="24"/>
                <w:szCs w:val="24"/>
              </w:rPr>
            </w:pPr>
            <w:r w:rsidRPr="00E554DE">
              <w:rPr>
                <w:bCs/>
                <w:sz w:val="24"/>
                <w:szCs w:val="24"/>
              </w:rPr>
              <w:t>Trente-septième série de textes soumis par la Commission de rédaction en première lecture (B37)</w:t>
            </w:r>
          </w:p>
        </w:tc>
        <w:tc>
          <w:tcPr>
            <w:tcW w:w="1809" w:type="dxa"/>
            <w:vAlign w:val="center"/>
          </w:tcPr>
          <w:p w14:paraId="1D62789B" w14:textId="2A5E58B5" w:rsidR="00A7631A" w:rsidRPr="00E554DE" w:rsidRDefault="00A7631A" w:rsidP="00906541">
            <w:pPr>
              <w:pStyle w:val="Tabletext"/>
              <w:jc w:val="center"/>
              <w:rPr>
                <w:sz w:val="24"/>
                <w:szCs w:val="24"/>
              </w:rPr>
            </w:pPr>
            <w:r w:rsidRPr="00E554DE">
              <w:rPr>
                <w:sz w:val="24"/>
                <w:szCs w:val="24"/>
              </w:rPr>
              <w:t>469</w:t>
            </w:r>
          </w:p>
        </w:tc>
      </w:tr>
      <w:tr w:rsidR="00A7631A" w:rsidRPr="00E554DE" w14:paraId="029922BD" w14:textId="77777777" w:rsidTr="00D848A9">
        <w:tc>
          <w:tcPr>
            <w:tcW w:w="482" w:type="dxa"/>
          </w:tcPr>
          <w:p w14:paraId="1C39A012" w14:textId="77777777" w:rsidR="00A7631A" w:rsidRPr="00E554DE" w:rsidRDefault="00A7631A" w:rsidP="00906541">
            <w:pPr>
              <w:pStyle w:val="Tabletext"/>
              <w:rPr>
                <w:b/>
                <w:sz w:val="24"/>
                <w:szCs w:val="24"/>
              </w:rPr>
            </w:pPr>
            <w:r w:rsidRPr="00E554DE">
              <w:rPr>
                <w:b/>
                <w:sz w:val="24"/>
                <w:szCs w:val="24"/>
              </w:rPr>
              <w:t>4</w:t>
            </w:r>
          </w:p>
        </w:tc>
        <w:tc>
          <w:tcPr>
            <w:tcW w:w="7740" w:type="dxa"/>
          </w:tcPr>
          <w:p w14:paraId="69BE8843" w14:textId="28B58F6D" w:rsidR="00A7631A" w:rsidRPr="00E554DE" w:rsidRDefault="00A7631A" w:rsidP="00906541">
            <w:pPr>
              <w:pStyle w:val="Tabletext"/>
              <w:rPr>
                <w:sz w:val="24"/>
                <w:szCs w:val="24"/>
              </w:rPr>
            </w:pPr>
            <w:r w:rsidRPr="00E554DE">
              <w:rPr>
                <w:bCs/>
                <w:sz w:val="24"/>
                <w:szCs w:val="24"/>
              </w:rPr>
              <w:t>Trente-septième série de textes soumis par la Commission de rédaction (B37)</w:t>
            </w:r>
            <w:r w:rsidR="002B665A" w:rsidRPr="00E554DE">
              <w:rPr>
                <w:bCs/>
                <w:sz w:val="24"/>
                <w:szCs w:val="24"/>
              </w:rPr>
              <w:t> </w:t>
            </w:r>
            <w:r w:rsidRPr="00E554DE">
              <w:rPr>
                <w:bCs/>
                <w:sz w:val="24"/>
                <w:szCs w:val="24"/>
              </w:rPr>
              <w:t>– deuxième lecture</w:t>
            </w:r>
          </w:p>
        </w:tc>
        <w:tc>
          <w:tcPr>
            <w:tcW w:w="1809" w:type="dxa"/>
            <w:vAlign w:val="center"/>
          </w:tcPr>
          <w:p w14:paraId="4D7E553F" w14:textId="7793A974" w:rsidR="00A7631A" w:rsidRPr="00E554DE" w:rsidRDefault="00A7631A" w:rsidP="00906541">
            <w:pPr>
              <w:pStyle w:val="Tabletext"/>
              <w:jc w:val="center"/>
              <w:rPr>
                <w:sz w:val="24"/>
                <w:szCs w:val="24"/>
              </w:rPr>
            </w:pPr>
            <w:r w:rsidRPr="00E554DE">
              <w:rPr>
                <w:sz w:val="24"/>
                <w:szCs w:val="24"/>
              </w:rPr>
              <w:t>469</w:t>
            </w:r>
          </w:p>
        </w:tc>
      </w:tr>
      <w:tr w:rsidR="00AC6F9C" w:rsidRPr="00E554DE" w14:paraId="0C465B92" w14:textId="77777777" w:rsidTr="00D848A9">
        <w:tc>
          <w:tcPr>
            <w:tcW w:w="482" w:type="dxa"/>
          </w:tcPr>
          <w:p w14:paraId="47D65FC3" w14:textId="77777777" w:rsidR="00AC6F9C" w:rsidRPr="00E554DE" w:rsidRDefault="00AC6F9C" w:rsidP="00906541">
            <w:pPr>
              <w:pStyle w:val="Tabletext"/>
              <w:rPr>
                <w:b/>
                <w:sz w:val="24"/>
                <w:szCs w:val="24"/>
              </w:rPr>
            </w:pPr>
            <w:r w:rsidRPr="00E554DE">
              <w:rPr>
                <w:b/>
                <w:sz w:val="24"/>
                <w:szCs w:val="24"/>
              </w:rPr>
              <w:t>5</w:t>
            </w:r>
          </w:p>
        </w:tc>
        <w:tc>
          <w:tcPr>
            <w:tcW w:w="7740" w:type="dxa"/>
          </w:tcPr>
          <w:p w14:paraId="0624910A" w14:textId="4E01FCAC" w:rsidR="00AC6F9C" w:rsidRPr="00E554DE" w:rsidRDefault="00A7631A" w:rsidP="00906541">
            <w:pPr>
              <w:pStyle w:val="Tabletext"/>
              <w:rPr>
                <w:sz w:val="24"/>
                <w:szCs w:val="24"/>
              </w:rPr>
            </w:pPr>
            <w:r w:rsidRPr="00E554DE">
              <w:rPr>
                <w:sz w:val="24"/>
                <w:szCs w:val="24"/>
              </w:rPr>
              <w:t>Quatrième rapport de la Commission 5 à la plénière</w:t>
            </w:r>
          </w:p>
        </w:tc>
        <w:tc>
          <w:tcPr>
            <w:tcW w:w="1809" w:type="dxa"/>
            <w:vAlign w:val="center"/>
          </w:tcPr>
          <w:p w14:paraId="43DCE4E7" w14:textId="72AF9758" w:rsidR="00AC6F9C" w:rsidRPr="00E554DE" w:rsidRDefault="00AC6F9C" w:rsidP="00906541">
            <w:pPr>
              <w:pStyle w:val="Tabletext"/>
              <w:jc w:val="center"/>
              <w:rPr>
                <w:sz w:val="24"/>
                <w:szCs w:val="24"/>
              </w:rPr>
            </w:pPr>
            <w:r w:rsidRPr="00E554DE">
              <w:rPr>
                <w:sz w:val="24"/>
                <w:szCs w:val="24"/>
              </w:rPr>
              <w:t>486</w:t>
            </w:r>
          </w:p>
        </w:tc>
      </w:tr>
      <w:tr w:rsidR="00AC6F9C" w:rsidRPr="00E554DE" w14:paraId="6E04CFF0" w14:textId="77777777" w:rsidTr="00D848A9">
        <w:tc>
          <w:tcPr>
            <w:tcW w:w="482" w:type="dxa"/>
          </w:tcPr>
          <w:p w14:paraId="0233A7DD" w14:textId="77777777" w:rsidR="00AC6F9C" w:rsidRPr="00E554DE" w:rsidRDefault="00AC6F9C" w:rsidP="00906541">
            <w:pPr>
              <w:pStyle w:val="Tabletext"/>
              <w:rPr>
                <w:b/>
                <w:sz w:val="24"/>
                <w:szCs w:val="24"/>
              </w:rPr>
            </w:pPr>
            <w:r w:rsidRPr="00E554DE">
              <w:rPr>
                <w:b/>
                <w:sz w:val="24"/>
                <w:szCs w:val="24"/>
              </w:rPr>
              <w:t>6</w:t>
            </w:r>
          </w:p>
        </w:tc>
        <w:tc>
          <w:tcPr>
            <w:tcW w:w="7740" w:type="dxa"/>
          </w:tcPr>
          <w:p w14:paraId="12BB8921" w14:textId="248BF1E9" w:rsidR="00AC6F9C" w:rsidRPr="00E554DE" w:rsidRDefault="00A7631A" w:rsidP="00906541">
            <w:pPr>
              <w:pStyle w:val="Tabletext"/>
              <w:rPr>
                <w:sz w:val="24"/>
                <w:szCs w:val="24"/>
              </w:rPr>
            </w:pPr>
            <w:r w:rsidRPr="00E554DE">
              <w:rPr>
                <w:bCs/>
                <w:sz w:val="24"/>
                <w:szCs w:val="24"/>
              </w:rPr>
              <w:t>Cinquante et unième série de textes soumis par la Commission de rédaction en première lecture (B51)</w:t>
            </w:r>
          </w:p>
        </w:tc>
        <w:tc>
          <w:tcPr>
            <w:tcW w:w="1809" w:type="dxa"/>
            <w:vAlign w:val="center"/>
          </w:tcPr>
          <w:p w14:paraId="3F88612D" w14:textId="75DCA10D" w:rsidR="00AC6F9C" w:rsidRPr="00E554DE" w:rsidRDefault="00AC6F9C" w:rsidP="00906541">
            <w:pPr>
              <w:pStyle w:val="Tabletext"/>
              <w:jc w:val="center"/>
              <w:rPr>
                <w:sz w:val="24"/>
                <w:szCs w:val="24"/>
              </w:rPr>
            </w:pPr>
            <w:r w:rsidRPr="00E554DE">
              <w:rPr>
                <w:sz w:val="24"/>
                <w:szCs w:val="24"/>
              </w:rPr>
              <w:t>502(Rév.1)</w:t>
            </w:r>
          </w:p>
        </w:tc>
      </w:tr>
      <w:tr w:rsidR="00AC6F9C" w:rsidRPr="00E554DE" w14:paraId="5211C70E" w14:textId="77777777" w:rsidTr="00D848A9">
        <w:tc>
          <w:tcPr>
            <w:tcW w:w="482" w:type="dxa"/>
          </w:tcPr>
          <w:p w14:paraId="49AA2D29" w14:textId="77777777" w:rsidR="00AC6F9C" w:rsidRPr="00E554DE" w:rsidRDefault="00AC6F9C" w:rsidP="00906541">
            <w:pPr>
              <w:pStyle w:val="Tabletext"/>
              <w:rPr>
                <w:b/>
                <w:sz w:val="24"/>
                <w:szCs w:val="24"/>
              </w:rPr>
            </w:pPr>
            <w:r w:rsidRPr="00E554DE">
              <w:rPr>
                <w:b/>
                <w:sz w:val="24"/>
                <w:szCs w:val="24"/>
              </w:rPr>
              <w:t>7</w:t>
            </w:r>
          </w:p>
        </w:tc>
        <w:tc>
          <w:tcPr>
            <w:tcW w:w="7740" w:type="dxa"/>
          </w:tcPr>
          <w:p w14:paraId="20936B38" w14:textId="5F240F71" w:rsidR="00AC6F9C" w:rsidRPr="00E554DE" w:rsidRDefault="00A7631A" w:rsidP="00906541">
            <w:pPr>
              <w:pStyle w:val="Tabletext"/>
              <w:rPr>
                <w:sz w:val="24"/>
                <w:szCs w:val="24"/>
              </w:rPr>
            </w:pPr>
            <w:r w:rsidRPr="00E554DE">
              <w:rPr>
                <w:bCs/>
                <w:sz w:val="24"/>
                <w:szCs w:val="24"/>
              </w:rPr>
              <w:t>Cinquante-troisième série de textes soumis par la Commission de rédaction en première lecture (B53)</w:t>
            </w:r>
          </w:p>
        </w:tc>
        <w:tc>
          <w:tcPr>
            <w:tcW w:w="1809" w:type="dxa"/>
            <w:vAlign w:val="center"/>
          </w:tcPr>
          <w:p w14:paraId="5284F758" w14:textId="32506DF1" w:rsidR="00AC6F9C" w:rsidRPr="00E554DE" w:rsidRDefault="00AC6F9C" w:rsidP="00906541">
            <w:pPr>
              <w:pStyle w:val="Tabletext"/>
              <w:jc w:val="center"/>
              <w:rPr>
                <w:sz w:val="24"/>
                <w:szCs w:val="24"/>
              </w:rPr>
            </w:pPr>
            <w:r w:rsidRPr="00E554DE">
              <w:rPr>
                <w:sz w:val="24"/>
                <w:szCs w:val="24"/>
              </w:rPr>
              <w:t>509</w:t>
            </w:r>
          </w:p>
        </w:tc>
      </w:tr>
      <w:tr w:rsidR="00AC6F9C" w:rsidRPr="00E554DE" w14:paraId="773E81C3" w14:textId="77777777" w:rsidTr="00D848A9">
        <w:tc>
          <w:tcPr>
            <w:tcW w:w="482" w:type="dxa"/>
          </w:tcPr>
          <w:p w14:paraId="0F0E46FF" w14:textId="77777777" w:rsidR="00AC6F9C" w:rsidRPr="00E554DE" w:rsidRDefault="00AC6F9C" w:rsidP="00906541">
            <w:pPr>
              <w:pStyle w:val="Tabletext"/>
              <w:rPr>
                <w:b/>
                <w:sz w:val="24"/>
                <w:szCs w:val="24"/>
              </w:rPr>
            </w:pPr>
            <w:r w:rsidRPr="00E554DE">
              <w:rPr>
                <w:b/>
                <w:sz w:val="24"/>
                <w:szCs w:val="24"/>
              </w:rPr>
              <w:t>8</w:t>
            </w:r>
          </w:p>
        </w:tc>
        <w:tc>
          <w:tcPr>
            <w:tcW w:w="7740" w:type="dxa"/>
          </w:tcPr>
          <w:p w14:paraId="31C64F1F" w14:textId="74EFF421" w:rsidR="00AC6F9C" w:rsidRPr="00E554DE" w:rsidRDefault="00A7631A" w:rsidP="00906541">
            <w:pPr>
              <w:pStyle w:val="Tabletext"/>
              <w:rPr>
                <w:sz w:val="24"/>
                <w:szCs w:val="24"/>
              </w:rPr>
            </w:pPr>
            <w:r w:rsidRPr="00E554DE">
              <w:rPr>
                <w:bCs/>
                <w:sz w:val="24"/>
                <w:szCs w:val="24"/>
              </w:rPr>
              <w:t>Cinquante-troisième série de textes soumis par la Commission de rédaction (B53) – deuxième lecture</w:t>
            </w:r>
          </w:p>
        </w:tc>
        <w:tc>
          <w:tcPr>
            <w:tcW w:w="1809" w:type="dxa"/>
            <w:vAlign w:val="center"/>
          </w:tcPr>
          <w:p w14:paraId="1FD631BA" w14:textId="72FD9737" w:rsidR="00AC6F9C" w:rsidRPr="00E554DE" w:rsidRDefault="00AC6F9C" w:rsidP="00906541">
            <w:pPr>
              <w:pStyle w:val="Tabletext"/>
              <w:jc w:val="center"/>
              <w:rPr>
                <w:sz w:val="24"/>
                <w:szCs w:val="24"/>
              </w:rPr>
            </w:pPr>
            <w:r w:rsidRPr="00E554DE">
              <w:rPr>
                <w:sz w:val="24"/>
                <w:szCs w:val="24"/>
              </w:rPr>
              <w:t>509</w:t>
            </w:r>
          </w:p>
        </w:tc>
      </w:tr>
      <w:tr w:rsidR="00A7631A" w:rsidRPr="00E554DE" w14:paraId="6120208B" w14:textId="77777777" w:rsidTr="00D848A9">
        <w:tc>
          <w:tcPr>
            <w:tcW w:w="482" w:type="dxa"/>
          </w:tcPr>
          <w:p w14:paraId="340503D6" w14:textId="77777777" w:rsidR="00A7631A" w:rsidRPr="00E554DE" w:rsidRDefault="00A7631A" w:rsidP="00906541">
            <w:pPr>
              <w:pStyle w:val="Tabletext"/>
              <w:rPr>
                <w:b/>
                <w:sz w:val="24"/>
                <w:szCs w:val="24"/>
              </w:rPr>
            </w:pPr>
            <w:r w:rsidRPr="00E554DE">
              <w:rPr>
                <w:b/>
                <w:sz w:val="24"/>
                <w:szCs w:val="24"/>
              </w:rPr>
              <w:t>9</w:t>
            </w:r>
          </w:p>
        </w:tc>
        <w:tc>
          <w:tcPr>
            <w:tcW w:w="7740" w:type="dxa"/>
          </w:tcPr>
          <w:p w14:paraId="3F70F518" w14:textId="5DE3C13F" w:rsidR="00A7631A" w:rsidRPr="00E554DE" w:rsidRDefault="00A7631A" w:rsidP="00906541">
            <w:pPr>
              <w:pStyle w:val="Tabletext"/>
              <w:rPr>
                <w:sz w:val="24"/>
                <w:szCs w:val="24"/>
              </w:rPr>
            </w:pPr>
            <w:r w:rsidRPr="00E554DE">
              <w:rPr>
                <w:bCs/>
                <w:sz w:val="24"/>
                <w:szCs w:val="24"/>
              </w:rPr>
              <w:t>Cinquante-quatrième série de textes soumis par la Commission de rédaction en première lecture (B54)</w:t>
            </w:r>
          </w:p>
        </w:tc>
        <w:tc>
          <w:tcPr>
            <w:tcW w:w="1809" w:type="dxa"/>
            <w:vAlign w:val="center"/>
          </w:tcPr>
          <w:p w14:paraId="6B777714" w14:textId="4337162A" w:rsidR="00A7631A" w:rsidRPr="00E554DE" w:rsidRDefault="00A7631A" w:rsidP="00906541">
            <w:pPr>
              <w:pStyle w:val="Tabletext"/>
              <w:jc w:val="center"/>
              <w:rPr>
                <w:sz w:val="24"/>
                <w:szCs w:val="24"/>
              </w:rPr>
            </w:pPr>
            <w:r w:rsidRPr="00E554DE">
              <w:rPr>
                <w:sz w:val="24"/>
                <w:szCs w:val="24"/>
              </w:rPr>
              <w:t>512</w:t>
            </w:r>
          </w:p>
        </w:tc>
      </w:tr>
      <w:tr w:rsidR="00A7631A" w:rsidRPr="00E554DE" w14:paraId="3C138D33" w14:textId="77777777" w:rsidTr="00D848A9">
        <w:tc>
          <w:tcPr>
            <w:tcW w:w="482" w:type="dxa"/>
          </w:tcPr>
          <w:p w14:paraId="288D4C17" w14:textId="77777777" w:rsidR="00A7631A" w:rsidRPr="00E554DE" w:rsidRDefault="00A7631A" w:rsidP="00906541">
            <w:pPr>
              <w:pStyle w:val="Tabletext"/>
              <w:rPr>
                <w:b/>
                <w:sz w:val="24"/>
                <w:szCs w:val="24"/>
              </w:rPr>
            </w:pPr>
            <w:r w:rsidRPr="00E554DE">
              <w:rPr>
                <w:b/>
                <w:sz w:val="24"/>
                <w:szCs w:val="24"/>
              </w:rPr>
              <w:t>10</w:t>
            </w:r>
          </w:p>
        </w:tc>
        <w:tc>
          <w:tcPr>
            <w:tcW w:w="7740" w:type="dxa"/>
          </w:tcPr>
          <w:p w14:paraId="4FACCECB" w14:textId="44B5A0D0" w:rsidR="00A7631A" w:rsidRPr="00E554DE" w:rsidRDefault="00A7631A" w:rsidP="00906541">
            <w:pPr>
              <w:pStyle w:val="Tabletext"/>
              <w:rPr>
                <w:sz w:val="24"/>
                <w:szCs w:val="24"/>
              </w:rPr>
            </w:pPr>
            <w:r w:rsidRPr="00E554DE">
              <w:rPr>
                <w:bCs/>
                <w:sz w:val="24"/>
                <w:szCs w:val="24"/>
              </w:rPr>
              <w:t>Cinquante-quatrième série de textes soumis par la Commission de rédaction (B54) – deuxième lecture</w:t>
            </w:r>
          </w:p>
        </w:tc>
        <w:tc>
          <w:tcPr>
            <w:tcW w:w="1809" w:type="dxa"/>
            <w:vAlign w:val="center"/>
          </w:tcPr>
          <w:p w14:paraId="338623AE" w14:textId="2368EE9C" w:rsidR="00A7631A" w:rsidRPr="00E554DE" w:rsidRDefault="00A7631A" w:rsidP="00906541">
            <w:pPr>
              <w:pStyle w:val="Tabletext"/>
              <w:jc w:val="center"/>
              <w:rPr>
                <w:sz w:val="24"/>
                <w:szCs w:val="24"/>
              </w:rPr>
            </w:pPr>
            <w:r w:rsidRPr="00E554DE">
              <w:rPr>
                <w:sz w:val="24"/>
                <w:szCs w:val="24"/>
              </w:rPr>
              <w:t>512</w:t>
            </w:r>
          </w:p>
        </w:tc>
      </w:tr>
      <w:tr w:rsidR="00A7631A" w:rsidRPr="00E554DE" w14:paraId="6DDDE0C4" w14:textId="77777777" w:rsidTr="00D848A9">
        <w:tc>
          <w:tcPr>
            <w:tcW w:w="482" w:type="dxa"/>
          </w:tcPr>
          <w:p w14:paraId="551C9FD7" w14:textId="77777777" w:rsidR="00A7631A" w:rsidRPr="00E554DE" w:rsidRDefault="00A7631A" w:rsidP="00906541">
            <w:pPr>
              <w:pStyle w:val="Tabletext"/>
              <w:rPr>
                <w:b/>
                <w:sz w:val="24"/>
                <w:szCs w:val="24"/>
              </w:rPr>
            </w:pPr>
            <w:r w:rsidRPr="00E554DE">
              <w:rPr>
                <w:b/>
                <w:sz w:val="24"/>
                <w:szCs w:val="24"/>
              </w:rPr>
              <w:t>11</w:t>
            </w:r>
          </w:p>
        </w:tc>
        <w:tc>
          <w:tcPr>
            <w:tcW w:w="7740" w:type="dxa"/>
          </w:tcPr>
          <w:p w14:paraId="462CCB6E" w14:textId="0AE3E59E" w:rsidR="00A7631A" w:rsidRPr="00E554DE" w:rsidRDefault="00A7631A" w:rsidP="00906541">
            <w:pPr>
              <w:pStyle w:val="Tabletext"/>
              <w:rPr>
                <w:sz w:val="24"/>
                <w:szCs w:val="24"/>
              </w:rPr>
            </w:pPr>
            <w:r w:rsidRPr="00E554DE">
              <w:rPr>
                <w:bCs/>
                <w:sz w:val="24"/>
                <w:szCs w:val="24"/>
              </w:rPr>
              <w:t>Cinquante-cinquième série de textes soumis par la Commission de rédaction en première lecture (B55)</w:t>
            </w:r>
          </w:p>
        </w:tc>
        <w:tc>
          <w:tcPr>
            <w:tcW w:w="1809" w:type="dxa"/>
            <w:vAlign w:val="center"/>
          </w:tcPr>
          <w:p w14:paraId="3F850A03" w14:textId="2D29D858" w:rsidR="00A7631A" w:rsidRPr="00E554DE" w:rsidRDefault="00A7631A" w:rsidP="00906541">
            <w:pPr>
              <w:pStyle w:val="Tabletext"/>
              <w:jc w:val="center"/>
              <w:rPr>
                <w:sz w:val="24"/>
                <w:szCs w:val="24"/>
              </w:rPr>
            </w:pPr>
            <w:r w:rsidRPr="00E554DE">
              <w:rPr>
                <w:sz w:val="24"/>
                <w:szCs w:val="24"/>
              </w:rPr>
              <w:t>513</w:t>
            </w:r>
          </w:p>
        </w:tc>
      </w:tr>
      <w:tr w:rsidR="00A7631A" w:rsidRPr="00E554DE" w14:paraId="4BF06A19" w14:textId="77777777" w:rsidTr="00D848A9">
        <w:tc>
          <w:tcPr>
            <w:tcW w:w="482" w:type="dxa"/>
          </w:tcPr>
          <w:p w14:paraId="7404AA93" w14:textId="77777777" w:rsidR="00A7631A" w:rsidRPr="00E554DE" w:rsidRDefault="00A7631A" w:rsidP="00906541">
            <w:pPr>
              <w:pStyle w:val="Tabletext"/>
              <w:rPr>
                <w:b/>
                <w:sz w:val="24"/>
                <w:szCs w:val="24"/>
              </w:rPr>
            </w:pPr>
            <w:r w:rsidRPr="00E554DE">
              <w:rPr>
                <w:b/>
                <w:sz w:val="24"/>
                <w:szCs w:val="24"/>
              </w:rPr>
              <w:t>12</w:t>
            </w:r>
          </w:p>
        </w:tc>
        <w:tc>
          <w:tcPr>
            <w:tcW w:w="7740" w:type="dxa"/>
          </w:tcPr>
          <w:p w14:paraId="7210AE7A" w14:textId="76D0ADC3" w:rsidR="00A7631A" w:rsidRPr="00E554DE" w:rsidRDefault="00A7631A" w:rsidP="00906541">
            <w:pPr>
              <w:pStyle w:val="Tabletext"/>
              <w:rPr>
                <w:sz w:val="24"/>
                <w:szCs w:val="24"/>
              </w:rPr>
            </w:pPr>
            <w:r w:rsidRPr="00E554DE">
              <w:rPr>
                <w:bCs/>
                <w:sz w:val="24"/>
                <w:szCs w:val="24"/>
              </w:rPr>
              <w:t>Cinquante-cinquième série de textes soumis par la Commission de rédaction (B55) – deuxième lecture</w:t>
            </w:r>
          </w:p>
        </w:tc>
        <w:tc>
          <w:tcPr>
            <w:tcW w:w="1809" w:type="dxa"/>
            <w:vAlign w:val="center"/>
          </w:tcPr>
          <w:p w14:paraId="05027FE0" w14:textId="5066F51B" w:rsidR="00A7631A" w:rsidRPr="00E554DE" w:rsidRDefault="00A7631A" w:rsidP="00906541">
            <w:pPr>
              <w:pStyle w:val="Tabletext"/>
              <w:jc w:val="center"/>
              <w:rPr>
                <w:sz w:val="24"/>
                <w:szCs w:val="24"/>
              </w:rPr>
            </w:pPr>
            <w:r w:rsidRPr="00E554DE">
              <w:rPr>
                <w:sz w:val="24"/>
                <w:szCs w:val="24"/>
              </w:rPr>
              <w:t>513</w:t>
            </w:r>
          </w:p>
        </w:tc>
      </w:tr>
      <w:tr w:rsidR="00A7631A" w:rsidRPr="00E554DE" w14:paraId="787B0ABE" w14:textId="77777777" w:rsidTr="00D848A9">
        <w:tc>
          <w:tcPr>
            <w:tcW w:w="482" w:type="dxa"/>
          </w:tcPr>
          <w:p w14:paraId="612323FC" w14:textId="77777777" w:rsidR="00A7631A" w:rsidRPr="00E554DE" w:rsidRDefault="00A7631A" w:rsidP="00906541">
            <w:pPr>
              <w:pStyle w:val="Tabletext"/>
              <w:rPr>
                <w:b/>
                <w:sz w:val="24"/>
                <w:szCs w:val="24"/>
              </w:rPr>
            </w:pPr>
            <w:r w:rsidRPr="00E554DE">
              <w:rPr>
                <w:b/>
                <w:sz w:val="24"/>
                <w:szCs w:val="24"/>
              </w:rPr>
              <w:lastRenderedPageBreak/>
              <w:t>13</w:t>
            </w:r>
          </w:p>
        </w:tc>
        <w:tc>
          <w:tcPr>
            <w:tcW w:w="7740" w:type="dxa"/>
          </w:tcPr>
          <w:p w14:paraId="1C2871C3" w14:textId="33A660E9" w:rsidR="00A7631A" w:rsidRPr="00E554DE" w:rsidRDefault="00A7631A" w:rsidP="00906541">
            <w:pPr>
              <w:pStyle w:val="Tabletext"/>
              <w:rPr>
                <w:sz w:val="24"/>
                <w:szCs w:val="24"/>
              </w:rPr>
            </w:pPr>
            <w:r w:rsidRPr="00E554DE">
              <w:rPr>
                <w:sz w:val="24"/>
                <w:szCs w:val="24"/>
              </w:rPr>
              <w:t>Cinquième rapport de la Commission 5 à la plénière</w:t>
            </w:r>
          </w:p>
        </w:tc>
        <w:tc>
          <w:tcPr>
            <w:tcW w:w="1809" w:type="dxa"/>
            <w:vAlign w:val="center"/>
          </w:tcPr>
          <w:p w14:paraId="56A0F8F1" w14:textId="646AF888" w:rsidR="00A7631A" w:rsidRPr="00E554DE" w:rsidRDefault="00A7631A" w:rsidP="00906541">
            <w:pPr>
              <w:pStyle w:val="Tabletext"/>
              <w:jc w:val="center"/>
              <w:rPr>
                <w:sz w:val="24"/>
                <w:szCs w:val="24"/>
              </w:rPr>
            </w:pPr>
            <w:r w:rsidRPr="00E554DE">
              <w:rPr>
                <w:sz w:val="24"/>
                <w:szCs w:val="24"/>
              </w:rPr>
              <w:t>494</w:t>
            </w:r>
          </w:p>
        </w:tc>
      </w:tr>
      <w:tr w:rsidR="00A7631A" w:rsidRPr="00E554DE" w14:paraId="6388F275" w14:textId="77777777" w:rsidTr="00D848A9">
        <w:tc>
          <w:tcPr>
            <w:tcW w:w="482" w:type="dxa"/>
          </w:tcPr>
          <w:p w14:paraId="23580905" w14:textId="77777777" w:rsidR="00A7631A" w:rsidRPr="00E554DE" w:rsidRDefault="00A7631A" w:rsidP="00906541">
            <w:pPr>
              <w:pStyle w:val="Tabletext"/>
              <w:rPr>
                <w:b/>
                <w:sz w:val="24"/>
                <w:szCs w:val="24"/>
              </w:rPr>
            </w:pPr>
            <w:r w:rsidRPr="00E554DE">
              <w:rPr>
                <w:b/>
                <w:sz w:val="24"/>
                <w:szCs w:val="24"/>
              </w:rPr>
              <w:t>14</w:t>
            </w:r>
          </w:p>
        </w:tc>
        <w:tc>
          <w:tcPr>
            <w:tcW w:w="7740" w:type="dxa"/>
          </w:tcPr>
          <w:p w14:paraId="035ED12C" w14:textId="67BA10EC" w:rsidR="00A7631A" w:rsidRPr="00E554DE" w:rsidRDefault="00A7631A" w:rsidP="00906541">
            <w:pPr>
              <w:pStyle w:val="Tabletext"/>
              <w:rPr>
                <w:sz w:val="24"/>
                <w:szCs w:val="24"/>
              </w:rPr>
            </w:pPr>
            <w:r w:rsidRPr="00E554DE">
              <w:rPr>
                <w:sz w:val="24"/>
                <w:szCs w:val="24"/>
              </w:rPr>
              <w:t>Sixième rapport de la Commission 5 à la plénière</w:t>
            </w:r>
          </w:p>
        </w:tc>
        <w:tc>
          <w:tcPr>
            <w:tcW w:w="1809" w:type="dxa"/>
            <w:vAlign w:val="center"/>
          </w:tcPr>
          <w:p w14:paraId="678B3BFB" w14:textId="3F49FAB0" w:rsidR="00A7631A" w:rsidRPr="00E554DE" w:rsidRDefault="00A7631A" w:rsidP="00906541">
            <w:pPr>
              <w:pStyle w:val="Tabletext"/>
              <w:jc w:val="center"/>
              <w:rPr>
                <w:sz w:val="24"/>
                <w:szCs w:val="24"/>
              </w:rPr>
            </w:pPr>
            <w:r w:rsidRPr="00E554DE">
              <w:rPr>
                <w:sz w:val="24"/>
                <w:szCs w:val="24"/>
              </w:rPr>
              <w:t>495</w:t>
            </w:r>
          </w:p>
        </w:tc>
      </w:tr>
      <w:tr w:rsidR="00AC6F9C" w:rsidRPr="00E554DE" w14:paraId="0E0054A1" w14:textId="77777777" w:rsidTr="00D848A9">
        <w:tc>
          <w:tcPr>
            <w:tcW w:w="482" w:type="dxa"/>
          </w:tcPr>
          <w:p w14:paraId="09246288" w14:textId="3AAFC44C" w:rsidR="00AC6F9C" w:rsidRPr="00E554DE" w:rsidRDefault="00A7631A" w:rsidP="00906541">
            <w:pPr>
              <w:pStyle w:val="Tabletext"/>
              <w:rPr>
                <w:b/>
                <w:sz w:val="24"/>
                <w:szCs w:val="24"/>
              </w:rPr>
            </w:pPr>
            <w:r w:rsidRPr="00E554DE">
              <w:rPr>
                <w:b/>
                <w:sz w:val="24"/>
                <w:szCs w:val="24"/>
              </w:rPr>
              <w:t>15</w:t>
            </w:r>
          </w:p>
        </w:tc>
        <w:tc>
          <w:tcPr>
            <w:tcW w:w="7740" w:type="dxa"/>
          </w:tcPr>
          <w:p w14:paraId="53E49F99" w14:textId="2DE6A84A" w:rsidR="00AC6F9C" w:rsidRPr="00E554DE" w:rsidRDefault="00A7631A" w:rsidP="00906541">
            <w:pPr>
              <w:pStyle w:val="Tabletext"/>
              <w:rPr>
                <w:sz w:val="24"/>
                <w:szCs w:val="24"/>
              </w:rPr>
            </w:pPr>
            <w:r w:rsidRPr="00E554DE">
              <w:rPr>
                <w:sz w:val="24"/>
                <w:szCs w:val="24"/>
              </w:rPr>
              <w:t>Septième rapport de la Commission 5 à la plénière</w:t>
            </w:r>
          </w:p>
        </w:tc>
        <w:tc>
          <w:tcPr>
            <w:tcW w:w="1809" w:type="dxa"/>
            <w:vAlign w:val="center"/>
          </w:tcPr>
          <w:p w14:paraId="04CB8029" w14:textId="1422FDD8" w:rsidR="00AC6F9C" w:rsidRPr="00E554DE" w:rsidRDefault="00AC6F9C" w:rsidP="00906541">
            <w:pPr>
              <w:pStyle w:val="Tabletext"/>
              <w:jc w:val="center"/>
              <w:rPr>
                <w:sz w:val="24"/>
                <w:szCs w:val="24"/>
              </w:rPr>
            </w:pPr>
            <w:r w:rsidRPr="00E554DE">
              <w:rPr>
                <w:sz w:val="24"/>
                <w:szCs w:val="24"/>
              </w:rPr>
              <w:t>496</w:t>
            </w:r>
          </w:p>
        </w:tc>
      </w:tr>
      <w:tr w:rsidR="00A7631A" w:rsidRPr="00E554DE" w14:paraId="680C4010" w14:textId="77777777" w:rsidTr="00D848A9">
        <w:tc>
          <w:tcPr>
            <w:tcW w:w="482" w:type="dxa"/>
          </w:tcPr>
          <w:p w14:paraId="2315E502" w14:textId="1C5C40BB" w:rsidR="00A7631A" w:rsidRPr="00E554DE" w:rsidRDefault="00A7631A" w:rsidP="00906541">
            <w:pPr>
              <w:pStyle w:val="Tabletext"/>
              <w:rPr>
                <w:b/>
                <w:sz w:val="24"/>
                <w:szCs w:val="24"/>
              </w:rPr>
            </w:pPr>
            <w:r w:rsidRPr="00E554DE">
              <w:rPr>
                <w:b/>
                <w:sz w:val="24"/>
                <w:szCs w:val="24"/>
              </w:rPr>
              <w:t>16</w:t>
            </w:r>
          </w:p>
        </w:tc>
        <w:tc>
          <w:tcPr>
            <w:tcW w:w="7740" w:type="dxa"/>
          </w:tcPr>
          <w:p w14:paraId="19FF3720" w14:textId="618BA1AC" w:rsidR="00A7631A" w:rsidRPr="00E554DE" w:rsidRDefault="00A7631A" w:rsidP="00906541">
            <w:pPr>
              <w:pStyle w:val="Tabletext"/>
              <w:rPr>
                <w:sz w:val="24"/>
                <w:szCs w:val="24"/>
              </w:rPr>
            </w:pPr>
            <w:r w:rsidRPr="00E554DE">
              <w:rPr>
                <w:bCs/>
                <w:sz w:val="24"/>
                <w:szCs w:val="24"/>
              </w:rPr>
              <w:t>Cinquante-deuxième série de textes soumis par la Commission de rédaction en première lecture (B52)</w:t>
            </w:r>
          </w:p>
        </w:tc>
        <w:tc>
          <w:tcPr>
            <w:tcW w:w="1809" w:type="dxa"/>
            <w:vAlign w:val="center"/>
          </w:tcPr>
          <w:p w14:paraId="6EF27F58" w14:textId="1D70FB06" w:rsidR="00A7631A" w:rsidRPr="00E554DE" w:rsidRDefault="00A7631A" w:rsidP="00906541">
            <w:pPr>
              <w:pStyle w:val="Tabletext"/>
              <w:jc w:val="center"/>
              <w:rPr>
                <w:sz w:val="24"/>
                <w:szCs w:val="24"/>
              </w:rPr>
            </w:pPr>
            <w:r w:rsidRPr="00E554DE">
              <w:rPr>
                <w:sz w:val="24"/>
                <w:szCs w:val="24"/>
              </w:rPr>
              <w:t>508</w:t>
            </w:r>
          </w:p>
        </w:tc>
      </w:tr>
      <w:tr w:rsidR="00A7631A" w:rsidRPr="00E554DE" w14:paraId="3D0C28CB" w14:textId="77777777" w:rsidTr="00D848A9">
        <w:tc>
          <w:tcPr>
            <w:tcW w:w="482" w:type="dxa"/>
          </w:tcPr>
          <w:p w14:paraId="268C1261" w14:textId="288F8ED4" w:rsidR="00A7631A" w:rsidRPr="00E554DE" w:rsidRDefault="00A7631A" w:rsidP="00906541">
            <w:pPr>
              <w:pStyle w:val="Tabletext"/>
              <w:rPr>
                <w:b/>
                <w:sz w:val="24"/>
                <w:szCs w:val="24"/>
              </w:rPr>
            </w:pPr>
            <w:r w:rsidRPr="00E554DE">
              <w:rPr>
                <w:b/>
                <w:sz w:val="24"/>
                <w:szCs w:val="24"/>
              </w:rPr>
              <w:t>17</w:t>
            </w:r>
          </w:p>
        </w:tc>
        <w:tc>
          <w:tcPr>
            <w:tcW w:w="7740" w:type="dxa"/>
          </w:tcPr>
          <w:p w14:paraId="66A9E821" w14:textId="374F7366" w:rsidR="00A7631A" w:rsidRPr="00E554DE" w:rsidRDefault="00A7631A" w:rsidP="00906541">
            <w:pPr>
              <w:pStyle w:val="Tabletext"/>
              <w:rPr>
                <w:sz w:val="24"/>
                <w:szCs w:val="24"/>
              </w:rPr>
            </w:pPr>
            <w:r w:rsidRPr="00E554DE">
              <w:rPr>
                <w:bCs/>
                <w:sz w:val="24"/>
                <w:szCs w:val="24"/>
              </w:rPr>
              <w:t>Cinquante-deuxième série de textes soumis par la Commission de rédaction (B52) – deuxième lecture</w:t>
            </w:r>
          </w:p>
        </w:tc>
        <w:tc>
          <w:tcPr>
            <w:tcW w:w="1809" w:type="dxa"/>
            <w:vAlign w:val="center"/>
          </w:tcPr>
          <w:p w14:paraId="1F3B327A" w14:textId="125AC776" w:rsidR="00A7631A" w:rsidRPr="00E554DE" w:rsidRDefault="00A7631A" w:rsidP="00906541">
            <w:pPr>
              <w:pStyle w:val="Tabletext"/>
              <w:jc w:val="center"/>
              <w:rPr>
                <w:sz w:val="24"/>
                <w:szCs w:val="24"/>
              </w:rPr>
            </w:pPr>
            <w:r w:rsidRPr="00E554DE">
              <w:rPr>
                <w:sz w:val="24"/>
                <w:szCs w:val="24"/>
              </w:rPr>
              <w:t>508</w:t>
            </w:r>
          </w:p>
        </w:tc>
      </w:tr>
      <w:tr w:rsidR="00AC6F9C" w:rsidRPr="00E554DE" w14:paraId="3E5CC7AD" w14:textId="77777777" w:rsidTr="00D848A9">
        <w:tc>
          <w:tcPr>
            <w:tcW w:w="482" w:type="dxa"/>
          </w:tcPr>
          <w:p w14:paraId="0C9B8AAC" w14:textId="5F441429" w:rsidR="00AC6F9C" w:rsidRPr="00E554DE" w:rsidRDefault="00A7631A" w:rsidP="00906541">
            <w:pPr>
              <w:pStyle w:val="Tabletext"/>
              <w:rPr>
                <w:b/>
                <w:sz w:val="24"/>
                <w:szCs w:val="24"/>
              </w:rPr>
            </w:pPr>
            <w:r w:rsidRPr="00E554DE">
              <w:rPr>
                <w:b/>
                <w:sz w:val="24"/>
                <w:szCs w:val="24"/>
              </w:rPr>
              <w:t>18</w:t>
            </w:r>
          </w:p>
        </w:tc>
        <w:tc>
          <w:tcPr>
            <w:tcW w:w="7740" w:type="dxa"/>
          </w:tcPr>
          <w:p w14:paraId="4623B2D0" w14:textId="32D65FC5" w:rsidR="00AC6F9C" w:rsidRPr="00E554DE" w:rsidRDefault="005B0151" w:rsidP="00906541">
            <w:pPr>
              <w:pStyle w:val="Tabletext"/>
              <w:rPr>
                <w:sz w:val="24"/>
                <w:szCs w:val="24"/>
              </w:rPr>
            </w:pPr>
            <w:r w:rsidRPr="00E554DE">
              <w:rPr>
                <w:sz w:val="24"/>
                <w:szCs w:val="24"/>
              </w:rPr>
              <w:t xml:space="preserve">Note du Groupe ad hoc de la Commission 4 </w:t>
            </w:r>
            <w:r w:rsidR="006E786C" w:rsidRPr="00E554DE">
              <w:rPr>
                <w:sz w:val="24"/>
                <w:szCs w:val="24"/>
              </w:rPr>
              <w:t>à la plénière</w:t>
            </w:r>
          </w:p>
        </w:tc>
        <w:tc>
          <w:tcPr>
            <w:tcW w:w="1809" w:type="dxa"/>
            <w:vAlign w:val="center"/>
          </w:tcPr>
          <w:p w14:paraId="628FB698" w14:textId="336B0B3A" w:rsidR="00AC6F9C" w:rsidRPr="00E554DE" w:rsidRDefault="00AC6F9C" w:rsidP="00906541">
            <w:pPr>
              <w:pStyle w:val="Tabletext"/>
              <w:jc w:val="center"/>
              <w:rPr>
                <w:sz w:val="24"/>
                <w:szCs w:val="24"/>
              </w:rPr>
            </w:pPr>
            <w:r w:rsidRPr="00E554DE">
              <w:rPr>
                <w:sz w:val="24"/>
                <w:szCs w:val="24"/>
              </w:rPr>
              <w:t>516(Rév.1)</w:t>
            </w:r>
          </w:p>
        </w:tc>
      </w:tr>
      <w:tr w:rsidR="00A7631A" w:rsidRPr="00E554DE" w14:paraId="7A522E3C" w14:textId="77777777" w:rsidTr="00D848A9">
        <w:tc>
          <w:tcPr>
            <w:tcW w:w="482" w:type="dxa"/>
          </w:tcPr>
          <w:p w14:paraId="7D10C76D" w14:textId="422E079A" w:rsidR="00A7631A" w:rsidRPr="00E554DE" w:rsidRDefault="00A7631A" w:rsidP="00906541">
            <w:pPr>
              <w:pStyle w:val="Tabletext"/>
              <w:rPr>
                <w:b/>
                <w:sz w:val="24"/>
                <w:szCs w:val="24"/>
              </w:rPr>
            </w:pPr>
            <w:r w:rsidRPr="00E554DE">
              <w:rPr>
                <w:b/>
                <w:sz w:val="24"/>
                <w:szCs w:val="24"/>
              </w:rPr>
              <w:t>19</w:t>
            </w:r>
          </w:p>
        </w:tc>
        <w:tc>
          <w:tcPr>
            <w:tcW w:w="7740" w:type="dxa"/>
          </w:tcPr>
          <w:p w14:paraId="07BFA958" w14:textId="1A2800F6" w:rsidR="00A7631A" w:rsidRPr="00E554DE" w:rsidRDefault="00A7631A" w:rsidP="00906541">
            <w:pPr>
              <w:pStyle w:val="Tabletext"/>
              <w:rPr>
                <w:sz w:val="24"/>
                <w:szCs w:val="24"/>
              </w:rPr>
            </w:pPr>
            <w:r w:rsidRPr="00E554DE">
              <w:rPr>
                <w:bCs/>
                <w:sz w:val="24"/>
                <w:szCs w:val="24"/>
              </w:rPr>
              <w:t>Quarante</w:t>
            </w:r>
            <w:r w:rsidR="00785CCD" w:rsidRPr="00E554DE">
              <w:rPr>
                <w:bCs/>
                <w:sz w:val="24"/>
                <w:szCs w:val="24"/>
              </w:rPr>
              <w:t xml:space="preserve"> </w:t>
            </w:r>
            <w:r w:rsidRPr="00E554DE">
              <w:rPr>
                <w:bCs/>
                <w:sz w:val="24"/>
                <w:szCs w:val="24"/>
              </w:rPr>
              <w:t>et</w:t>
            </w:r>
            <w:r w:rsidR="00785CCD" w:rsidRPr="00E554DE">
              <w:rPr>
                <w:bCs/>
                <w:sz w:val="24"/>
                <w:szCs w:val="24"/>
              </w:rPr>
              <w:t xml:space="preserve"> </w:t>
            </w:r>
            <w:r w:rsidRPr="00E554DE">
              <w:rPr>
                <w:bCs/>
                <w:sz w:val="24"/>
                <w:szCs w:val="24"/>
              </w:rPr>
              <w:t>unième série de textes soumis par la Commission de rédaction en première lecture (B41)</w:t>
            </w:r>
          </w:p>
        </w:tc>
        <w:tc>
          <w:tcPr>
            <w:tcW w:w="1809" w:type="dxa"/>
            <w:vAlign w:val="center"/>
          </w:tcPr>
          <w:p w14:paraId="5ED05B7A" w14:textId="5E318287" w:rsidR="00A7631A" w:rsidRPr="00E554DE" w:rsidRDefault="00A7631A" w:rsidP="00906541">
            <w:pPr>
              <w:pStyle w:val="Tabletext"/>
              <w:jc w:val="center"/>
              <w:rPr>
                <w:sz w:val="24"/>
                <w:szCs w:val="24"/>
              </w:rPr>
            </w:pPr>
            <w:r w:rsidRPr="00E554DE">
              <w:rPr>
                <w:sz w:val="24"/>
                <w:szCs w:val="24"/>
              </w:rPr>
              <w:t>481</w:t>
            </w:r>
          </w:p>
        </w:tc>
      </w:tr>
      <w:tr w:rsidR="00A7631A" w:rsidRPr="00E554DE" w14:paraId="022C11EB" w14:textId="77777777" w:rsidTr="00D848A9">
        <w:tc>
          <w:tcPr>
            <w:tcW w:w="482" w:type="dxa"/>
          </w:tcPr>
          <w:p w14:paraId="5910E7B4" w14:textId="75A0951B" w:rsidR="00A7631A" w:rsidRPr="00E554DE" w:rsidRDefault="00A7631A" w:rsidP="00906541">
            <w:pPr>
              <w:pStyle w:val="Tabletext"/>
              <w:rPr>
                <w:b/>
                <w:sz w:val="24"/>
                <w:szCs w:val="24"/>
              </w:rPr>
            </w:pPr>
            <w:r w:rsidRPr="00E554DE">
              <w:rPr>
                <w:b/>
                <w:sz w:val="24"/>
                <w:szCs w:val="24"/>
              </w:rPr>
              <w:t>20</w:t>
            </w:r>
          </w:p>
        </w:tc>
        <w:tc>
          <w:tcPr>
            <w:tcW w:w="7740" w:type="dxa"/>
          </w:tcPr>
          <w:p w14:paraId="7895C81E" w14:textId="290C69BD" w:rsidR="00A7631A" w:rsidRPr="00E554DE" w:rsidRDefault="00A7631A" w:rsidP="00906541">
            <w:pPr>
              <w:pStyle w:val="Tabletext"/>
              <w:rPr>
                <w:sz w:val="24"/>
                <w:szCs w:val="24"/>
              </w:rPr>
            </w:pPr>
            <w:r w:rsidRPr="00E554DE">
              <w:rPr>
                <w:bCs/>
                <w:sz w:val="24"/>
                <w:szCs w:val="24"/>
              </w:rPr>
              <w:t>Quarante</w:t>
            </w:r>
            <w:r w:rsidR="00785CCD" w:rsidRPr="00E554DE">
              <w:rPr>
                <w:bCs/>
                <w:sz w:val="24"/>
                <w:szCs w:val="24"/>
              </w:rPr>
              <w:t xml:space="preserve"> </w:t>
            </w:r>
            <w:r w:rsidRPr="00E554DE">
              <w:rPr>
                <w:bCs/>
                <w:sz w:val="24"/>
                <w:szCs w:val="24"/>
              </w:rPr>
              <w:t>et</w:t>
            </w:r>
            <w:r w:rsidR="00785CCD" w:rsidRPr="00E554DE">
              <w:rPr>
                <w:bCs/>
                <w:sz w:val="24"/>
                <w:szCs w:val="24"/>
              </w:rPr>
              <w:t xml:space="preserve"> </w:t>
            </w:r>
            <w:r w:rsidRPr="00E554DE">
              <w:rPr>
                <w:bCs/>
                <w:sz w:val="24"/>
                <w:szCs w:val="24"/>
              </w:rPr>
              <w:t>unième série de textes soumis par la Commission de rédaction (B41) – deuxième lecture</w:t>
            </w:r>
          </w:p>
        </w:tc>
        <w:tc>
          <w:tcPr>
            <w:tcW w:w="1809" w:type="dxa"/>
            <w:vAlign w:val="center"/>
          </w:tcPr>
          <w:p w14:paraId="252B1E09" w14:textId="2C6963A3" w:rsidR="00A7631A" w:rsidRPr="00E554DE" w:rsidRDefault="00A7631A" w:rsidP="00906541">
            <w:pPr>
              <w:pStyle w:val="Tabletext"/>
              <w:jc w:val="center"/>
              <w:rPr>
                <w:sz w:val="24"/>
                <w:szCs w:val="24"/>
              </w:rPr>
            </w:pPr>
            <w:r w:rsidRPr="00E554DE">
              <w:rPr>
                <w:sz w:val="24"/>
                <w:szCs w:val="24"/>
              </w:rPr>
              <w:t>481</w:t>
            </w:r>
          </w:p>
        </w:tc>
      </w:tr>
      <w:tr w:rsidR="00AC6F9C" w:rsidRPr="00E554DE" w14:paraId="17429A80" w14:textId="77777777" w:rsidTr="00D848A9">
        <w:tc>
          <w:tcPr>
            <w:tcW w:w="482" w:type="dxa"/>
          </w:tcPr>
          <w:p w14:paraId="3DE507A2" w14:textId="081D4BE1" w:rsidR="00AC6F9C" w:rsidRPr="00E554DE" w:rsidRDefault="00A7631A" w:rsidP="00906541">
            <w:pPr>
              <w:pStyle w:val="Tabletext"/>
              <w:rPr>
                <w:b/>
                <w:sz w:val="24"/>
                <w:szCs w:val="24"/>
              </w:rPr>
            </w:pPr>
            <w:r w:rsidRPr="00E554DE">
              <w:rPr>
                <w:b/>
                <w:sz w:val="24"/>
                <w:szCs w:val="24"/>
              </w:rPr>
              <w:t>21</w:t>
            </w:r>
          </w:p>
        </w:tc>
        <w:tc>
          <w:tcPr>
            <w:tcW w:w="7740" w:type="dxa"/>
          </w:tcPr>
          <w:p w14:paraId="1662A1A7" w14:textId="6524D404" w:rsidR="00AC6F9C" w:rsidRPr="00E554DE" w:rsidRDefault="00463AE9" w:rsidP="00906541">
            <w:pPr>
              <w:pStyle w:val="Tabletext"/>
              <w:rPr>
                <w:sz w:val="24"/>
                <w:szCs w:val="24"/>
              </w:rPr>
            </w:pPr>
            <w:r w:rsidRPr="00E554DE">
              <w:rPr>
                <w:sz w:val="24"/>
                <w:szCs w:val="24"/>
              </w:rPr>
              <w:t>Note du Groupe ad hoc de la Commission 4</w:t>
            </w:r>
            <w:r w:rsidR="006E786C" w:rsidRPr="00E554DE">
              <w:rPr>
                <w:sz w:val="24"/>
                <w:szCs w:val="24"/>
              </w:rPr>
              <w:t xml:space="preserve"> à la plénière</w:t>
            </w:r>
          </w:p>
        </w:tc>
        <w:tc>
          <w:tcPr>
            <w:tcW w:w="1809" w:type="dxa"/>
            <w:vAlign w:val="center"/>
          </w:tcPr>
          <w:p w14:paraId="60E0484D" w14:textId="622041F3" w:rsidR="00AC6F9C" w:rsidRPr="00E554DE" w:rsidRDefault="00AC6F9C" w:rsidP="00906541">
            <w:pPr>
              <w:pStyle w:val="Tabletext"/>
              <w:jc w:val="center"/>
              <w:rPr>
                <w:sz w:val="24"/>
                <w:szCs w:val="24"/>
              </w:rPr>
            </w:pPr>
            <w:r w:rsidRPr="00E554DE">
              <w:rPr>
                <w:sz w:val="24"/>
                <w:szCs w:val="24"/>
              </w:rPr>
              <w:t>517</w:t>
            </w:r>
          </w:p>
        </w:tc>
      </w:tr>
      <w:tr w:rsidR="00A7631A" w:rsidRPr="00E554DE" w14:paraId="3E1D57AD" w14:textId="77777777" w:rsidTr="00D848A9">
        <w:tc>
          <w:tcPr>
            <w:tcW w:w="482" w:type="dxa"/>
          </w:tcPr>
          <w:p w14:paraId="017B6537" w14:textId="5591565D" w:rsidR="00A7631A" w:rsidRPr="00E554DE" w:rsidRDefault="00A7631A" w:rsidP="00906541">
            <w:pPr>
              <w:pStyle w:val="Tabletext"/>
              <w:rPr>
                <w:b/>
                <w:sz w:val="24"/>
                <w:szCs w:val="24"/>
              </w:rPr>
            </w:pPr>
            <w:r w:rsidRPr="00E554DE">
              <w:rPr>
                <w:b/>
                <w:sz w:val="24"/>
                <w:szCs w:val="24"/>
              </w:rPr>
              <w:t>22</w:t>
            </w:r>
          </w:p>
        </w:tc>
        <w:tc>
          <w:tcPr>
            <w:tcW w:w="7740" w:type="dxa"/>
          </w:tcPr>
          <w:p w14:paraId="75E698A3" w14:textId="34EE8971" w:rsidR="00A7631A" w:rsidRPr="00E554DE" w:rsidRDefault="00A7631A" w:rsidP="00906541">
            <w:pPr>
              <w:pStyle w:val="Tabletext"/>
              <w:rPr>
                <w:sz w:val="24"/>
                <w:szCs w:val="24"/>
              </w:rPr>
            </w:pPr>
            <w:r w:rsidRPr="00E554DE">
              <w:rPr>
                <w:bCs/>
                <w:sz w:val="24"/>
                <w:szCs w:val="24"/>
              </w:rPr>
              <w:t>Cinquante-sixième série de textes soumis par la Commission de rédaction en première lecture (B56)</w:t>
            </w:r>
          </w:p>
        </w:tc>
        <w:tc>
          <w:tcPr>
            <w:tcW w:w="1809" w:type="dxa"/>
            <w:vAlign w:val="center"/>
          </w:tcPr>
          <w:p w14:paraId="2A7AA51F" w14:textId="0A8EEA09" w:rsidR="00A7631A" w:rsidRPr="00E554DE" w:rsidRDefault="00A7631A" w:rsidP="00906541">
            <w:pPr>
              <w:pStyle w:val="Tabletext"/>
              <w:jc w:val="center"/>
              <w:rPr>
                <w:sz w:val="24"/>
                <w:szCs w:val="24"/>
              </w:rPr>
            </w:pPr>
            <w:r w:rsidRPr="00E554DE">
              <w:rPr>
                <w:sz w:val="24"/>
                <w:szCs w:val="24"/>
              </w:rPr>
              <w:t>515</w:t>
            </w:r>
          </w:p>
        </w:tc>
      </w:tr>
      <w:tr w:rsidR="00A7631A" w:rsidRPr="00E554DE" w14:paraId="203F1BA4" w14:textId="77777777" w:rsidTr="00D848A9">
        <w:tc>
          <w:tcPr>
            <w:tcW w:w="482" w:type="dxa"/>
          </w:tcPr>
          <w:p w14:paraId="489B7D21" w14:textId="152AA176" w:rsidR="00A7631A" w:rsidRPr="00E554DE" w:rsidRDefault="00A7631A" w:rsidP="00906541">
            <w:pPr>
              <w:pStyle w:val="Tabletext"/>
              <w:rPr>
                <w:b/>
                <w:sz w:val="24"/>
                <w:szCs w:val="24"/>
              </w:rPr>
            </w:pPr>
            <w:r w:rsidRPr="00E554DE">
              <w:rPr>
                <w:b/>
                <w:sz w:val="24"/>
                <w:szCs w:val="24"/>
              </w:rPr>
              <w:t>23</w:t>
            </w:r>
          </w:p>
        </w:tc>
        <w:tc>
          <w:tcPr>
            <w:tcW w:w="7740" w:type="dxa"/>
          </w:tcPr>
          <w:p w14:paraId="101C2F23" w14:textId="6F3479DD" w:rsidR="00A7631A" w:rsidRPr="00E554DE" w:rsidRDefault="00A7631A" w:rsidP="00906541">
            <w:pPr>
              <w:pStyle w:val="Tabletext"/>
              <w:rPr>
                <w:sz w:val="24"/>
                <w:szCs w:val="24"/>
              </w:rPr>
            </w:pPr>
            <w:r w:rsidRPr="00E554DE">
              <w:rPr>
                <w:bCs/>
                <w:sz w:val="24"/>
                <w:szCs w:val="24"/>
              </w:rPr>
              <w:t>Cinquante-sixième série de textes soumis par la Commission de rédaction (B56) – deuxième lecture</w:t>
            </w:r>
          </w:p>
        </w:tc>
        <w:tc>
          <w:tcPr>
            <w:tcW w:w="1809" w:type="dxa"/>
            <w:vAlign w:val="center"/>
          </w:tcPr>
          <w:p w14:paraId="24490485" w14:textId="27B51E2F" w:rsidR="00A7631A" w:rsidRPr="00E554DE" w:rsidRDefault="00A7631A" w:rsidP="00906541">
            <w:pPr>
              <w:pStyle w:val="Tabletext"/>
              <w:jc w:val="center"/>
              <w:rPr>
                <w:sz w:val="24"/>
                <w:szCs w:val="24"/>
              </w:rPr>
            </w:pPr>
            <w:r w:rsidRPr="00E554DE">
              <w:rPr>
                <w:sz w:val="24"/>
                <w:szCs w:val="24"/>
              </w:rPr>
              <w:t>515</w:t>
            </w:r>
          </w:p>
        </w:tc>
      </w:tr>
      <w:tr w:rsidR="00AC6F9C" w:rsidRPr="00E554DE" w14:paraId="6751E5D6" w14:textId="77777777" w:rsidTr="00D848A9">
        <w:tc>
          <w:tcPr>
            <w:tcW w:w="482" w:type="dxa"/>
          </w:tcPr>
          <w:p w14:paraId="73F3BCD3" w14:textId="2F89132F" w:rsidR="00AC6F9C" w:rsidRPr="00E554DE" w:rsidRDefault="00A7631A" w:rsidP="00906541">
            <w:pPr>
              <w:pStyle w:val="Tabletext"/>
              <w:rPr>
                <w:b/>
                <w:sz w:val="24"/>
                <w:szCs w:val="24"/>
              </w:rPr>
            </w:pPr>
            <w:r w:rsidRPr="00E554DE">
              <w:rPr>
                <w:b/>
                <w:sz w:val="24"/>
                <w:szCs w:val="24"/>
              </w:rPr>
              <w:t>24</w:t>
            </w:r>
          </w:p>
        </w:tc>
        <w:tc>
          <w:tcPr>
            <w:tcW w:w="7740" w:type="dxa"/>
          </w:tcPr>
          <w:p w14:paraId="689FD4D3" w14:textId="50E69A48" w:rsidR="00AC6F9C" w:rsidRPr="00E554DE" w:rsidRDefault="00463AE9" w:rsidP="00906541">
            <w:pPr>
              <w:pStyle w:val="Tabletext"/>
              <w:rPr>
                <w:sz w:val="24"/>
                <w:szCs w:val="24"/>
              </w:rPr>
            </w:pPr>
            <w:r w:rsidRPr="00E554DE">
              <w:rPr>
                <w:sz w:val="24"/>
                <w:szCs w:val="24"/>
              </w:rPr>
              <w:t>Note du Groupe ad hoc de la Commission 4</w:t>
            </w:r>
            <w:r w:rsidR="005B0151" w:rsidRPr="00E554DE">
              <w:rPr>
                <w:sz w:val="24"/>
                <w:szCs w:val="24"/>
              </w:rPr>
              <w:t xml:space="preserve"> </w:t>
            </w:r>
            <w:r w:rsidR="006E786C" w:rsidRPr="00E554DE">
              <w:rPr>
                <w:sz w:val="24"/>
                <w:szCs w:val="24"/>
              </w:rPr>
              <w:t xml:space="preserve">à la plénière </w:t>
            </w:r>
            <w:r w:rsidR="005B0151" w:rsidRPr="00E554DE">
              <w:rPr>
                <w:sz w:val="24"/>
                <w:szCs w:val="24"/>
              </w:rPr>
              <w:t>(suite)</w:t>
            </w:r>
          </w:p>
        </w:tc>
        <w:tc>
          <w:tcPr>
            <w:tcW w:w="1809" w:type="dxa"/>
            <w:vAlign w:val="center"/>
          </w:tcPr>
          <w:p w14:paraId="56B48B53" w14:textId="3FD49F60" w:rsidR="00AC6F9C" w:rsidRPr="00E554DE" w:rsidRDefault="00AC6F9C" w:rsidP="00906541">
            <w:pPr>
              <w:pStyle w:val="Tabletext"/>
              <w:jc w:val="center"/>
              <w:rPr>
                <w:sz w:val="24"/>
                <w:szCs w:val="24"/>
              </w:rPr>
            </w:pPr>
            <w:r w:rsidRPr="00E554DE">
              <w:rPr>
                <w:sz w:val="24"/>
                <w:szCs w:val="24"/>
              </w:rPr>
              <w:t>516(Rév.1)</w:t>
            </w:r>
          </w:p>
        </w:tc>
      </w:tr>
      <w:tr w:rsidR="00AC6F9C" w:rsidRPr="00E554DE" w14:paraId="2C085088" w14:textId="77777777" w:rsidTr="00D848A9">
        <w:tc>
          <w:tcPr>
            <w:tcW w:w="482" w:type="dxa"/>
          </w:tcPr>
          <w:p w14:paraId="68EE9F67" w14:textId="14F4A3B2" w:rsidR="00AC6F9C" w:rsidRPr="00E554DE" w:rsidRDefault="00A7631A" w:rsidP="00906541">
            <w:pPr>
              <w:pStyle w:val="Tabletext"/>
              <w:rPr>
                <w:b/>
                <w:sz w:val="24"/>
                <w:szCs w:val="24"/>
              </w:rPr>
            </w:pPr>
            <w:r w:rsidRPr="00E554DE">
              <w:rPr>
                <w:b/>
                <w:sz w:val="24"/>
                <w:szCs w:val="24"/>
              </w:rPr>
              <w:t>25</w:t>
            </w:r>
          </w:p>
        </w:tc>
        <w:tc>
          <w:tcPr>
            <w:tcW w:w="7740" w:type="dxa"/>
          </w:tcPr>
          <w:p w14:paraId="25661CD1" w14:textId="4061008C" w:rsidR="00AC6F9C" w:rsidRPr="00E554DE" w:rsidRDefault="002B378B" w:rsidP="00906541">
            <w:pPr>
              <w:pStyle w:val="Tabletext"/>
              <w:rPr>
                <w:sz w:val="24"/>
                <w:szCs w:val="24"/>
              </w:rPr>
            </w:pPr>
            <w:r w:rsidRPr="00E554DE">
              <w:rPr>
                <w:sz w:val="24"/>
                <w:szCs w:val="24"/>
              </w:rPr>
              <w:t>Troisième</w:t>
            </w:r>
            <w:r w:rsidR="00A7631A" w:rsidRPr="00E554DE">
              <w:rPr>
                <w:sz w:val="24"/>
                <w:szCs w:val="24"/>
              </w:rPr>
              <w:t xml:space="preserve"> rapport de la Commission 4 à la plénière</w:t>
            </w:r>
          </w:p>
        </w:tc>
        <w:tc>
          <w:tcPr>
            <w:tcW w:w="1809" w:type="dxa"/>
            <w:vAlign w:val="center"/>
          </w:tcPr>
          <w:p w14:paraId="596C5511" w14:textId="270A5951" w:rsidR="00AC6F9C" w:rsidRPr="00E554DE" w:rsidRDefault="00AC6F9C" w:rsidP="00906541">
            <w:pPr>
              <w:pStyle w:val="Tabletext"/>
              <w:jc w:val="center"/>
              <w:rPr>
                <w:sz w:val="24"/>
                <w:szCs w:val="24"/>
              </w:rPr>
            </w:pPr>
            <w:r w:rsidRPr="00E554DE">
              <w:rPr>
                <w:sz w:val="24"/>
                <w:szCs w:val="24"/>
              </w:rPr>
              <w:t>465</w:t>
            </w:r>
          </w:p>
        </w:tc>
      </w:tr>
      <w:tr w:rsidR="005F6760" w:rsidRPr="00E554DE" w14:paraId="72FC07D5" w14:textId="77777777" w:rsidTr="00D848A9">
        <w:tc>
          <w:tcPr>
            <w:tcW w:w="482" w:type="dxa"/>
          </w:tcPr>
          <w:p w14:paraId="46DA2078" w14:textId="7F6CA1D7" w:rsidR="005F6760" w:rsidRPr="00E554DE" w:rsidRDefault="005F6760" w:rsidP="00906541">
            <w:pPr>
              <w:pStyle w:val="Tabletext"/>
              <w:rPr>
                <w:b/>
                <w:sz w:val="24"/>
                <w:szCs w:val="24"/>
              </w:rPr>
            </w:pPr>
            <w:r w:rsidRPr="00E554DE">
              <w:rPr>
                <w:b/>
                <w:sz w:val="24"/>
                <w:szCs w:val="24"/>
              </w:rPr>
              <w:t>26</w:t>
            </w:r>
          </w:p>
        </w:tc>
        <w:tc>
          <w:tcPr>
            <w:tcW w:w="7740" w:type="dxa"/>
          </w:tcPr>
          <w:p w14:paraId="391C6D57" w14:textId="0DA94E71" w:rsidR="005F6760" w:rsidRPr="00E554DE" w:rsidRDefault="005F6760" w:rsidP="00906541">
            <w:pPr>
              <w:pStyle w:val="Tabletext"/>
              <w:rPr>
                <w:sz w:val="24"/>
                <w:szCs w:val="24"/>
              </w:rPr>
            </w:pPr>
            <w:r w:rsidRPr="00E554DE">
              <w:rPr>
                <w:bCs/>
                <w:sz w:val="24"/>
                <w:szCs w:val="24"/>
              </w:rPr>
              <w:t>Trente-neuvième série de textes soumis par la Commission de rédaction en première lecture (B39)</w:t>
            </w:r>
          </w:p>
        </w:tc>
        <w:tc>
          <w:tcPr>
            <w:tcW w:w="1809" w:type="dxa"/>
            <w:vAlign w:val="center"/>
          </w:tcPr>
          <w:p w14:paraId="129B82F7" w14:textId="5311471A" w:rsidR="005F6760" w:rsidRPr="00E554DE" w:rsidRDefault="005F6760" w:rsidP="00906541">
            <w:pPr>
              <w:pStyle w:val="Tabletext"/>
              <w:jc w:val="center"/>
              <w:rPr>
                <w:sz w:val="24"/>
                <w:szCs w:val="24"/>
              </w:rPr>
            </w:pPr>
            <w:r w:rsidRPr="00E554DE">
              <w:rPr>
                <w:sz w:val="24"/>
                <w:szCs w:val="24"/>
              </w:rPr>
              <w:t>472</w:t>
            </w:r>
          </w:p>
        </w:tc>
      </w:tr>
      <w:tr w:rsidR="005F6760" w:rsidRPr="00E554DE" w14:paraId="13F27B6B" w14:textId="77777777" w:rsidTr="00D848A9">
        <w:tc>
          <w:tcPr>
            <w:tcW w:w="482" w:type="dxa"/>
          </w:tcPr>
          <w:p w14:paraId="372E6735" w14:textId="0DB2D83F" w:rsidR="005F6760" w:rsidRPr="00E554DE" w:rsidRDefault="005F6760" w:rsidP="00906541">
            <w:pPr>
              <w:pStyle w:val="Tabletext"/>
              <w:rPr>
                <w:b/>
                <w:sz w:val="24"/>
                <w:szCs w:val="24"/>
              </w:rPr>
            </w:pPr>
            <w:r w:rsidRPr="00E554DE">
              <w:rPr>
                <w:b/>
                <w:sz w:val="24"/>
                <w:szCs w:val="24"/>
              </w:rPr>
              <w:t>27</w:t>
            </w:r>
          </w:p>
        </w:tc>
        <w:tc>
          <w:tcPr>
            <w:tcW w:w="7740" w:type="dxa"/>
          </w:tcPr>
          <w:p w14:paraId="0A3A2E14" w14:textId="0C2FC447" w:rsidR="005F6760" w:rsidRPr="00E554DE" w:rsidRDefault="005F6760" w:rsidP="00906541">
            <w:pPr>
              <w:pStyle w:val="Tabletext"/>
              <w:rPr>
                <w:sz w:val="24"/>
                <w:szCs w:val="24"/>
              </w:rPr>
            </w:pPr>
            <w:r w:rsidRPr="00E554DE">
              <w:rPr>
                <w:bCs/>
                <w:sz w:val="24"/>
                <w:szCs w:val="24"/>
              </w:rPr>
              <w:t>Trente-neuvième série de textes soumis par la Commission de rédaction (B39) – deuxième lecture</w:t>
            </w:r>
          </w:p>
        </w:tc>
        <w:tc>
          <w:tcPr>
            <w:tcW w:w="1809" w:type="dxa"/>
            <w:vAlign w:val="center"/>
          </w:tcPr>
          <w:p w14:paraId="7506763A" w14:textId="58E17FA5" w:rsidR="005F6760" w:rsidRPr="00E554DE" w:rsidRDefault="005F6760" w:rsidP="00906541">
            <w:pPr>
              <w:pStyle w:val="Tabletext"/>
              <w:jc w:val="center"/>
              <w:rPr>
                <w:sz w:val="24"/>
                <w:szCs w:val="24"/>
              </w:rPr>
            </w:pPr>
            <w:r w:rsidRPr="00E554DE">
              <w:rPr>
                <w:sz w:val="24"/>
                <w:szCs w:val="24"/>
              </w:rPr>
              <w:t>472</w:t>
            </w:r>
          </w:p>
        </w:tc>
      </w:tr>
      <w:tr w:rsidR="00AC6F9C" w:rsidRPr="00E554DE" w14:paraId="3C2D5440" w14:textId="77777777" w:rsidTr="00D848A9">
        <w:tc>
          <w:tcPr>
            <w:tcW w:w="482" w:type="dxa"/>
          </w:tcPr>
          <w:p w14:paraId="1AF78D47" w14:textId="305876D4" w:rsidR="00AC6F9C" w:rsidRPr="00E554DE" w:rsidRDefault="00A7631A" w:rsidP="00906541">
            <w:pPr>
              <w:pStyle w:val="Tabletext"/>
              <w:rPr>
                <w:b/>
                <w:sz w:val="24"/>
                <w:szCs w:val="24"/>
              </w:rPr>
            </w:pPr>
            <w:r w:rsidRPr="00E554DE">
              <w:rPr>
                <w:b/>
                <w:sz w:val="24"/>
                <w:szCs w:val="24"/>
              </w:rPr>
              <w:t>28</w:t>
            </w:r>
          </w:p>
        </w:tc>
        <w:tc>
          <w:tcPr>
            <w:tcW w:w="7740" w:type="dxa"/>
          </w:tcPr>
          <w:p w14:paraId="25F3AB8B" w14:textId="0BF2BF8D" w:rsidR="00AC6F9C" w:rsidRPr="00E554DE" w:rsidRDefault="005F6760" w:rsidP="00906541">
            <w:pPr>
              <w:pStyle w:val="Tabletext"/>
              <w:rPr>
                <w:sz w:val="24"/>
                <w:szCs w:val="24"/>
              </w:rPr>
            </w:pPr>
            <w:r w:rsidRPr="00E554DE">
              <w:rPr>
                <w:bCs/>
                <w:sz w:val="24"/>
                <w:szCs w:val="24"/>
              </w:rPr>
              <w:t>Cinquante et unième série de textes soumis par la Commission de rédaction en première lecture (B51) (résumé)</w:t>
            </w:r>
          </w:p>
        </w:tc>
        <w:tc>
          <w:tcPr>
            <w:tcW w:w="1809" w:type="dxa"/>
            <w:vAlign w:val="center"/>
          </w:tcPr>
          <w:p w14:paraId="1008C9AB" w14:textId="3973A831" w:rsidR="00AC6F9C" w:rsidRPr="00E554DE" w:rsidRDefault="00AC6F9C" w:rsidP="00906541">
            <w:pPr>
              <w:pStyle w:val="Tabletext"/>
              <w:jc w:val="center"/>
              <w:rPr>
                <w:sz w:val="24"/>
                <w:szCs w:val="24"/>
              </w:rPr>
            </w:pPr>
            <w:r w:rsidRPr="00E554DE">
              <w:rPr>
                <w:sz w:val="24"/>
                <w:szCs w:val="24"/>
              </w:rPr>
              <w:t>502(Rév.1)</w:t>
            </w:r>
          </w:p>
        </w:tc>
      </w:tr>
      <w:tr w:rsidR="00AC6F9C" w:rsidRPr="00E554DE" w14:paraId="45598861" w14:textId="77777777" w:rsidTr="00D848A9">
        <w:tc>
          <w:tcPr>
            <w:tcW w:w="482" w:type="dxa"/>
          </w:tcPr>
          <w:p w14:paraId="6FA5191F" w14:textId="63C0C4E6" w:rsidR="00AC6F9C" w:rsidRPr="00E554DE" w:rsidRDefault="00A7631A" w:rsidP="00906541">
            <w:pPr>
              <w:pStyle w:val="Tabletext"/>
              <w:rPr>
                <w:b/>
                <w:sz w:val="24"/>
                <w:szCs w:val="24"/>
              </w:rPr>
            </w:pPr>
            <w:r w:rsidRPr="00E554DE">
              <w:rPr>
                <w:b/>
                <w:sz w:val="24"/>
                <w:szCs w:val="24"/>
              </w:rPr>
              <w:t>29</w:t>
            </w:r>
          </w:p>
        </w:tc>
        <w:tc>
          <w:tcPr>
            <w:tcW w:w="7740" w:type="dxa"/>
          </w:tcPr>
          <w:p w14:paraId="2BC1AAA8" w14:textId="7F258C67" w:rsidR="00AC6F9C" w:rsidRPr="00E554DE" w:rsidRDefault="005F6760" w:rsidP="00906541">
            <w:pPr>
              <w:pStyle w:val="Tabletext"/>
              <w:rPr>
                <w:sz w:val="24"/>
                <w:szCs w:val="24"/>
              </w:rPr>
            </w:pPr>
            <w:r w:rsidRPr="00E554DE">
              <w:rPr>
                <w:bCs/>
                <w:sz w:val="24"/>
                <w:szCs w:val="24"/>
              </w:rPr>
              <w:t>Cinquante et unième série de textes soumis par la Commission de rédaction (B51) – deuxième lecture</w:t>
            </w:r>
          </w:p>
        </w:tc>
        <w:tc>
          <w:tcPr>
            <w:tcW w:w="1809" w:type="dxa"/>
            <w:vAlign w:val="center"/>
          </w:tcPr>
          <w:p w14:paraId="3FBCB431" w14:textId="4910A94F" w:rsidR="00AC6F9C" w:rsidRPr="00E554DE" w:rsidRDefault="00AC6F9C" w:rsidP="00906541">
            <w:pPr>
              <w:pStyle w:val="Tabletext"/>
              <w:jc w:val="center"/>
              <w:rPr>
                <w:sz w:val="24"/>
                <w:szCs w:val="24"/>
              </w:rPr>
            </w:pPr>
            <w:r w:rsidRPr="00E554DE">
              <w:rPr>
                <w:sz w:val="24"/>
                <w:szCs w:val="24"/>
              </w:rPr>
              <w:t>502(Rév.1)</w:t>
            </w:r>
          </w:p>
        </w:tc>
      </w:tr>
      <w:tr w:rsidR="005F6760" w:rsidRPr="00E554DE" w14:paraId="07CEEFDC" w14:textId="77777777" w:rsidTr="00D848A9">
        <w:tc>
          <w:tcPr>
            <w:tcW w:w="482" w:type="dxa"/>
          </w:tcPr>
          <w:p w14:paraId="15937372" w14:textId="63A4BFBA" w:rsidR="005F6760" w:rsidRPr="00E554DE" w:rsidRDefault="005F6760" w:rsidP="00906541">
            <w:pPr>
              <w:pStyle w:val="Tabletext"/>
              <w:rPr>
                <w:b/>
                <w:sz w:val="24"/>
                <w:szCs w:val="24"/>
              </w:rPr>
            </w:pPr>
            <w:r w:rsidRPr="00E554DE">
              <w:rPr>
                <w:b/>
                <w:sz w:val="24"/>
                <w:szCs w:val="24"/>
              </w:rPr>
              <w:t>30</w:t>
            </w:r>
          </w:p>
        </w:tc>
        <w:tc>
          <w:tcPr>
            <w:tcW w:w="7740" w:type="dxa"/>
          </w:tcPr>
          <w:p w14:paraId="54C089BF" w14:textId="394E2023" w:rsidR="005F6760" w:rsidRPr="00E554DE" w:rsidRDefault="005F6760" w:rsidP="00906541">
            <w:pPr>
              <w:pStyle w:val="Tabletext"/>
              <w:rPr>
                <w:sz w:val="24"/>
                <w:szCs w:val="24"/>
              </w:rPr>
            </w:pPr>
            <w:r w:rsidRPr="00E554DE">
              <w:rPr>
                <w:sz w:val="24"/>
                <w:szCs w:val="24"/>
              </w:rPr>
              <w:t>Déclaration du Président du RRB</w:t>
            </w:r>
          </w:p>
        </w:tc>
        <w:tc>
          <w:tcPr>
            <w:tcW w:w="1809" w:type="dxa"/>
            <w:vAlign w:val="center"/>
          </w:tcPr>
          <w:p w14:paraId="79713A1A" w14:textId="5E97865D" w:rsidR="005F6760" w:rsidRPr="00E554DE" w:rsidRDefault="005F6760" w:rsidP="00906541">
            <w:pPr>
              <w:pStyle w:val="Tabletext"/>
              <w:jc w:val="center"/>
              <w:rPr>
                <w:sz w:val="24"/>
                <w:szCs w:val="24"/>
              </w:rPr>
            </w:pPr>
            <w:r w:rsidRPr="00E554DE">
              <w:rPr>
                <w:sz w:val="24"/>
                <w:szCs w:val="24"/>
              </w:rPr>
              <w:t>–</w:t>
            </w:r>
          </w:p>
        </w:tc>
      </w:tr>
      <w:tr w:rsidR="005F6760" w:rsidRPr="00E554DE" w14:paraId="5535AEA8" w14:textId="77777777" w:rsidTr="00D848A9">
        <w:tc>
          <w:tcPr>
            <w:tcW w:w="482" w:type="dxa"/>
          </w:tcPr>
          <w:p w14:paraId="5A182DDE" w14:textId="66EDC972" w:rsidR="005F6760" w:rsidRPr="00E554DE" w:rsidRDefault="005F6760" w:rsidP="00906541">
            <w:pPr>
              <w:pStyle w:val="Tabletext"/>
              <w:rPr>
                <w:b/>
                <w:sz w:val="24"/>
                <w:szCs w:val="24"/>
              </w:rPr>
            </w:pPr>
            <w:r w:rsidRPr="00E554DE">
              <w:rPr>
                <w:b/>
                <w:sz w:val="24"/>
                <w:szCs w:val="24"/>
              </w:rPr>
              <w:t>31</w:t>
            </w:r>
          </w:p>
        </w:tc>
        <w:tc>
          <w:tcPr>
            <w:tcW w:w="7740" w:type="dxa"/>
          </w:tcPr>
          <w:p w14:paraId="6CA47ED3" w14:textId="0533B7F5" w:rsidR="005F6760" w:rsidRPr="00E554DE" w:rsidRDefault="005F6760" w:rsidP="00906541">
            <w:pPr>
              <w:pStyle w:val="Tabletext"/>
              <w:rPr>
                <w:sz w:val="24"/>
                <w:szCs w:val="24"/>
              </w:rPr>
            </w:pPr>
            <w:r w:rsidRPr="00E554DE">
              <w:rPr>
                <w:sz w:val="24"/>
                <w:szCs w:val="24"/>
              </w:rPr>
              <w:t>Déclaration d'une délégation</w:t>
            </w:r>
          </w:p>
        </w:tc>
        <w:tc>
          <w:tcPr>
            <w:tcW w:w="1809" w:type="dxa"/>
            <w:vAlign w:val="center"/>
          </w:tcPr>
          <w:p w14:paraId="7DA244C8" w14:textId="0E19FE94" w:rsidR="005F6760" w:rsidRPr="00E554DE" w:rsidRDefault="005F6760" w:rsidP="00906541">
            <w:pPr>
              <w:pStyle w:val="Tabletext"/>
              <w:jc w:val="center"/>
              <w:rPr>
                <w:sz w:val="24"/>
                <w:szCs w:val="24"/>
              </w:rPr>
            </w:pPr>
            <w:r w:rsidRPr="00E554DE">
              <w:rPr>
                <w:sz w:val="24"/>
                <w:szCs w:val="24"/>
              </w:rPr>
              <w:t>–</w:t>
            </w:r>
          </w:p>
        </w:tc>
      </w:tr>
      <w:tr w:rsidR="00AC6F9C" w:rsidRPr="00E554DE" w14:paraId="248F2A6D" w14:textId="77777777" w:rsidTr="00D848A9">
        <w:tc>
          <w:tcPr>
            <w:tcW w:w="482" w:type="dxa"/>
          </w:tcPr>
          <w:p w14:paraId="4DF16A67" w14:textId="4033FD7C" w:rsidR="00AC6F9C" w:rsidRPr="00E554DE" w:rsidRDefault="00A7631A" w:rsidP="00906541">
            <w:pPr>
              <w:pStyle w:val="Tabletext"/>
              <w:rPr>
                <w:b/>
                <w:sz w:val="24"/>
                <w:szCs w:val="24"/>
              </w:rPr>
            </w:pPr>
            <w:r w:rsidRPr="00E554DE">
              <w:rPr>
                <w:b/>
                <w:sz w:val="24"/>
                <w:szCs w:val="24"/>
              </w:rPr>
              <w:t>32</w:t>
            </w:r>
          </w:p>
        </w:tc>
        <w:tc>
          <w:tcPr>
            <w:tcW w:w="7740" w:type="dxa"/>
          </w:tcPr>
          <w:p w14:paraId="418BE0B0" w14:textId="67ABD6A5" w:rsidR="00AC6F9C" w:rsidRPr="00E554DE" w:rsidRDefault="0014776D" w:rsidP="00906541">
            <w:pPr>
              <w:pStyle w:val="Tabletext"/>
              <w:rPr>
                <w:sz w:val="24"/>
                <w:szCs w:val="24"/>
              </w:rPr>
            </w:pPr>
            <w:r w:rsidRPr="00E554DE">
              <w:rPr>
                <w:sz w:val="24"/>
                <w:szCs w:val="24"/>
              </w:rPr>
              <w:t>Heure limite pour le dépôt des déclarations et réserves additionnelles</w:t>
            </w:r>
          </w:p>
        </w:tc>
        <w:tc>
          <w:tcPr>
            <w:tcW w:w="1809" w:type="dxa"/>
            <w:vAlign w:val="center"/>
          </w:tcPr>
          <w:p w14:paraId="2E378FAA" w14:textId="6C6EE0A7" w:rsidR="00AC6F9C" w:rsidRPr="00E554DE" w:rsidRDefault="00AC6F9C" w:rsidP="00906541">
            <w:pPr>
              <w:pStyle w:val="Tabletext"/>
              <w:jc w:val="center"/>
              <w:rPr>
                <w:sz w:val="24"/>
                <w:szCs w:val="24"/>
              </w:rPr>
            </w:pPr>
            <w:r w:rsidRPr="00E554DE">
              <w:rPr>
                <w:sz w:val="24"/>
                <w:szCs w:val="24"/>
              </w:rPr>
              <w:t>–</w:t>
            </w:r>
          </w:p>
        </w:tc>
      </w:tr>
    </w:tbl>
    <w:p w14:paraId="7CB3C779" w14:textId="70E58E20" w:rsidR="0014776D" w:rsidRPr="00E554DE" w:rsidRDefault="0014776D" w:rsidP="00906541">
      <w:r w:rsidRPr="00E554DE">
        <w:br w:type="page"/>
      </w:r>
    </w:p>
    <w:p w14:paraId="7B665F03" w14:textId="2B653CE1" w:rsidR="0014776D" w:rsidRPr="00E554DE" w:rsidRDefault="0014776D" w:rsidP="00906541">
      <w:pPr>
        <w:pStyle w:val="Heading1"/>
      </w:pPr>
      <w:r w:rsidRPr="00E554DE">
        <w:lastRenderedPageBreak/>
        <w:t>1</w:t>
      </w:r>
      <w:r w:rsidRPr="00E554DE">
        <w:tab/>
        <w:t xml:space="preserve">Rapports verbaux des </w:t>
      </w:r>
      <w:r w:rsidR="005E6FBB" w:rsidRPr="00E554DE">
        <w:t xml:space="preserve">présidents </w:t>
      </w:r>
      <w:r w:rsidRPr="00E554DE">
        <w:t xml:space="preserve">des </w:t>
      </w:r>
      <w:r w:rsidR="00463AE9" w:rsidRPr="00E554DE">
        <w:t>c</w:t>
      </w:r>
      <w:r w:rsidRPr="00E554DE">
        <w:t>ommissions</w:t>
      </w:r>
    </w:p>
    <w:p w14:paraId="2157DF11" w14:textId="11C3F23D" w:rsidR="0014776D" w:rsidRPr="00E554DE" w:rsidRDefault="0014776D" w:rsidP="00906541">
      <w:r w:rsidRPr="00E554DE">
        <w:t>1.1</w:t>
      </w:r>
      <w:r w:rsidRPr="00E554DE">
        <w:tab/>
        <w:t xml:space="preserve">La </w:t>
      </w:r>
      <w:r w:rsidRPr="00E554DE">
        <w:rPr>
          <w:b/>
          <w:bCs/>
        </w:rPr>
        <w:t>Présidente de la Commission 2</w:t>
      </w:r>
      <w:r w:rsidRPr="00E554DE">
        <w:t xml:space="preserve"> indique que, </w:t>
      </w:r>
      <w:r w:rsidR="00A04224" w:rsidRPr="00E554DE">
        <w:t>depuis la séance plénière</w:t>
      </w:r>
      <w:r w:rsidR="006E786C" w:rsidRPr="00E554DE">
        <w:t xml:space="preserve"> précédente</w:t>
      </w:r>
      <w:r w:rsidR="00A04224" w:rsidRPr="00E554DE">
        <w:t xml:space="preserve">, sa </w:t>
      </w:r>
      <w:r w:rsidR="006432D1" w:rsidRPr="00E554DE">
        <w:t>C</w:t>
      </w:r>
      <w:r w:rsidR="00A04224" w:rsidRPr="00E554DE">
        <w:t>ommission a reçu un instrument d'accréditation supplémentaire, qui a été reconnu en règle, ce qui porte à 156 le nombre total de délégations participant à la Conférence et ayant soumis des pouvoirs reconnus en règle. Les listes 1 et 4 de l'Annexe du rapport de la Commission 2 seront modifiées en conséquence (Document 305(Rév.8)).</w:t>
      </w:r>
    </w:p>
    <w:p w14:paraId="43155516" w14:textId="5BC62D46" w:rsidR="0014776D" w:rsidRPr="00E554DE" w:rsidRDefault="0014776D" w:rsidP="00906541">
      <w:r w:rsidRPr="00E554DE">
        <w:t>1.2</w:t>
      </w:r>
      <w:r w:rsidRPr="00E554DE">
        <w:tab/>
      </w:r>
      <w:bookmarkStart w:id="4" w:name="lt_pId116"/>
      <w:r w:rsidR="00A04224" w:rsidRPr="00E554DE">
        <w:t xml:space="preserve">Les travaux de la Commission 2 ayant été menés à bonne fin, </w:t>
      </w:r>
      <w:r w:rsidR="00FB2CFF" w:rsidRPr="00E554DE">
        <w:t>l'oratrice</w:t>
      </w:r>
      <w:r w:rsidR="00A04224" w:rsidRPr="00E554DE">
        <w:t xml:space="preserve"> tient à remercier tous ceux et toutes celles qui ont participé aux travaux de sa </w:t>
      </w:r>
      <w:r w:rsidR="006432D1" w:rsidRPr="00E554DE">
        <w:t>C</w:t>
      </w:r>
      <w:r w:rsidR="00A04224" w:rsidRPr="00E554DE">
        <w:t xml:space="preserve">ommission pour leur esprit de collaboration, en particulier les </w:t>
      </w:r>
      <w:r w:rsidR="005E6FBB" w:rsidRPr="00E554DE">
        <w:t>V</w:t>
      </w:r>
      <w:r w:rsidR="00A04224" w:rsidRPr="00E554DE">
        <w:t>ice-</w:t>
      </w:r>
      <w:r w:rsidR="005E6FBB" w:rsidRPr="00E554DE">
        <w:t>P</w:t>
      </w:r>
      <w:r w:rsidR="00A04224" w:rsidRPr="00E554DE">
        <w:t xml:space="preserve">résidents de la </w:t>
      </w:r>
      <w:r w:rsidR="005E6FBB" w:rsidRPr="00E554DE">
        <w:t>C</w:t>
      </w:r>
      <w:r w:rsidR="00A04224" w:rsidRPr="00E554DE">
        <w:t>ommission et le secrétariat, dont le travail remarquable et l'appui inestimable lui ont permis de s'acquitter de son mandat.</w:t>
      </w:r>
      <w:bookmarkEnd w:id="4"/>
    </w:p>
    <w:p w14:paraId="246DF287" w14:textId="6F863619" w:rsidR="0014776D" w:rsidRPr="00E554DE" w:rsidRDefault="0014776D" w:rsidP="00906541">
      <w:r w:rsidRPr="00E554DE">
        <w:t>1.3</w:t>
      </w:r>
      <w:r w:rsidRPr="00E554DE">
        <w:tab/>
        <w:t xml:space="preserve">Il est </w:t>
      </w:r>
      <w:r w:rsidRPr="00E554DE">
        <w:rPr>
          <w:b/>
          <w:bCs/>
        </w:rPr>
        <w:t>pris note</w:t>
      </w:r>
      <w:r w:rsidRPr="00E554DE">
        <w:t xml:space="preserve"> du rapport verbal de la Présidente de la Commission 2.</w:t>
      </w:r>
    </w:p>
    <w:p w14:paraId="28FDEE1A" w14:textId="2342C0B4" w:rsidR="0014776D" w:rsidRPr="00E554DE" w:rsidRDefault="0014776D" w:rsidP="00906541">
      <w:r w:rsidRPr="00E554DE">
        <w:t>1.4</w:t>
      </w:r>
      <w:r w:rsidRPr="00E554DE">
        <w:tab/>
      </w:r>
      <w:r w:rsidR="00FB2CFF" w:rsidRPr="00E554DE">
        <w:t xml:space="preserve">Le </w:t>
      </w:r>
      <w:r w:rsidR="00FB2CFF" w:rsidRPr="00E554DE">
        <w:rPr>
          <w:b/>
          <w:bCs/>
        </w:rPr>
        <w:t>délégué du Botswana</w:t>
      </w:r>
      <w:r w:rsidR="00FB2CFF" w:rsidRPr="00E554DE">
        <w:t xml:space="preserve"> se félicite du travail accompli par la Présidente de la Commission 2 et prononce </w:t>
      </w:r>
      <w:r w:rsidR="002302B7" w:rsidRPr="00E554DE">
        <w:t>la déclaration</w:t>
      </w:r>
      <w:r w:rsidR="00FB2CFF" w:rsidRPr="00E554DE">
        <w:t xml:space="preserve"> reproduite dans l'Annexe A.</w:t>
      </w:r>
    </w:p>
    <w:p w14:paraId="30A412BE" w14:textId="1E4BCDCE" w:rsidR="0014776D" w:rsidRPr="00E554DE" w:rsidRDefault="0014776D" w:rsidP="00906541">
      <w:r w:rsidRPr="00E554DE">
        <w:t>1.5</w:t>
      </w:r>
      <w:r w:rsidRPr="00E554DE">
        <w:tab/>
      </w:r>
      <w:r w:rsidR="00FB2CFF" w:rsidRPr="00E554DE">
        <w:t xml:space="preserve">La </w:t>
      </w:r>
      <w:r w:rsidR="00FB2CFF" w:rsidRPr="00E554DE">
        <w:rPr>
          <w:b/>
          <w:bCs/>
        </w:rPr>
        <w:t>Présidente de la Commission 3</w:t>
      </w:r>
      <w:r w:rsidR="00FB2CFF" w:rsidRPr="00E554DE">
        <w:t xml:space="preserve"> déclare que la version révisée du rapport de la Commission 3 contenant les chiffres définitifs du budget de la Conférence et l'estimation des incidences financières de ses décisions figure dans le Document 460(Rév.1). La Commission 3 a achevé ses travaux et il n'y aura pas d'autres mises à jour du rapport.</w:t>
      </w:r>
    </w:p>
    <w:p w14:paraId="216FDED0" w14:textId="6DED590E" w:rsidR="0014776D" w:rsidRPr="00E554DE" w:rsidRDefault="0014776D" w:rsidP="00906541">
      <w:r w:rsidRPr="00E554DE">
        <w:t>1.6</w:t>
      </w:r>
      <w:r w:rsidRPr="00E554DE">
        <w:tab/>
      </w:r>
      <w:r w:rsidR="00FB2CFF" w:rsidRPr="00E554DE">
        <w:t xml:space="preserve">L'oratrice saisit cette occasion pour remercier tous ceux et toutes celles </w:t>
      </w:r>
      <w:r w:rsidR="002302B7" w:rsidRPr="00E554DE">
        <w:t xml:space="preserve">qui ont </w:t>
      </w:r>
      <w:r w:rsidR="00FB2CFF" w:rsidRPr="00E554DE">
        <w:t xml:space="preserve">contribué à mener à bien le mandat de la </w:t>
      </w:r>
      <w:r w:rsidR="00A075BA" w:rsidRPr="00E554DE">
        <w:t>C</w:t>
      </w:r>
      <w:r w:rsidR="00FB2CFF" w:rsidRPr="00E554DE">
        <w:t>ommission et, en particulier, le personnel du secrétariat de l'UIT pour son appui éclairé et son travail considérable.</w:t>
      </w:r>
    </w:p>
    <w:p w14:paraId="5BC39898" w14:textId="2B8B6091" w:rsidR="0014776D" w:rsidRPr="00E554DE" w:rsidRDefault="0014776D" w:rsidP="00906541">
      <w:r w:rsidRPr="00E554DE">
        <w:t>1.7</w:t>
      </w:r>
      <w:r w:rsidRPr="00E554DE">
        <w:tab/>
        <w:t xml:space="preserve">Il est </w:t>
      </w:r>
      <w:r w:rsidRPr="00E554DE">
        <w:rPr>
          <w:b/>
          <w:bCs/>
        </w:rPr>
        <w:t>pris note</w:t>
      </w:r>
      <w:r w:rsidRPr="00E554DE">
        <w:t xml:space="preserve"> du rapport verbal d</w:t>
      </w:r>
      <w:r w:rsidR="00FB2CFF" w:rsidRPr="00E554DE">
        <w:t>e la</w:t>
      </w:r>
      <w:r w:rsidRPr="00E554DE">
        <w:t xml:space="preserve"> Président</w:t>
      </w:r>
      <w:r w:rsidR="00FB2CFF" w:rsidRPr="00E554DE">
        <w:t>e</w:t>
      </w:r>
      <w:r w:rsidRPr="00E554DE">
        <w:t xml:space="preserve"> de la Commission 3.</w:t>
      </w:r>
    </w:p>
    <w:p w14:paraId="79C1E08C" w14:textId="470CC2EF" w:rsidR="0014776D" w:rsidRPr="00E554DE" w:rsidRDefault="0014776D" w:rsidP="00906541">
      <w:r w:rsidRPr="00E554DE">
        <w:t>1.8</w:t>
      </w:r>
      <w:r w:rsidRPr="00E554DE">
        <w:tab/>
      </w:r>
      <w:r w:rsidR="00FB2CFF" w:rsidRPr="00E554DE">
        <w:t xml:space="preserve">Le </w:t>
      </w:r>
      <w:r w:rsidR="00FB2CFF" w:rsidRPr="00E554DE">
        <w:rPr>
          <w:b/>
          <w:bCs/>
        </w:rPr>
        <w:t>Président de la Commission 4</w:t>
      </w:r>
      <w:r w:rsidR="00FB2CFF" w:rsidRPr="00E554DE">
        <w:t xml:space="preserve"> explique que les discussions sur le point 1.5 de l'ordre du jour se sont poursuivies tard dans la nuit précédente avec les représentants des groupes régionaux, de sorte qu'il n'a pas été possible de tenir une séance du groupe ad hoc pour examiner le document </w:t>
      </w:r>
      <w:r w:rsidR="002302B7" w:rsidRPr="00E554DE">
        <w:t xml:space="preserve">élaboré </w:t>
      </w:r>
      <w:r w:rsidR="00FB2CFF" w:rsidRPr="00E554DE">
        <w:t xml:space="preserve">(Document 516). </w:t>
      </w:r>
      <w:r w:rsidR="002302B7" w:rsidRPr="00E554DE">
        <w:t xml:space="preserve">Il </w:t>
      </w:r>
      <w:r w:rsidR="00FB2CFF" w:rsidRPr="00E554DE">
        <w:t>remercie tous les participants pour leurs contributions aux longues discussions sur le point 1.5</w:t>
      </w:r>
      <w:r w:rsidR="00172284" w:rsidRPr="00E554DE">
        <w:t xml:space="preserve"> de l'ordre du jour.</w:t>
      </w:r>
    </w:p>
    <w:p w14:paraId="1DD05931" w14:textId="13395455" w:rsidR="0014776D" w:rsidRPr="00E554DE" w:rsidRDefault="0014776D" w:rsidP="00906541">
      <w:r w:rsidRPr="00E554DE">
        <w:t>1.9</w:t>
      </w:r>
      <w:r w:rsidRPr="00E554DE">
        <w:tab/>
      </w:r>
      <w:r w:rsidR="00FB2CFF" w:rsidRPr="00E554DE">
        <w:t xml:space="preserve">Le </w:t>
      </w:r>
      <w:r w:rsidR="00FB2CFF" w:rsidRPr="00E554DE">
        <w:rPr>
          <w:b/>
          <w:bCs/>
        </w:rPr>
        <w:t>délégué de la République islamique d'Iran</w:t>
      </w:r>
      <w:r w:rsidR="00FB2CFF" w:rsidRPr="00E554DE">
        <w:t xml:space="preserve"> se dit inquiet du fait que les modifications qu'il est proposé d'apporter à la Résolution </w:t>
      </w:r>
      <w:r w:rsidR="00FB2CFF" w:rsidRPr="00E554DE">
        <w:rPr>
          <w:b/>
          <w:bCs/>
        </w:rPr>
        <w:t>224 (Rév.CMR-19)</w:t>
      </w:r>
      <w:r w:rsidR="00FB2CFF" w:rsidRPr="00E554DE">
        <w:t xml:space="preserve"> n'ont </w:t>
      </w:r>
      <w:r w:rsidR="003C57AE" w:rsidRPr="00E554DE">
        <w:t xml:space="preserve">pas été suffisamment examinées </w:t>
      </w:r>
      <w:r w:rsidR="00FB2CFF" w:rsidRPr="00E554DE">
        <w:t xml:space="preserve">au niveau de la </w:t>
      </w:r>
      <w:r w:rsidR="00087E23" w:rsidRPr="00E554DE">
        <w:t>C</w:t>
      </w:r>
      <w:r w:rsidR="00FB2CFF" w:rsidRPr="00E554DE">
        <w:t xml:space="preserve">ommission et demande de reporter l'examen des questions </w:t>
      </w:r>
      <w:r w:rsidR="0025793E" w:rsidRPr="00E554DE">
        <w:t>en suspens</w:t>
      </w:r>
      <w:r w:rsidR="00D105A4" w:rsidRPr="00E554DE">
        <w:t xml:space="preserve"> </w:t>
      </w:r>
      <w:r w:rsidR="00FB2CFF" w:rsidRPr="00E554DE">
        <w:t>au sein de la Commission 4.</w:t>
      </w:r>
    </w:p>
    <w:p w14:paraId="5CFA69DE" w14:textId="549FE0F1" w:rsidR="0014776D" w:rsidRPr="00E554DE" w:rsidRDefault="0014776D" w:rsidP="00906541">
      <w:r w:rsidRPr="00E554DE">
        <w:t>1.10</w:t>
      </w:r>
      <w:r w:rsidRPr="00E554DE">
        <w:tab/>
      </w:r>
      <w:r w:rsidR="008C7DA0" w:rsidRPr="00E554DE">
        <w:t xml:space="preserve">Le </w:t>
      </w:r>
      <w:r w:rsidR="008C7DA0" w:rsidRPr="00E554DE">
        <w:rPr>
          <w:b/>
          <w:bCs/>
        </w:rPr>
        <w:t xml:space="preserve">délégué des </w:t>
      </w:r>
      <w:r w:rsidR="0025793E" w:rsidRPr="00E554DE">
        <w:rPr>
          <w:b/>
          <w:bCs/>
        </w:rPr>
        <w:t>Émirats arabes unis</w:t>
      </w:r>
      <w:r w:rsidR="008C7DA0" w:rsidRPr="00E554DE">
        <w:t>, en sa qualité de coordonnateur des discussions informelles sur le point 1.5 de l'ordre du jour, déclare que les délibérations sont sur le point d'être achevées</w:t>
      </w:r>
      <w:r w:rsidR="00D105A4" w:rsidRPr="00E554DE">
        <w:t xml:space="preserve">; </w:t>
      </w:r>
      <w:r w:rsidR="000D3A2C" w:rsidRPr="00E554DE">
        <w:t>il serait bienvenu de disposer d'</w:t>
      </w:r>
      <w:r w:rsidR="00D105A4" w:rsidRPr="00E554DE">
        <w:t>u</w:t>
      </w:r>
      <w:r w:rsidR="00680F57" w:rsidRPr="00E554DE">
        <w:t>ne heure supplémentaire avec toutes les parties intér</w:t>
      </w:r>
      <w:r w:rsidR="004358FD" w:rsidRPr="00E554DE">
        <w:t>e</w:t>
      </w:r>
      <w:r w:rsidR="00680F57" w:rsidRPr="00E554DE">
        <w:t>ssées en vue d'élaborer le texte dans sa version définitive.</w:t>
      </w:r>
    </w:p>
    <w:p w14:paraId="0DBC44EA" w14:textId="193B98E4" w:rsidR="0014776D" w:rsidRPr="00E554DE" w:rsidRDefault="0014776D" w:rsidP="00906541">
      <w:r w:rsidRPr="00E554DE">
        <w:t>1.11</w:t>
      </w:r>
      <w:r w:rsidRPr="00E554DE">
        <w:tab/>
      </w:r>
      <w:r w:rsidR="008C7DA0" w:rsidRPr="00E554DE">
        <w:t xml:space="preserve">Le </w:t>
      </w:r>
      <w:r w:rsidR="008C7DA0" w:rsidRPr="00E554DE">
        <w:rPr>
          <w:b/>
          <w:bCs/>
        </w:rPr>
        <w:t>Président</w:t>
      </w:r>
      <w:r w:rsidR="008C7DA0" w:rsidRPr="00E554DE">
        <w:t xml:space="preserve"> répond que ce point sera donc examiné ultérieurement au cours de la présente séance plénière</w:t>
      </w:r>
      <w:r w:rsidR="002E3187" w:rsidRPr="00E554DE">
        <w:t>, afin de laisser suffisamment de temps aux parties pour conclure d'éventuelles discussions informelles.</w:t>
      </w:r>
    </w:p>
    <w:p w14:paraId="0AAC81A1" w14:textId="3987461A" w:rsidR="0014776D" w:rsidRPr="00E554DE" w:rsidRDefault="0014776D" w:rsidP="00906541">
      <w:r w:rsidRPr="00E554DE">
        <w:t>1.12</w:t>
      </w:r>
      <w:r w:rsidRPr="00E554DE">
        <w:tab/>
        <w:t xml:space="preserve">Il est </w:t>
      </w:r>
      <w:r w:rsidRPr="00E554DE">
        <w:rPr>
          <w:b/>
          <w:bCs/>
        </w:rPr>
        <w:t>pris note</w:t>
      </w:r>
      <w:r w:rsidRPr="00E554DE">
        <w:t xml:space="preserve"> du rapport verbal du Président de la Commission 4.</w:t>
      </w:r>
    </w:p>
    <w:p w14:paraId="16F5AEF2" w14:textId="3AEA1E50" w:rsidR="0014776D" w:rsidRPr="00E554DE" w:rsidRDefault="0014776D" w:rsidP="00906541">
      <w:r w:rsidRPr="00E554DE">
        <w:rPr>
          <w:bdr w:val="none" w:sz="0" w:space="0" w:color="auto" w:frame="1"/>
        </w:rPr>
        <w:t>1.13</w:t>
      </w:r>
      <w:r w:rsidRPr="00E554DE">
        <w:rPr>
          <w:bdr w:val="none" w:sz="0" w:space="0" w:color="auto" w:frame="1"/>
        </w:rPr>
        <w:tab/>
      </w:r>
      <w:r w:rsidR="002E3187" w:rsidRPr="00E554DE">
        <w:rPr>
          <w:bdr w:val="none" w:sz="0" w:space="0" w:color="auto" w:frame="1"/>
        </w:rPr>
        <w:t xml:space="preserve">Le </w:t>
      </w:r>
      <w:r w:rsidR="002E3187" w:rsidRPr="00E554DE">
        <w:rPr>
          <w:b/>
          <w:bCs/>
          <w:bdr w:val="none" w:sz="0" w:space="0" w:color="auto" w:frame="1"/>
        </w:rPr>
        <w:t>Président de la Commission 6</w:t>
      </w:r>
      <w:r w:rsidR="002E3187" w:rsidRPr="00E554DE">
        <w:rPr>
          <w:bdr w:val="none" w:sz="0" w:space="0" w:color="auto" w:frame="1"/>
        </w:rPr>
        <w:t xml:space="preserve"> déclare que, </w:t>
      </w:r>
      <w:r w:rsidR="002E3187" w:rsidRPr="00E554DE">
        <w:t xml:space="preserve">bien qu'aucune séance </w:t>
      </w:r>
      <w:r w:rsidR="0025793E" w:rsidRPr="00E554DE">
        <w:t xml:space="preserve">officielle </w:t>
      </w:r>
      <w:r w:rsidR="002E3187" w:rsidRPr="00E554DE">
        <w:t xml:space="preserve">de la Commission 6 n'ait eu lieu depuis la séance plénière précédente, le travail d'édition nécessaire concernant l'harmonisation et la présentation des différentes résolutions au titre du point 10 de l'ordre du jour a été effectué de manière informelle. </w:t>
      </w:r>
      <w:bookmarkStart w:id="5" w:name="lt_pId141"/>
      <w:r w:rsidR="002E3187" w:rsidRPr="00E554DE">
        <w:t>Les textes en question ont donc été élaborés dans leur version définitive et seront soumis à la présente séance plénière.</w:t>
      </w:r>
      <w:bookmarkEnd w:id="5"/>
    </w:p>
    <w:p w14:paraId="75C6EF23" w14:textId="1BDE9B4A" w:rsidR="0014776D" w:rsidRPr="00E554DE" w:rsidRDefault="0014776D" w:rsidP="00906541">
      <w:r w:rsidRPr="00E554DE">
        <w:lastRenderedPageBreak/>
        <w:t>1.14</w:t>
      </w:r>
      <w:r w:rsidRPr="00E554DE">
        <w:tab/>
      </w:r>
      <w:r w:rsidR="0025793E" w:rsidRPr="00E554DE">
        <w:t xml:space="preserve">Le Président de la Commission 6 </w:t>
      </w:r>
      <w:r w:rsidR="00602B41" w:rsidRPr="00E554DE">
        <w:t xml:space="preserve">tient à exprimer ses sincères remerciements à tous ceux et toutes celles qui ont contribué aux délibérations sur les points difficiles confiés à sa </w:t>
      </w:r>
      <w:r w:rsidR="00A075BA" w:rsidRPr="00E554DE">
        <w:t>C</w:t>
      </w:r>
      <w:r w:rsidR="00602B41" w:rsidRPr="00E554DE">
        <w:t>ommission</w:t>
      </w:r>
      <w:r w:rsidR="0025793E" w:rsidRPr="00E554DE">
        <w:t xml:space="preserve"> pour leur esprit de coopération et de compromis</w:t>
      </w:r>
      <w:r w:rsidR="00602B41" w:rsidRPr="00E554DE">
        <w:t xml:space="preserve">. </w:t>
      </w:r>
      <w:bookmarkStart w:id="6" w:name="lt_pId144"/>
      <w:r w:rsidR="0025793E" w:rsidRPr="00E554DE">
        <w:t>Il</w:t>
      </w:r>
      <w:r w:rsidR="00602B41" w:rsidRPr="00E554DE">
        <w:t xml:space="preserve"> a été secondé par une équipe solide et unie, comprenant les vice-présidents, les présidents des groupes de travail, des sous-groupes de travail et des groupes de rédaction, ainsi que le secrétariat.</w:t>
      </w:r>
      <w:bookmarkEnd w:id="6"/>
      <w:r w:rsidR="00602B41" w:rsidRPr="00E554DE">
        <w:t xml:space="preserve"> </w:t>
      </w:r>
      <w:bookmarkStart w:id="7" w:name="lt_pId145"/>
      <w:r w:rsidR="00602B41" w:rsidRPr="00E554DE">
        <w:t>Les travaux ont bénéficié de l'appui fourni par les chefs des groupes régionaux et, bien entendu, du Président de la Conférence.</w:t>
      </w:r>
      <w:bookmarkEnd w:id="7"/>
      <w:r w:rsidR="00602B41" w:rsidRPr="00E554DE">
        <w:t xml:space="preserve"> </w:t>
      </w:r>
      <w:bookmarkStart w:id="8" w:name="lt_pId146"/>
      <w:r w:rsidR="00602B41" w:rsidRPr="00E554DE">
        <w:t>L'orateur est extrêmement reconnaissant à son administration, le Cameroun, ainsi qu'à la</w:t>
      </w:r>
      <w:r w:rsidR="00602B41" w:rsidRPr="00E554DE">
        <w:rPr>
          <w:rFonts w:ascii="Roboto" w:hAnsi="Roboto"/>
          <w:color w:val="8292A5"/>
          <w:spacing w:val="6"/>
          <w:sz w:val="21"/>
          <w:szCs w:val="21"/>
        </w:rPr>
        <w:t xml:space="preserve"> </w:t>
      </w:r>
      <w:r w:rsidR="00602B41" w:rsidRPr="00E554DE">
        <w:t>Communauté économique des États de l'Afrique de l'Ouest (CEDEAO) et à l'Union africaine des télécommunications (UAT), pour leur appui et leur soutien.</w:t>
      </w:r>
      <w:bookmarkEnd w:id="8"/>
    </w:p>
    <w:p w14:paraId="19BE3C10" w14:textId="54AC5504" w:rsidR="0014776D" w:rsidRPr="00E554DE" w:rsidRDefault="0014776D" w:rsidP="00906541">
      <w:r w:rsidRPr="00E554DE">
        <w:t>1.15</w:t>
      </w:r>
      <w:r w:rsidRPr="00E554DE">
        <w:tab/>
        <w:t xml:space="preserve">Il est </w:t>
      </w:r>
      <w:r w:rsidRPr="00E554DE">
        <w:rPr>
          <w:b/>
          <w:bCs/>
        </w:rPr>
        <w:t>pris note</w:t>
      </w:r>
      <w:r w:rsidRPr="00E554DE">
        <w:t xml:space="preserve"> du rapport verbal du Président de la Commission 6.</w:t>
      </w:r>
    </w:p>
    <w:p w14:paraId="72466B11" w14:textId="70052D72" w:rsidR="0014776D" w:rsidRPr="00E554DE" w:rsidRDefault="0014776D" w:rsidP="00906541">
      <w:r w:rsidRPr="00E554DE">
        <w:t>1.16</w:t>
      </w:r>
      <w:r w:rsidRPr="00E554DE">
        <w:tab/>
      </w:r>
      <w:r w:rsidR="00602B41" w:rsidRPr="00E554DE">
        <w:t xml:space="preserve">Le </w:t>
      </w:r>
      <w:r w:rsidR="00602B41" w:rsidRPr="00E554DE">
        <w:rPr>
          <w:b/>
          <w:bCs/>
        </w:rPr>
        <w:t>délégué du Cameroun</w:t>
      </w:r>
      <w:r w:rsidR="00602B41" w:rsidRPr="00E554DE">
        <w:t xml:space="preserve"> remercie la CEDEAO et le Groupe africain pour la confiance qu'ils ont accordée à son pays en lui confiant la direction de la Commission 6.</w:t>
      </w:r>
    </w:p>
    <w:p w14:paraId="478A279C" w14:textId="6656AA94" w:rsidR="00602B41" w:rsidRPr="00E554DE" w:rsidRDefault="0014776D" w:rsidP="00906541">
      <w:r w:rsidRPr="00E554DE">
        <w:t>1.17</w:t>
      </w:r>
      <w:r w:rsidRPr="00E554DE">
        <w:tab/>
      </w:r>
      <w:r w:rsidR="00602B41" w:rsidRPr="00E554DE">
        <w:t xml:space="preserve">Le </w:t>
      </w:r>
      <w:r w:rsidR="00602B41" w:rsidRPr="00E554DE">
        <w:rPr>
          <w:b/>
          <w:bCs/>
        </w:rPr>
        <w:t>délégué du Lesotho</w:t>
      </w:r>
      <w:r w:rsidR="00602B41" w:rsidRPr="00E554DE">
        <w:t>, s'exprimant en sa qualité de Vice-Président du Groupe de l'UAT chargé de préparer la CMR-23, salue la contribution remarquable de la Présidente de la Commission 2 et du Président de la Commission 6.</w:t>
      </w:r>
    </w:p>
    <w:p w14:paraId="73573926" w14:textId="5A196C1C" w:rsidR="0014776D" w:rsidRPr="00E554DE" w:rsidRDefault="0014776D" w:rsidP="00906541">
      <w:r w:rsidRPr="00E554DE">
        <w:t>1.18</w:t>
      </w:r>
      <w:r w:rsidRPr="00E554DE">
        <w:tab/>
      </w:r>
      <w:r w:rsidR="00A96EFC" w:rsidRPr="00E554DE">
        <w:t xml:space="preserve">Le </w:t>
      </w:r>
      <w:r w:rsidR="00A96EFC" w:rsidRPr="00E554DE">
        <w:rPr>
          <w:b/>
          <w:bCs/>
        </w:rPr>
        <w:t>Président de la Commission 7</w:t>
      </w:r>
      <w:r w:rsidR="00A96EFC" w:rsidRPr="00E554DE">
        <w:t xml:space="preserve"> </w:t>
      </w:r>
      <w:r w:rsidR="00CA2B5A" w:rsidRPr="00E554DE">
        <w:t xml:space="preserve">déclare que la </w:t>
      </w:r>
      <w:r w:rsidR="005A4E04" w:rsidRPr="00E554DE">
        <w:t>C</w:t>
      </w:r>
      <w:r w:rsidR="00CA2B5A" w:rsidRPr="00E554DE">
        <w:t>ommission de rédaction a poursuivi ses trava</w:t>
      </w:r>
      <w:r w:rsidR="00623429" w:rsidRPr="00E554DE">
        <w:t>u</w:t>
      </w:r>
      <w:r w:rsidR="00CA2B5A" w:rsidRPr="00E554DE">
        <w:t>x; cinq séries de textes sont prêt</w:t>
      </w:r>
      <w:r w:rsidR="008B3118" w:rsidRPr="00E554DE">
        <w:t>e</w:t>
      </w:r>
      <w:r w:rsidR="00CA2B5A" w:rsidRPr="00E554DE">
        <w:t>s à être soumis</w:t>
      </w:r>
      <w:r w:rsidR="008B3118" w:rsidRPr="00E554DE">
        <w:t>es</w:t>
      </w:r>
      <w:r w:rsidR="00CA2B5A" w:rsidRPr="00E554DE">
        <w:t xml:space="preserve"> à la présente séance plénière en première lecture et d'autres sont en cours d'élaboration.</w:t>
      </w:r>
    </w:p>
    <w:p w14:paraId="30BD5E62" w14:textId="71404CC6" w:rsidR="0014776D" w:rsidRPr="00E554DE" w:rsidRDefault="0014776D" w:rsidP="00906541">
      <w:pPr>
        <w:rPr>
          <w:bdr w:val="none" w:sz="0" w:space="0" w:color="auto" w:frame="1"/>
        </w:rPr>
      </w:pPr>
      <w:r w:rsidRPr="00E554DE">
        <w:t>1.19</w:t>
      </w:r>
      <w:r w:rsidRPr="00E554DE">
        <w:tab/>
        <w:t xml:space="preserve">Il est </w:t>
      </w:r>
      <w:r w:rsidRPr="00E554DE">
        <w:rPr>
          <w:b/>
          <w:bCs/>
        </w:rPr>
        <w:t>pris note</w:t>
      </w:r>
      <w:r w:rsidRPr="00E554DE">
        <w:t xml:space="preserve"> du rapport verbal du Président de la Commission 7.</w:t>
      </w:r>
    </w:p>
    <w:p w14:paraId="6A4528E4" w14:textId="1187FAD9" w:rsidR="0014776D" w:rsidRPr="00E554DE" w:rsidRDefault="0014776D" w:rsidP="00906541">
      <w:pPr>
        <w:pStyle w:val="Heading1"/>
      </w:pPr>
      <w:r w:rsidRPr="00E554DE">
        <w:t>2</w:t>
      </w:r>
      <w:r w:rsidRPr="00E554DE">
        <w:tab/>
        <w:t xml:space="preserve">Note du Président de la Commission 7 (Document </w:t>
      </w:r>
      <w:r w:rsidR="002B378B" w:rsidRPr="00E554DE">
        <w:t>503</w:t>
      </w:r>
      <w:r w:rsidRPr="00E554DE">
        <w:t>)</w:t>
      </w:r>
    </w:p>
    <w:p w14:paraId="7A3EAEC2" w14:textId="7D711072" w:rsidR="0014776D" w:rsidRPr="00E554DE" w:rsidRDefault="0014776D" w:rsidP="00906541">
      <w:r w:rsidRPr="00E554DE">
        <w:t>2.1</w:t>
      </w:r>
      <w:r w:rsidRPr="00E554DE">
        <w:tab/>
        <w:t xml:space="preserve">Le </w:t>
      </w:r>
      <w:r w:rsidRPr="00E554DE">
        <w:rPr>
          <w:b/>
          <w:bCs/>
        </w:rPr>
        <w:t xml:space="preserve">Président de la Commission </w:t>
      </w:r>
      <w:r w:rsidR="001362FF" w:rsidRPr="00E554DE">
        <w:rPr>
          <w:b/>
          <w:bCs/>
        </w:rPr>
        <w:t>7</w:t>
      </w:r>
      <w:r w:rsidRPr="00E554DE">
        <w:t xml:space="preserve"> présente le Document </w:t>
      </w:r>
      <w:r w:rsidR="001362FF" w:rsidRPr="00E554DE">
        <w:t>503</w:t>
      </w:r>
      <w:r w:rsidR="00CA2B5A" w:rsidRPr="00E554DE">
        <w:t xml:space="preserve"> sur le traitement des corrections d'ordre rédactionnel apportées au Règlement des radiocommunications. Les corrections d'ordre rédactionnel </w:t>
      </w:r>
      <w:r w:rsidR="00B856DA" w:rsidRPr="00E554DE">
        <w:t xml:space="preserve">à apporter recensées </w:t>
      </w:r>
      <w:r w:rsidR="002434E3" w:rsidRPr="00E554DE">
        <w:t>durant le</w:t>
      </w:r>
      <w:r w:rsidR="005A4E04" w:rsidRPr="00E554DE">
        <w:t xml:space="preserve"> processus décrit dans le document ne figureront pas dans les Actes finals de la CMR-23, mais il est demandé à la Conférence d'autoriser le Directeur du BR à insérer les corrections correspondantes dans </w:t>
      </w:r>
      <w:r w:rsidR="00B856DA" w:rsidRPr="00E554DE">
        <w:t xml:space="preserve">la prochaine </w:t>
      </w:r>
      <w:r w:rsidR="005A4E04" w:rsidRPr="00E554DE">
        <w:t>édition du Règlement des radiocommunications.</w:t>
      </w:r>
    </w:p>
    <w:p w14:paraId="51C332F3" w14:textId="46236050" w:rsidR="0014776D" w:rsidRPr="00E554DE" w:rsidRDefault="0014776D" w:rsidP="00906541">
      <w:r w:rsidRPr="00E554DE">
        <w:t>2.2</w:t>
      </w:r>
      <w:r w:rsidRPr="00E554DE">
        <w:tab/>
      </w:r>
      <w:r w:rsidR="001362FF" w:rsidRPr="00E554DE">
        <w:t xml:space="preserve">Il en est ainsi </w:t>
      </w:r>
      <w:r w:rsidR="001362FF" w:rsidRPr="00E554DE">
        <w:rPr>
          <w:b/>
          <w:bCs/>
        </w:rPr>
        <w:t>décidé</w:t>
      </w:r>
      <w:r w:rsidRPr="00E554DE">
        <w:t>.</w:t>
      </w:r>
    </w:p>
    <w:p w14:paraId="5632B82D" w14:textId="7590DF9F" w:rsidR="001362FF" w:rsidRPr="00E554DE" w:rsidRDefault="001362FF" w:rsidP="00906541">
      <w:r w:rsidRPr="00E554DE">
        <w:t>2.3</w:t>
      </w:r>
      <w:r w:rsidRPr="00E554DE">
        <w:tab/>
      </w:r>
      <w:r w:rsidR="005A4E04" w:rsidRPr="00E554DE">
        <w:t xml:space="preserve">Le </w:t>
      </w:r>
      <w:r w:rsidR="005A4E04" w:rsidRPr="00E554DE">
        <w:rPr>
          <w:b/>
          <w:bCs/>
        </w:rPr>
        <w:t>Président de la Commission 7</w:t>
      </w:r>
      <w:r w:rsidR="005A4E04" w:rsidRPr="00E554DE">
        <w:t xml:space="preserve"> demande en outre que, conformément à la pratique habituelle, la Commission de rédaction soit autorisée à poursuivre le travail </w:t>
      </w:r>
      <w:r w:rsidR="002434E3" w:rsidRPr="00E554DE">
        <w:t>d'harmonisation d'ordre</w:t>
      </w:r>
      <w:r w:rsidR="005A4E04" w:rsidRPr="00E554DE">
        <w:t xml:space="preserve"> rédactionnel des Actes finals provisoires après la Conférence, en vue d'élaborer l</w:t>
      </w:r>
      <w:r w:rsidR="00B856DA" w:rsidRPr="00E554DE">
        <w:t>a version définitive d</w:t>
      </w:r>
      <w:r w:rsidR="005A4E04" w:rsidRPr="00E554DE">
        <w:t>es Actes finals de la CMR-23.</w:t>
      </w:r>
    </w:p>
    <w:p w14:paraId="1864B794" w14:textId="152BEA0A" w:rsidR="001362FF" w:rsidRPr="00E554DE" w:rsidRDefault="001362FF" w:rsidP="00906541">
      <w:r w:rsidRPr="00E554DE">
        <w:t>2.4</w:t>
      </w:r>
      <w:r w:rsidRPr="00E554DE">
        <w:tab/>
        <w:t xml:space="preserve">Il en est ainsi </w:t>
      </w:r>
      <w:r w:rsidRPr="00E554DE">
        <w:rPr>
          <w:b/>
          <w:bCs/>
        </w:rPr>
        <w:t>décidé</w:t>
      </w:r>
      <w:r w:rsidRPr="00E554DE">
        <w:t>.</w:t>
      </w:r>
    </w:p>
    <w:p w14:paraId="48867276" w14:textId="080B0C7F" w:rsidR="0014776D" w:rsidRPr="00E554DE" w:rsidRDefault="0014776D" w:rsidP="00906541">
      <w:pPr>
        <w:pStyle w:val="Heading1"/>
      </w:pPr>
      <w:r w:rsidRPr="00E554DE">
        <w:t>3</w:t>
      </w:r>
      <w:r w:rsidRPr="00E554DE">
        <w:tab/>
      </w:r>
      <w:r w:rsidR="001362FF" w:rsidRPr="00E554DE">
        <w:t>Trente-septième série de textes soumis par la Commission de rédaction en première lecture (B37)</w:t>
      </w:r>
      <w:r w:rsidRPr="00E554DE">
        <w:t xml:space="preserve"> (Document </w:t>
      </w:r>
      <w:r w:rsidR="001362FF" w:rsidRPr="00E554DE">
        <w:t>469</w:t>
      </w:r>
      <w:r w:rsidRPr="00E554DE">
        <w:t>)</w:t>
      </w:r>
    </w:p>
    <w:p w14:paraId="68E1FF11" w14:textId="0DC180C2" w:rsidR="0014776D" w:rsidRPr="00E554DE" w:rsidRDefault="0014776D" w:rsidP="00906541">
      <w:r w:rsidRPr="00E554DE">
        <w:t>3.1</w:t>
      </w:r>
      <w:r w:rsidRPr="00E554DE">
        <w:tab/>
        <w:t xml:space="preserve">Le </w:t>
      </w:r>
      <w:r w:rsidRPr="00E554DE">
        <w:rPr>
          <w:b/>
          <w:bCs/>
        </w:rPr>
        <w:t>Président de la Commission de rédaction</w:t>
      </w:r>
      <w:r w:rsidRPr="00E554DE">
        <w:t xml:space="preserve"> présente le Document </w:t>
      </w:r>
      <w:r w:rsidR="001362FF" w:rsidRPr="00E554DE">
        <w:t>469</w:t>
      </w:r>
      <w:r w:rsidRPr="00E554DE">
        <w:t>.</w:t>
      </w:r>
    </w:p>
    <w:p w14:paraId="41032616" w14:textId="59BA83E9" w:rsidR="0014776D" w:rsidRPr="00E554DE" w:rsidRDefault="0014776D" w:rsidP="00906541">
      <w:r w:rsidRPr="00E554DE">
        <w:t>3.2</w:t>
      </w:r>
      <w:r w:rsidRPr="00E554DE">
        <w:tab/>
        <w:t xml:space="preserve">Le </w:t>
      </w:r>
      <w:r w:rsidRPr="00E554DE">
        <w:rPr>
          <w:b/>
          <w:bCs/>
        </w:rPr>
        <w:t>Président</w:t>
      </w:r>
      <w:r w:rsidRPr="00E554DE">
        <w:t xml:space="preserve"> invite les participants à examiner le Document </w:t>
      </w:r>
      <w:r w:rsidR="001362FF" w:rsidRPr="00E554DE">
        <w:t>469</w:t>
      </w:r>
      <w:r w:rsidRPr="00E554DE">
        <w:t>.</w:t>
      </w:r>
    </w:p>
    <w:p w14:paraId="30545680" w14:textId="68069822" w:rsidR="001362FF" w:rsidRPr="00E554DE" w:rsidRDefault="001362FF" w:rsidP="00906541">
      <w:pPr>
        <w:rPr>
          <w:b/>
          <w:bCs/>
        </w:rPr>
      </w:pPr>
      <w:bookmarkStart w:id="9" w:name="lt_pId174"/>
      <w:r w:rsidRPr="00E554DE">
        <w:rPr>
          <w:b/>
          <w:bCs/>
        </w:rPr>
        <w:t>Appendice 30 (MOD 4.1.10d, ADD 4.1.13</w:t>
      </w:r>
      <w:r w:rsidRPr="00E554DE">
        <w:rPr>
          <w:b/>
          <w:bCs/>
          <w:i/>
          <w:iCs/>
        </w:rPr>
        <w:t>bis</w:t>
      </w:r>
      <w:r w:rsidRPr="00E554DE">
        <w:rPr>
          <w:b/>
          <w:bCs/>
        </w:rPr>
        <w:t>, ADD 4.1.13</w:t>
      </w:r>
      <w:r w:rsidRPr="00E554DE">
        <w:rPr>
          <w:b/>
          <w:bCs/>
          <w:i/>
          <w:iCs/>
        </w:rPr>
        <w:t>ter</w:t>
      </w:r>
      <w:r w:rsidRPr="00E554DE">
        <w:rPr>
          <w:b/>
          <w:bCs/>
        </w:rPr>
        <w:t>, ADD 4.1.30, ADD 4.1.31, ADD 4.1.32, MOD Article 5 Titre, ADD 5.1.6</w:t>
      </w:r>
      <w:r w:rsidRPr="00E554DE">
        <w:rPr>
          <w:b/>
          <w:bCs/>
          <w:i/>
          <w:iCs/>
        </w:rPr>
        <w:t>bis</w:t>
      </w:r>
      <w:r w:rsidRPr="00E554DE">
        <w:rPr>
          <w:b/>
          <w:bCs/>
        </w:rPr>
        <w:t>); Appendice 30A (MOD Article 4 Titre, MOD 4.1.10d, ADD 4.1.10e, ADD 4.1.13</w:t>
      </w:r>
      <w:r w:rsidRPr="00E554DE">
        <w:rPr>
          <w:b/>
          <w:bCs/>
          <w:i/>
          <w:iCs/>
        </w:rPr>
        <w:t>bis</w:t>
      </w:r>
      <w:r w:rsidRPr="00E554DE">
        <w:rPr>
          <w:b/>
          <w:bCs/>
        </w:rPr>
        <w:t>, ADD 4.1.13</w:t>
      </w:r>
      <w:r w:rsidRPr="00E554DE">
        <w:rPr>
          <w:b/>
          <w:bCs/>
          <w:i/>
          <w:iCs/>
        </w:rPr>
        <w:t>ter</w:t>
      </w:r>
      <w:r w:rsidRPr="00E554DE">
        <w:rPr>
          <w:b/>
          <w:bCs/>
        </w:rPr>
        <w:t>, ADD 4.1.30, ADD 4.1.30</w:t>
      </w:r>
      <w:r w:rsidRPr="00E554DE">
        <w:rPr>
          <w:b/>
          <w:bCs/>
          <w:i/>
          <w:iCs/>
        </w:rPr>
        <w:t>bis</w:t>
      </w:r>
      <w:r w:rsidRPr="00E554DE">
        <w:rPr>
          <w:b/>
          <w:bCs/>
        </w:rPr>
        <w:t>, ADD 4.1.31, ADD 4.1.31</w:t>
      </w:r>
      <w:r w:rsidRPr="00E554DE">
        <w:rPr>
          <w:b/>
          <w:bCs/>
          <w:i/>
          <w:iCs/>
        </w:rPr>
        <w:t>bis</w:t>
      </w:r>
      <w:r w:rsidRPr="00E554DE">
        <w:rPr>
          <w:b/>
          <w:bCs/>
        </w:rPr>
        <w:t>, ADD 4.1.32, ADD 4.1.33, ADD 4.1.34, ADD 4.1.35, ADD 4.1.36, MOD Article 5 Titre, ADD 5.1.10</w:t>
      </w:r>
      <w:r w:rsidRPr="00E554DE">
        <w:rPr>
          <w:b/>
          <w:bCs/>
          <w:i/>
          <w:iCs/>
        </w:rPr>
        <w:t>bis</w:t>
      </w:r>
      <w:r w:rsidRPr="00E554DE">
        <w:rPr>
          <w:b/>
          <w:bCs/>
        </w:rPr>
        <w:t>); Appendice 30B (MOD Article 6 Tit</w:t>
      </w:r>
      <w:r w:rsidR="00B856DA" w:rsidRPr="00E554DE">
        <w:rPr>
          <w:b/>
          <w:bCs/>
        </w:rPr>
        <w:t>r</w:t>
      </w:r>
      <w:r w:rsidRPr="00E554DE">
        <w:rPr>
          <w:b/>
          <w:bCs/>
        </w:rPr>
        <w:t>e, ADD 6.4</w:t>
      </w:r>
      <w:r w:rsidRPr="00E554DE">
        <w:rPr>
          <w:b/>
          <w:bCs/>
          <w:i/>
          <w:iCs/>
        </w:rPr>
        <w:t>bis</w:t>
      </w:r>
      <w:r w:rsidRPr="00E554DE">
        <w:rPr>
          <w:b/>
          <w:bCs/>
        </w:rPr>
        <w:t>, MOD 6.15, ADD 6.15</w:t>
      </w:r>
      <w:r w:rsidRPr="00E554DE">
        <w:rPr>
          <w:b/>
          <w:bCs/>
          <w:i/>
          <w:iCs/>
        </w:rPr>
        <w:t>quat</w:t>
      </w:r>
      <w:r w:rsidRPr="00E554DE">
        <w:rPr>
          <w:b/>
          <w:bCs/>
        </w:rPr>
        <w:t>, ADD 6.15</w:t>
      </w:r>
      <w:r w:rsidRPr="00E554DE">
        <w:rPr>
          <w:b/>
          <w:bCs/>
          <w:i/>
          <w:iCs/>
        </w:rPr>
        <w:t>quin</w:t>
      </w:r>
      <w:r w:rsidRPr="00E554DE">
        <w:rPr>
          <w:b/>
          <w:bCs/>
        </w:rPr>
        <w:t>, MOD 6.16, ADD 6.27</w:t>
      </w:r>
      <w:r w:rsidRPr="00E554DE">
        <w:rPr>
          <w:b/>
          <w:bCs/>
          <w:i/>
          <w:iCs/>
        </w:rPr>
        <w:t>bis</w:t>
      </w:r>
      <w:r w:rsidRPr="00E554DE">
        <w:rPr>
          <w:b/>
          <w:bCs/>
        </w:rPr>
        <w:t>, ADD 6.29</w:t>
      </w:r>
      <w:r w:rsidRPr="00E554DE">
        <w:rPr>
          <w:b/>
          <w:bCs/>
          <w:i/>
          <w:iCs/>
        </w:rPr>
        <w:t>bis</w:t>
      </w:r>
      <w:r w:rsidRPr="00E554DE">
        <w:rPr>
          <w:b/>
          <w:bCs/>
        </w:rPr>
        <w:t>, ADD 6.29</w:t>
      </w:r>
      <w:r w:rsidRPr="00E554DE">
        <w:rPr>
          <w:b/>
          <w:bCs/>
          <w:i/>
          <w:iCs/>
        </w:rPr>
        <w:t>ter</w:t>
      </w:r>
      <w:r w:rsidRPr="00E554DE">
        <w:rPr>
          <w:b/>
          <w:bCs/>
        </w:rPr>
        <w:t xml:space="preserve">, </w:t>
      </w:r>
      <w:r w:rsidRPr="00E554DE">
        <w:rPr>
          <w:b/>
          <w:bCs/>
        </w:rPr>
        <w:lastRenderedPageBreak/>
        <w:t>ADD 6.31</w:t>
      </w:r>
      <w:r w:rsidRPr="00E554DE">
        <w:rPr>
          <w:b/>
          <w:bCs/>
          <w:i/>
          <w:iCs/>
        </w:rPr>
        <w:t>ter</w:t>
      </w:r>
      <w:r w:rsidRPr="00E554DE">
        <w:rPr>
          <w:b/>
          <w:bCs/>
        </w:rPr>
        <w:t>, MOD 6.32, MOD 6.33, ADD 6.37, ADD 6.37</w:t>
      </w:r>
      <w:r w:rsidRPr="00E554DE">
        <w:rPr>
          <w:b/>
          <w:bCs/>
          <w:i/>
          <w:iCs/>
        </w:rPr>
        <w:t>bis</w:t>
      </w:r>
      <w:r w:rsidRPr="00E554DE">
        <w:rPr>
          <w:b/>
          <w:bCs/>
        </w:rPr>
        <w:t>, ADD 6.38, ADD 6.38</w:t>
      </w:r>
      <w:r w:rsidRPr="00E554DE">
        <w:rPr>
          <w:b/>
          <w:bCs/>
          <w:i/>
          <w:iCs/>
        </w:rPr>
        <w:t>bis</w:t>
      </w:r>
      <w:r w:rsidRPr="00E554DE">
        <w:rPr>
          <w:b/>
          <w:bCs/>
        </w:rPr>
        <w:t>, ADD 6.39, ADD 6.40, MOD 7.3, MOD 7.4</w:t>
      </w:r>
      <w:r w:rsidRPr="00E554DE">
        <w:rPr>
          <w:b/>
          <w:bCs/>
          <w:i/>
          <w:iCs/>
        </w:rPr>
        <w:t>bis</w:t>
      </w:r>
      <w:r w:rsidRPr="00E554DE">
        <w:rPr>
          <w:b/>
          <w:bCs/>
        </w:rPr>
        <w:t>, MOD 7.5, MOD 7.7, ADD 7.8, ADD 8.2</w:t>
      </w:r>
      <w:r w:rsidRPr="00E554DE">
        <w:rPr>
          <w:b/>
          <w:bCs/>
          <w:i/>
          <w:iCs/>
        </w:rPr>
        <w:t>bis</w:t>
      </w:r>
      <w:r w:rsidRPr="00E554DE">
        <w:rPr>
          <w:b/>
          <w:bCs/>
        </w:rPr>
        <w:t>, ADD</w:t>
      </w:r>
      <w:r w:rsidR="00087E23" w:rsidRPr="00E554DE">
        <w:rPr>
          <w:b/>
          <w:bCs/>
        </w:rPr>
        <w:t> </w:t>
      </w:r>
      <w:r w:rsidRPr="00E554DE">
        <w:rPr>
          <w:b/>
          <w:bCs/>
        </w:rPr>
        <w:t>8.10</w:t>
      </w:r>
      <w:r w:rsidRPr="00E554DE">
        <w:rPr>
          <w:b/>
          <w:bCs/>
          <w:i/>
          <w:iCs/>
        </w:rPr>
        <w:t>bis</w:t>
      </w:r>
      <w:r w:rsidRPr="00E554DE">
        <w:rPr>
          <w:b/>
          <w:bCs/>
        </w:rPr>
        <w:t>, ADD 8.10</w:t>
      </w:r>
      <w:r w:rsidRPr="00E554DE">
        <w:rPr>
          <w:b/>
          <w:bCs/>
          <w:i/>
          <w:iCs/>
        </w:rPr>
        <w:t>ter</w:t>
      </w:r>
      <w:r w:rsidRPr="00E554DE">
        <w:rPr>
          <w:b/>
          <w:bCs/>
        </w:rPr>
        <w:t>, MOD 8.16, ADD 7, MOD Table</w:t>
      </w:r>
      <w:r w:rsidR="00B856DA" w:rsidRPr="00E554DE">
        <w:rPr>
          <w:b/>
          <w:bCs/>
        </w:rPr>
        <w:t>au</w:t>
      </w:r>
      <w:r w:rsidRPr="00E554DE">
        <w:rPr>
          <w:b/>
          <w:bCs/>
        </w:rPr>
        <w:t xml:space="preserve"> 4 500-4 800 MHz, 6</w:t>
      </w:r>
      <w:r w:rsidR="00087E23" w:rsidRPr="00E554DE">
        <w:rPr>
          <w:b/>
          <w:bCs/>
        </w:rPr>
        <w:t> </w:t>
      </w:r>
      <w:r w:rsidRPr="00E554DE">
        <w:rPr>
          <w:b/>
          <w:bCs/>
        </w:rPr>
        <w:t>725</w:t>
      </w:r>
      <w:r w:rsidR="00087E23" w:rsidRPr="00E554DE">
        <w:rPr>
          <w:b/>
          <w:bCs/>
        </w:rPr>
        <w:noBreakHyphen/>
      </w:r>
      <w:r w:rsidRPr="00E554DE">
        <w:rPr>
          <w:b/>
          <w:bCs/>
        </w:rPr>
        <w:t>7</w:t>
      </w:r>
      <w:r w:rsidR="00087E23" w:rsidRPr="00E554DE">
        <w:rPr>
          <w:b/>
          <w:bCs/>
        </w:rPr>
        <w:t> </w:t>
      </w:r>
      <w:r w:rsidRPr="00E554DE">
        <w:rPr>
          <w:b/>
          <w:bCs/>
        </w:rPr>
        <w:t>025</w:t>
      </w:r>
      <w:r w:rsidR="00087E23" w:rsidRPr="00E554DE">
        <w:rPr>
          <w:b/>
          <w:bCs/>
        </w:rPr>
        <w:t> </w:t>
      </w:r>
      <w:r w:rsidRPr="00E554DE">
        <w:rPr>
          <w:b/>
          <w:bCs/>
        </w:rPr>
        <w:t>MHz, MOD Tableau 10,70-10,95 GHz, 11,20-11,45 GHz, 12,75-13,25 GHz); ADD</w:t>
      </w:r>
      <w:r w:rsidR="00087E23" w:rsidRPr="00E554DE">
        <w:rPr>
          <w:b/>
          <w:bCs/>
        </w:rPr>
        <w:t> </w:t>
      </w:r>
      <w:r w:rsidRPr="00E554DE">
        <w:rPr>
          <w:b/>
          <w:bCs/>
        </w:rPr>
        <w:t xml:space="preserve">Annexe 7; MOD Résolution 170 (CMR-19); ADD Résolution COM5/9 (CMR-23) – </w:t>
      </w:r>
      <w:bookmarkEnd w:id="9"/>
      <w:r w:rsidR="00914EF0" w:rsidRPr="00E554DE">
        <w:rPr>
          <w:b/>
          <w:bCs/>
        </w:rPr>
        <w:t>Mesures réglementaires provisoires dans l'Appendice 30B visant à améliorer la situation de référence des allotissements nationaux gravement affectés</w:t>
      </w:r>
    </w:p>
    <w:p w14:paraId="0F931298" w14:textId="77777777" w:rsidR="0014776D" w:rsidRPr="00E554DE" w:rsidRDefault="0014776D" w:rsidP="00906541">
      <w:r w:rsidRPr="00E554DE">
        <w:t>3.3</w:t>
      </w:r>
      <w:r w:rsidRPr="00E554DE">
        <w:tab/>
      </w:r>
      <w:r w:rsidRPr="00E554DE">
        <w:rPr>
          <w:b/>
          <w:bCs/>
        </w:rPr>
        <w:t>Approuvés</w:t>
      </w:r>
      <w:r w:rsidRPr="00E554DE">
        <w:t>.</w:t>
      </w:r>
    </w:p>
    <w:p w14:paraId="183D175B" w14:textId="12C2E08D" w:rsidR="0014776D" w:rsidRPr="00E554DE" w:rsidRDefault="0014776D" w:rsidP="00906541">
      <w:r w:rsidRPr="00E554DE">
        <w:t>3.4</w:t>
      </w:r>
      <w:r w:rsidRPr="00E554DE">
        <w:tab/>
        <w:t xml:space="preserve">La </w:t>
      </w:r>
      <w:r w:rsidR="00914EF0" w:rsidRPr="00E554DE">
        <w:t>trente-septième</w:t>
      </w:r>
      <w:r w:rsidRPr="00E554DE">
        <w:t xml:space="preserve"> série de textes soumis par la Commission de rédaction en première lecture (B</w:t>
      </w:r>
      <w:r w:rsidR="00914EF0" w:rsidRPr="00E554DE">
        <w:t>37</w:t>
      </w:r>
      <w:r w:rsidRPr="00E554DE">
        <w:t xml:space="preserve">) (Document </w:t>
      </w:r>
      <w:r w:rsidR="00914EF0" w:rsidRPr="00E554DE">
        <w:t>469</w:t>
      </w:r>
      <w:r w:rsidRPr="00E554DE">
        <w:t xml:space="preserve">) est </w:t>
      </w:r>
      <w:r w:rsidRPr="00E554DE">
        <w:rPr>
          <w:b/>
          <w:bCs/>
        </w:rPr>
        <w:t>approuvée</w:t>
      </w:r>
      <w:r w:rsidRPr="00E554DE">
        <w:t>.</w:t>
      </w:r>
    </w:p>
    <w:p w14:paraId="7AB5B221" w14:textId="5CB4A92D" w:rsidR="0014776D" w:rsidRPr="00E554DE" w:rsidRDefault="0014776D" w:rsidP="00906541">
      <w:pPr>
        <w:pStyle w:val="Heading1"/>
      </w:pPr>
      <w:r w:rsidRPr="00E554DE">
        <w:t>4</w:t>
      </w:r>
      <w:r w:rsidRPr="00E554DE">
        <w:tab/>
      </w:r>
      <w:r w:rsidR="00914EF0" w:rsidRPr="00E554DE">
        <w:t>Trente-septième</w:t>
      </w:r>
      <w:r w:rsidRPr="00E554DE">
        <w:t xml:space="preserve"> série de textes soumis par la Commission de rédaction (B</w:t>
      </w:r>
      <w:r w:rsidR="00914EF0" w:rsidRPr="00E554DE">
        <w:t>37</w:t>
      </w:r>
      <w:r w:rsidRPr="00E554DE">
        <w:t xml:space="preserve">) – deuxième lecture (Document </w:t>
      </w:r>
      <w:r w:rsidR="00914EF0" w:rsidRPr="00E554DE">
        <w:t>469</w:t>
      </w:r>
      <w:r w:rsidRPr="00E554DE">
        <w:t>)</w:t>
      </w:r>
    </w:p>
    <w:p w14:paraId="277FA569" w14:textId="22F860A8" w:rsidR="0014776D" w:rsidRPr="00E554DE" w:rsidRDefault="0014776D" w:rsidP="00906541">
      <w:r w:rsidRPr="00E554DE">
        <w:t>4.1</w:t>
      </w:r>
      <w:r w:rsidRPr="00E554DE">
        <w:tab/>
        <w:t xml:space="preserve">La </w:t>
      </w:r>
      <w:r w:rsidR="00914EF0" w:rsidRPr="00E554DE">
        <w:t>trente-septième</w:t>
      </w:r>
      <w:r w:rsidRPr="00E554DE">
        <w:t xml:space="preserve"> série de textes soumis par la Commission de rédaction (B</w:t>
      </w:r>
      <w:r w:rsidR="00914EF0" w:rsidRPr="00E554DE">
        <w:t>37</w:t>
      </w:r>
      <w:r w:rsidRPr="00E554DE">
        <w:t>) (Document </w:t>
      </w:r>
      <w:r w:rsidR="00914EF0" w:rsidRPr="00E554DE">
        <w:t>469</w:t>
      </w:r>
      <w:r w:rsidRPr="00E554DE">
        <w:t xml:space="preserve">) est </w:t>
      </w:r>
      <w:r w:rsidRPr="00E554DE">
        <w:rPr>
          <w:b/>
          <w:bCs/>
        </w:rPr>
        <w:t>approuvée</w:t>
      </w:r>
      <w:r w:rsidRPr="00E554DE">
        <w:t xml:space="preserve"> en deuxième lecture.</w:t>
      </w:r>
    </w:p>
    <w:p w14:paraId="2DA0D304" w14:textId="107FF771" w:rsidR="00914EF0" w:rsidRPr="00E554DE" w:rsidRDefault="00914EF0" w:rsidP="00906541">
      <w:r w:rsidRPr="00E554DE">
        <w:t>4.2</w:t>
      </w:r>
      <w:r w:rsidRPr="00E554DE">
        <w:tab/>
      </w:r>
      <w:r w:rsidR="00623429" w:rsidRPr="00E554DE">
        <w:t xml:space="preserve">Le </w:t>
      </w:r>
      <w:r w:rsidR="00623429" w:rsidRPr="00E554DE">
        <w:rPr>
          <w:b/>
          <w:bCs/>
        </w:rPr>
        <w:t>délégué de la République sudafricaine</w:t>
      </w:r>
      <w:r w:rsidR="00623429" w:rsidRPr="00E554DE">
        <w:t xml:space="preserve">, s'exprimant au nom du Groupe africain, soutenu par le </w:t>
      </w:r>
      <w:r w:rsidR="00623429" w:rsidRPr="00E554DE">
        <w:rPr>
          <w:b/>
          <w:bCs/>
        </w:rPr>
        <w:t>délégué de la République islamique d'Iran</w:t>
      </w:r>
      <w:r w:rsidR="00623429" w:rsidRPr="00E554DE">
        <w:t>, propose que les propositions nouvellement approuvées concernant le point 7 de l'ordre du jour, Question F, entrent en vigueur le</w:t>
      </w:r>
      <w:r w:rsidR="002930B6" w:rsidRPr="00E554DE">
        <w:t> </w:t>
      </w:r>
      <w:r w:rsidR="00623429" w:rsidRPr="00E554DE">
        <w:t>16 décembre 2023, soit le lendemain de la clôture de la Conférence.</w:t>
      </w:r>
    </w:p>
    <w:p w14:paraId="197EDB2B" w14:textId="6524CC01" w:rsidR="00914EF0" w:rsidRPr="00E554DE" w:rsidRDefault="00914EF0" w:rsidP="00906541">
      <w:r w:rsidRPr="00E554DE">
        <w:t>4.3</w:t>
      </w:r>
      <w:r w:rsidRPr="00E554DE">
        <w:tab/>
        <w:t xml:space="preserve">Il en est ainsi </w:t>
      </w:r>
      <w:r w:rsidRPr="00E554DE">
        <w:rPr>
          <w:b/>
          <w:bCs/>
        </w:rPr>
        <w:t>décidé</w:t>
      </w:r>
      <w:r w:rsidRPr="00E554DE">
        <w:t>.</w:t>
      </w:r>
    </w:p>
    <w:p w14:paraId="4FB32891" w14:textId="6D2AE297" w:rsidR="00914EF0" w:rsidRPr="00E554DE" w:rsidRDefault="00914EF0" w:rsidP="00906541">
      <w:r w:rsidRPr="00E554DE">
        <w:t>4.4</w:t>
      </w:r>
      <w:r w:rsidRPr="00E554DE">
        <w:tab/>
      </w:r>
      <w:r w:rsidR="00623429" w:rsidRPr="00E554DE">
        <w:t xml:space="preserve">Le </w:t>
      </w:r>
      <w:r w:rsidR="00623429" w:rsidRPr="00E554DE">
        <w:rPr>
          <w:b/>
          <w:bCs/>
        </w:rPr>
        <w:t>délégué de la République islamique d'Iran</w:t>
      </w:r>
      <w:r w:rsidR="00623429" w:rsidRPr="00E554DE">
        <w:t xml:space="preserve"> remercie tout particulièrement la déléguée du Botswana d'avoir assuré la coordination entre 12 administrations africaines </w:t>
      </w:r>
      <w:r w:rsidR="00B856DA" w:rsidRPr="00E554DE">
        <w:t xml:space="preserve">intéressées </w:t>
      </w:r>
      <w:r w:rsidR="00623429" w:rsidRPr="00E554DE">
        <w:t>en vue d'obtenir un accord sur</w:t>
      </w:r>
      <w:r w:rsidR="00162534" w:rsidRPr="00E554DE">
        <w:t xml:space="preserve"> des thèmes </w:t>
      </w:r>
      <w:r w:rsidR="00B856DA" w:rsidRPr="00E554DE">
        <w:t>en lien avec les</w:t>
      </w:r>
      <w:r w:rsidR="00623429" w:rsidRPr="00E554DE">
        <w:t xml:space="preserve"> Questions F, H et I </w:t>
      </w:r>
      <w:r w:rsidR="00B856DA" w:rsidRPr="00E554DE">
        <w:t>associées au</w:t>
      </w:r>
      <w:r w:rsidR="00623429" w:rsidRPr="00E554DE">
        <w:t xml:space="preserve"> point 7 de l'ordre du jour.</w:t>
      </w:r>
    </w:p>
    <w:p w14:paraId="669EE2CF" w14:textId="1007313B" w:rsidR="00914EF0" w:rsidRPr="00E554DE" w:rsidRDefault="00914EF0" w:rsidP="00906541">
      <w:r w:rsidRPr="00E554DE">
        <w:t>4.5</w:t>
      </w:r>
      <w:r w:rsidRPr="00E554DE">
        <w:tab/>
      </w:r>
      <w:r w:rsidR="00623429" w:rsidRPr="00E554DE">
        <w:t xml:space="preserve">Le </w:t>
      </w:r>
      <w:r w:rsidR="00623429" w:rsidRPr="00E554DE">
        <w:rPr>
          <w:b/>
          <w:bCs/>
        </w:rPr>
        <w:t>délégué du Zimbabwe</w:t>
      </w:r>
      <w:r w:rsidR="008A16EE" w:rsidRPr="00E554DE">
        <w:t xml:space="preserve"> exprime sa gratitude à l'Administration du Luxembourg pour avoir accepté d'ajuster sa couverture satellitaire afin de permettre aux Administrations du Botswana, de l'Eswatini et du Malawi de mettre en service leur satellite du service fixe par satellite (SFS) tel que planifié. </w:t>
      </w:r>
      <w:r w:rsidR="008112DB" w:rsidRPr="00E554DE">
        <w:t xml:space="preserve">Il </w:t>
      </w:r>
      <w:r w:rsidR="008A16EE" w:rsidRPr="00E554DE">
        <w:t xml:space="preserve">a également félicité ces trois administrations </w:t>
      </w:r>
      <w:r w:rsidR="008112DB" w:rsidRPr="00E554DE">
        <w:t xml:space="preserve">qui ont mené </w:t>
      </w:r>
      <w:r w:rsidR="0013746A" w:rsidRPr="00E554DE">
        <w:t>des négociations avec</w:t>
      </w:r>
      <w:r w:rsidR="008A16EE" w:rsidRPr="00E554DE">
        <w:t xml:space="preserve"> l'Administration du </w:t>
      </w:r>
      <w:r w:rsidR="0013746A" w:rsidRPr="00E554DE">
        <w:t>Luxembourg ont été couro</w:t>
      </w:r>
      <w:r w:rsidR="008112DB" w:rsidRPr="00E554DE">
        <w:t>n</w:t>
      </w:r>
      <w:r w:rsidR="0013746A" w:rsidRPr="00E554DE">
        <w:t>nées de succès</w:t>
      </w:r>
      <w:r w:rsidR="008A16EE" w:rsidRPr="00E554DE">
        <w:t xml:space="preserve">. </w:t>
      </w:r>
      <w:r w:rsidR="008112DB" w:rsidRPr="00E554DE">
        <w:t xml:space="preserve">Le seul fait </w:t>
      </w:r>
      <w:r w:rsidR="008A16EE" w:rsidRPr="00E554DE">
        <w:t>d'</w:t>
      </w:r>
      <w:r w:rsidR="008112DB" w:rsidRPr="00E554DE">
        <w:t xml:space="preserve">être parvenu à </w:t>
      </w:r>
      <w:r w:rsidR="008A16EE" w:rsidRPr="00E554DE">
        <w:t xml:space="preserve">un accord </w:t>
      </w:r>
      <w:r w:rsidR="008112DB" w:rsidRPr="00E554DE">
        <w:t>pour</w:t>
      </w:r>
      <w:r w:rsidR="008A16EE" w:rsidRPr="00E554DE">
        <w:t xml:space="preserve"> rétablir l'</w:t>
      </w:r>
      <w:r w:rsidR="008112DB" w:rsidRPr="00E554DE">
        <w:t>attribution</w:t>
      </w:r>
      <w:r w:rsidR="008A16EE" w:rsidRPr="00E554DE">
        <w:t xml:space="preserve"> </w:t>
      </w:r>
      <w:r w:rsidR="008112DB" w:rsidRPr="00E554DE">
        <w:t>a</w:t>
      </w:r>
      <w:r w:rsidR="0013746A" w:rsidRPr="00E554DE">
        <w:t xml:space="preserve">u </w:t>
      </w:r>
      <w:r w:rsidR="008A16EE" w:rsidRPr="00E554DE">
        <w:t xml:space="preserve">SFS est en soi une grande réussite, </w:t>
      </w:r>
      <w:r w:rsidR="008112DB" w:rsidRPr="00E554DE">
        <w:t xml:space="preserve">qui est </w:t>
      </w:r>
      <w:r w:rsidR="008A16EE" w:rsidRPr="00E554DE">
        <w:t>d'autant plus remarquable qu'elle n'est assortie d'aucune condition. Le Luxembourg a fait preuve de l'esprit d'</w:t>
      </w:r>
      <w:r w:rsidR="008A16EE" w:rsidRPr="00E554DE">
        <w:rPr>
          <w:i/>
          <w:iCs/>
        </w:rPr>
        <w:t>ubuntu</w:t>
      </w:r>
      <w:r w:rsidR="008A16EE" w:rsidRPr="00E554DE">
        <w:t xml:space="preserve"> et a montré qu</w:t>
      </w:r>
      <w:r w:rsidR="0013746A" w:rsidRPr="00E554DE">
        <w:t xml:space="preserve">'il </w:t>
      </w:r>
      <w:r w:rsidR="008112DB" w:rsidRPr="00E554DE">
        <w:t xml:space="preserve">est </w:t>
      </w:r>
      <w:r w:rsidR="0013746A" w:rsidRPr="00E554DE">
        <w:t xml:space="preserve">encore possible aujourd'hui, dans un </w:t>
      </w:r>
      <w:r w:rsidR="008A16EE" w:rsidRPr="00E554DE">
        <w:t>monde où règnent les intérêts commerciaux et l'égoïsme</w:t>
      </w:r>
      <w:r w:rsidR="0013746A" w:rsidRPr="00E554DE">
        <w:t>, de partager sans rien attendre en retour</w:t>
      </w:r>
      <w:r w:rsidR="008A16EE" w:rsidRPr="00E554DE">
        <w:t xml:space="preserve">. </w:t>
      </w:r>
      <w:r w:rsidR="001B1045" w:rsidRPr="00E554DE">
        <w:t>L'orateur</w:t>
      </w:r>
      <w:r w:rsidR="008A16EE" w:rsidRPr="00E554DE">
        <w:t xml:space="preserve"> </w:t>
      </w:r>
      <w:r w:rsidR="001B1045" w:rsidRPr="00E554DE">
        <w:t>encourage</w:t>
      </w:r>
      <w:r w:rsidR="008A16EE" w:rsidRPr="00E554DE">
        <w:t xml:space="preserve"> les nations ayant des satellites qui dégradent les ressources orbitales p</w:t>
      </w:r>
      <w:r w:rsidR="005C3070" w:rsidRPr="00E554DE">
        <w:t>lanifiées</w:t>
      </w:r>
      <w:r w:rsidR="008A16EE" w:rsidRPr="00E554DE">
        <w:t xml:space="preserve"> d'autres nations à suivre </w:t>
      </w:r>
      <w:r w:rsidR="005C3070" w:rsidRPr="00E554DE">
        <w:t>l</w:t>
      </w:r>
      <w:r w:rsidR="008112DB" w:rsidRPr="00E554DE">
        <w:t xml:space="preserve">e bel </w:t>
      </w:r>
      <w:r w:rsidR="008A16EE" w:rsidRPr="00E554DE">
        <w:t>exemple</w:t>
      </w:r>
      <w:r w:rsidR="001B1045" w:rsidRPr="00E554DE">
        <w:t xml:space="preserve"> </w:t>
      </w:r>
      <w:r w:rsidR="008A16EE" w:rsidRPr="00E554DE">
        <w:t>du Luxembourg.</w:t>
      </w:r>
    </w:p>
    <w:p w14:paraId="7F5B64D8" w14:textId="58AC755A" w:rsidR="00914EF0" w:rsidRPr="00E554DE" w:rsidRDefault="00914EF0" w:rsidP="00906541">
      <w:r w:rsidRPr="00E554DE">
        <w:t>4.6</w:t>
      </w:r>
      <w:r w:rsidRPr="00E554DE">
        <w:tab/>
      </w:r>
      <w:r w:rsidR="00983B30" w:rsidRPr="00E554DE">
        <w:t xml:space="preserve">Le </w:t>
      </w:r>
      <w:r w:rsidR="00983B30" w:rsidRPr="00E554DE">
        <w:rPr>
          <w:b/>
          <w:bCs/>
        </w:rPr>
        <w:t>délégué du Luxembourg</w:t>
      </w:r>
      <w:r w:rsidR="00983B30" w:rsidRPr="00E554DE">
        <w:t xml:space="preserve"> se félicite de la signature des premiers accords au titre de la Question I et remercie les trois administrations</w:t>
      </w:r>
      <w:r w:rsidR="00CE7328" w:rsidRPr="00E554DE">
        <w:t xml:space="preserve"> concernées, en particulier, Mme Mosinyi du Botswana, qui</w:t>
      </w:r>
      <w:r w:rsidR="006C582C" w:rsidRPr="00E554DE">
        <w:t>,</w:t>
      </w:r>
      <w:r w:rsidR="00CE7328" w:rsidRPr="00E554DE">
        <w:t xml:space="preserve"> </w:t>
      </w:r>
      <w:r w:rsidR="006C582C" w:rsidRPr="00E554DE">
        <w:t xml:space="preserve">par la </w:t>
      </w:r>
      <w:r w:rsidR="00CE7328" w:rsidRPr="00E554DE">
        <w:t>maestria</w:t>
      </w:r>
      <w:r w:rsidR="006C582C" w:rsidRPr="00E554DE">
        <w:t xml:space="preserve"> avec laquelle elle a dirigé</w:t>
      </w:r>
      <w:r w:rsidR="00CE7328" w:rsidRPr="00E554DE">
        <w:t xml:space="preserve"> ces négociations</w:t>
      </w:r>
      <w:r w:rsidR="006C582C" w:rsidRPr="00E554DE">
        <w:t>,</w:t>
      </w:r>
      <w:r w:rsidR="00CE7328" w:rsidRPr="00E554DE">
        <w:t xml:space="preserve"> </w:t>
      </w:r>
      <w:r w:rsidR="006C582C" w:rsidRPr="00E554DE">
        <w:t xml:space="preserve">a permis qu'elles soient </w:t>
      </w:r>
      <w:r w:rsidR="00CE7328" w:rsidRPr="00E554DE">
        <w:t>couronnées de succès.</w:t>
      </w:r>
    </w:p>
    <w:p w14:paraId="3B022107" w14:textId="27F77D6C" w:rsidR="00914EF0" w:rsidRPr="00E554DE" w:rsidRDefault="00914EF0" w:rsidP="00906541">
      <w:r w:rsidRPr="00E554DE">
        <w:t>4.7</w:t>
      </w:r>
      <w:r w:rsidRPr="00E554DE">
        <w:tab/>
      </w:r>
      <w:r w:rsidR="0097401B" w:rsidRPr="00E554DE">
        <w:t xml:space="preserve">Le </w:t>
      </w:r>
      <w:r w:rsidR="0097401B" w:rsidRPr="00E554DE">
        <w:rPr>
          <w:b/>
          <w:bCs/>
        </w:rPr>
        <w:t>délégué du Soudan du Sud</w:t>
      </w:r>
      <w:r w:rsidR="0097401B" w:rsidRPr="00E554DE">
        <w:t xml:space="preserve"> souhaite exprimer sa gratitude à tous ceux et toutes celles qui ont œuvré avec succès pendant la Conférence et au cours des quatre années précédentes pour conclure les négociations sur la Question E. Ce résultat historique a été </w:t>
      </w:r>
      <w:r w:rsidR="00460FD2" w:rsidRPr="00E554DE">
        <w:t>obtenu</w:t>
      </w:r>
      <w:r w:rsidR="0097401B" w:rsidRPr="00E554DE">
        <w:t xml:space="preserve"> grâce aux efforts collectifs et au soutien indéfectible de nombreuses personnes et organisations. </w:t>
      </w:r>
      <w:r w:rsidR="00D12E51" w:rsidRPr="00E554DE">
        <w:t>L'orateur tient à</w:t>
      </w:r>
      <w:r w:rsidR="0097401B" w:rsidRPr="00E554DE">
        <w:t xml:space="preserve"> remercier</w:t>
      </w:r>
      <w:r w:rsidR="00D12E51" w:rsidRPr="00E554DE">
        <w:t>,</w:t>
      </w:r>
      <w:r w:rsidR="0097401B" w:rsidRPr="00E554DE">
        <w:t xml:space="preserve"> en particulier</w:t>
      </w:r>
      <w:r w:rsidR="00D12E51" w:rsidRPr="00E554DE">
        <w:t>,</w:t>
      </w:r>
      <w:r w:rsidR="0097401B" w:rsidRPr="00E554DE">
        <w:t xml:space="preserve"> le Bureau des radiocommunications, notamment son Département des services spatiaux, sans </w:t>
      </w:r>
      <w:r w:rsidR="00D12E51" w:rsidRPr="00E554DE">
        <w:t>les compétences</w:t>
      </w:r>
      <w:r w:rsidR="0097401B" w:rsidRPr="00E554DE">
        <w:t xml:space="preserve"> duquel les administrations concernées n'auraient pas </w:t>
      </w:r>
      <w:r w:rsidR="006C582C" w:rsidRPr="00E554DE">
        <w:t xml:space="preserve">eu d'inscriptions </w:t>
      </w:r>
      <w:r w:rsidR="0097401B" w:rsidRPr="00E554DE">
        <w:t xml:space="preserve">dans le Plan de l'Appendice </w:t>
      </w:r>
      <w:r w:rsidR="0097401B" w:rsidRPr="00E554DE">
        <w:rPr>
          <w:b/>
          <w:bCs/>
        </w:rPr>
        <w:t>30B</w:t>
      </w:r>
      <w:r w:rsidR="0097401B" w:rsidRPr="00E554DE">
        <w:t xml:space="preserve">, le Comité du Règlement des radiocommunications </w:t>
      </w:r>
      <w:r w:rsidR="0097401B" w:rsidRPr="00E554DE">
        <w:lastRenderedPageBreak/>
        <w:t>et M.</w:t>
      </w:r>
      <w:r w:rsidR="00D12E51" w:rsidRPr="00E554DE">
        <w:t> </w:t>
      </w:r>
      <w:r w:rsidR="0097401B" w:rsidRPr="00E554DE">
        <w:t xml:space="preserve">Arasteh de la République islamique d'Iran. Le </w:t>
      </w:r>
      <w:r w:rsidR="00D12E51" w:rsidRPr="00E554DE">
        <w:t>Soudan du Sud</w:t>
      </w:r>
      <w:r w:rsidR="0097401B" w:rsidRPr="00E554DE">
        <w:t xml:space="preserve"> </w:t>
      </w:r>
      <w:r w:rsidR="00D12E51" w:rsidRPr="00E554DE">
        <w:t>doit beaucoup à</w:t>
      </w:r>
      <w:r w:rsidR="0097401B" w:rsidRPr="00E554DE">
        <w:t xml:space="preserve"> l'UAT et </w:t>
      </w:r>
      <w:r w:rsidR="00D12E51" w:rsidRPr="00E554DE">
        <w:t xml:space="preserve">aux </w:t>
      </w:r>
      <w:r w:rsidR="0097401B" w:rsidRPr="00E554DE">
        <w:t xml:space="preserve">représentants des Administrations du Botswana et du Rwanda. </w:t>
      </w:r>
      <w:r w:rsidR="00D12E51" w:rsidRPr="00E554DE">
        <w:t>L'orateur souhaite</w:t>
      </w:r>
      <w:r w:rsidR="0097401B" w:rsidRPr="00E554DE">
        <w:t xml:space="preserve"> également féliciter les Administrations de la Bosnie-Herzégovine, de la Croatie, de la Géorgie, de</w:t>
      </w:r>
      <w:r w:rsidR="004E50A4" w:rsidRPr="00E554DE">
        <w:t> </w:t>
      </w:r>
      <w:r w:rsidR="0097401B" w:rsidRPr="00E554DE">
        <w:t>la</w:t>
      </w:r>
      <w:r w:rsidR="004E50A4" w:rsidRPr="00E554DE">
        <w:t> </w:t>
      </w:r>
      <w:r w:rsidR="0097401B" w:rsidRPr="00E554DE">
        <w:t>Macédoine du Nord, de Moldova et de la Serbie. C'est</w:t>
      </w:r>
      <w:r w:rsidR="00D12E51" w:rsidRPr="00E554DE">
        <w:t xml:space="preserve"> précisément</w:t>
      </w:r>
      <w:r w:rsidR="0097401B" w:rsidRPr="00E554DE">
        <w:t xml:space="preserve"> grâce aux efforts de collaboration que cette étape importante a été franchie et son </w:t>
      </w:r>
      <w:r w:rsidR="006C582C" w:rsidRPr="00E554DE">
        <w:t>A</w:t>
      </w:r>
      <w:r w:rsidR="0097401B" w:rsidRPr="00E554DE">
        <w:t xml:space="preserve">dministration se réjouit </w:t>
      </w:r>
      <w:r w:rsidR="00D12E51" w:rsidRPr="00E554DE">
        <w:t>d'un avenir placé sous le signe d'une coopération renforcée et de succès partagés.</w:t>
      </w:r>
    </w:p>
    <w:p w14:paraId="66F965B7" w14:textId="3FF6162E" w:rsidR="0014776D" w:rsidRPr="00E554DE" w:rsidRDefault="0014776D" w:rsidP="00906541">
      <w:pPr>
        <w:pStyle w:val="Heading1"/>
      </w:pPr>
      <w:r w:rsidRPr="00E554DE">
        <w:t>5</w:t>
      </w:r>
      <w:r w:rsidRPr="00E554DE">
        <w:tab/>
      </w:r>
      <w:r w:rsidR="00914EF0" w:rsidRPr="00E554DE">
        <w:t>Quatrième rapport de la Commission 5 à la plénière</w:t>
      </w:r>
      <w:r w:rsidRPr="00E554DE">
        <w:t xml:space="preserve"> (Document</w:t>
      </w:r>
      <w:r w:rsidR="00914EF0" w:rsidRPr="00E554DE">
        <w:t> 486</w:t>
      </w:r>
      <w:r w:rsidRPr="00E554DE">
        <w:t>)</w:t>
      </w:r>
    </w:p>
    <w:p w14:paraId="08BFFCA5" w14:textId="5A78CA04" w:rsidR="0014776D" w:rsidRPr="00E554DE" w:rsidRDefault="0014776D" w:rsidP="00906541">
      <w:r w:rsidRPr="00E554DE">
        <w:t>5.1</w:t>
      </w:r>
      <w:r w:rsidRPr="00E554DE">
        <w:tab/>
      </w:r>
      <w:r w:rsidR="000D1BA1" w:rsidRPr="00E554DE">
        <w:t xml:space="preserve">Le </w:t>
      </w:r>
      <w:r w:rsidR="000D1BA1" w:rsidRPr="00E554DE">
        <w:rPr>
          <w:b/>
          <w:bCs/>
        </w:rPr>
        <w:t>Vice-Président de la Commission 5</w:t>
      </w:r>
      <w:r w:rsidR="000D1BA1" w:rsidRPr="00E554DE">
        <w:t xml:space="preserve">, s'exprimant au nom de la Présidente de la </w:t>
      </w:r>
      <w:r w:rsidR="00A075BA" w:rsidRPr="00E554DE">
        <w:t xml:space="preserve">Commission </w:t>
      </w:r>
      <w:r w:rsidR="000D1BA1" w:rsidRPr="00E554DE">
        <w:t xml:space="preserve">en son absence, présente le Document 486 et propose que le texte suivant, tel qu'il figure dans le Document 486, soit approuvé conjointement avec le Document 469 et </w:t>
      </w:r>
      <w:r w:rsidR="006C582C" w:rsidRPr="00E554DE">
        <w:t xml:space="preserve">inclus dans le </w:t>
      </w:r>
      <w:r w:rsidR="000D1BA1" w:rsidRPr="00E554DE">
        <w:t xml:space="preserve">procès-verbal de la </w:t>
      </w:r>
      <w:r w:rsidR="00460FD2" w:rsidRPr="00E554DE">
        <w:t>p</w:t>
      </w:r>
      <w:r w:rsidR="000D1BA1" w:rsidRPr="00E554DE">
        <w:t>lénière:</w:t>
      </w:r>
    </w:p>
    <w:p w14:paraId="5D7C573D" w14:textId="17872D92" w:rsidR="000D1BA1" w:rsidRPr="00E554DE" w:rsidRDefault="00914EF0" w:rsidP="00906541">
      <w:pPr>
        <w:pStyle w:val="Normalaftertitle"/>
      </w:pPr>
      <w:r w:rsidRPr="00E554DE">
        <w:t>«</w:t>
      </w:r>
      <w:r w:rsidR="000D1BA1" w:rsidRPr="00E554DE">
        <w:t xml:space="preserve">Dans le cadre de l'examen de l'Addendum 1 au Document </w:t>
      </w:r>
      <w:hyperlink r:id="rId9" w:history="1">
        <w:r w:rsidR="000D1BA1" w:rsidRPr="00E554DE">
          <w:rPr>
            <w:rStyle w:val="Hyperlink"/>
            <w:color w:val="auto"/>
            <w:u w:val="none"/>
          </w:rPr>
          <w:t>4(Add.1)</w:t>
        </w:r>
      </w:hyperlink>
      <w:r w:rsidR="000D1BA1" w:rsidRPr="00E554DE">
        <w:t xml:space="preserve"> concernant le traitement des soumissions au titre de la Partie B pour les allotissements de sept nouveaux États Membres, la</w:t>
      </w:r>
      <w:r w:rsidR="004E50A4" w:rsidRPr="00E554DE">
        <w:t> </w:t>
      </w:r>
      <w:r w:rsidR="000D1BA1" w:rsidRPr="00E554DE">
        <w:t>CMR-23 a décidé ce qui suit:</w:t>
      </w:r>
    </w:p>
    <w:p w14:paraId="062BB241" w14:textId="77777777" w:rsidR="000D1BA1" w:rsidRPr="00E554DE" w:rsidRDefault="000D1BA1" w:rsidP="00906541">
      <w:pPr>
        <w:pStyle w:val="enumlev1"/>
      </w:pPr>
      <w:r w:rsidRPr="00E554DE">
        <w:t>1)</w:t>
      </w:r>
      <w:r w:rsidRPr="00E554DE">
        <w:tab/>
      </w:r>
      <w:bookmarkStart w:id="10" w:name="lt_pId019"/>
      <w:r w:rsidRPr="00E554DE">
        <w:t xml:space="preserve">Les assignations de fréquence figurant dans une soumission au titre de la Partie B pour le nouvel allotissement peuvent être inscrites dans la Liste de l'Appendice </w:t>
      </w:r>
      <w:r w:rsidRPr="00E554DE">
        <w:rPr>
          <w:b/>
          <w:bCs/>
        </w:rPr>
        <w:t>30B</w:t>
      </w:r>
      <w:r w:rsidRPr="00E554DE">
        <w:t xml:space="preserve"> du RR, même si un allotissement national d'une autre administration est identifié comme étant affecté.</w:t>
      </w:r>
      <w:bookmarkEnd w:id="10"/>
    </w:p>
    <w:p w14:paraId="382ABE69" w14:textId="55621B17" w:rsidR="00914EF0" w:rsidRPr="00E554DE" w:rsidRDefault="000D1BA1" w:rsidP="00906541">
      <w:pPr>
        <w:ind w:left="1134" w:hanging="1134"/>
      </w:pPr>
      <w:r w:rsidRPr="00E554DE">
        <w:t>2)</w:t>
      </w:r>
      <w:r w:rsidRPr="00E554DE">
        <w:tab/>
      </w:r>
      <w:bookmarkStart w:id="11" w:name="lt_pId021"/>
      <w:r w:rsidRPr="00E554DE">
        <w:t>Lors de la mise à jour de la situation de référence des assignations ou des allotissements affectés pour lesquels un accord de coordination a été obtenu, les nouveaux allotissements proposés ne sont pas pris en compte.</w:t>
      </w:r>
      <w:bookmarkEnd w:id="11"/>
    </w:p>
    <w:p w14:paraId="2471C1DB" w14:textId="77777777" w:rsidR="000D1BA1" w:rsidRPr="00E554DE" w:rsidRDefault="000D1BA1" w:rsidP="00906541">
      <w:r w:rsidRPr="00E554DE">
        <w:t>La CMR-23 a approuvé l'inscription dans le Plan du SFS des sept allotissements des nouveaux États Membres compte tenu des éléments suivants:</w:t>
      </w:r>
    </w:p>
    <w:p w14:paraId="3B26C733" w14:textId="77777777" w:rsidR="000D1BA1" w:rsidRPr="00E554DE" w:rsidRDefault="000D1BA1" w:rsidP="00906541">
      <w:pPr>
        <w:pStyle w:val="enumlev1"/>
      </w:pPr>
      <w:r w:rsidRPr="00E554DE">
        <w:t>1)</w:t>
      </w:r>
      <w:r w:rsidRPr="00E554DE">
        <w:tab/>
      </w:r>
      <w:bookmarkStart w:id="12" w:name="lt_pId024"/>
      <w:r w:rsidRPr="00E554DE">
        <w:t>Les administrations ayant formulé ces demandes de nouveaux allotissements ont obtenu l'accord de toutes les administrations susceptibles d'être affectées, à l'exception de l'accord de l'Administration de la Fédération de Russie concernant deux allotissements.</w:t>
      </w:r>
      <w:bookmarkEnd w:id="12"/>
    </w:p>
    <w:p w14:paraId="693E31CA" w14:textId="67D980E0" w:rsidR="00914EF0" w:rsidRPr="00E554DE" w:rsidRDefault="000D1BA1" w:rsidP="00906541">
      <w:pPr>
        <w:ind w:left="1134" w:hanging="1134"/>
      </w:pPr>
      <w:r w:rsidRPr="00E554DE">
        <w:t>2)</w:t>
      </w:r>
      <w:r w:rsidRPr="00E554DE">
        <w:tab/>
        <w:t>L'Administration de la Macédoine du Nord et l'Administration de la Bosnie</w:t>
      </w:r>
      <w:r w:rsidRPr="00E554DE">
        <w:noBreakHyphen/>
        <w:t>Herzégovin</w:t>
      </w:r>
      <w:r w:rsidR="00911BEB" w:rsidRPr="00E554DE">
        <w:t>e ont demandé l'applic</w:t>
      </w:r>
      <w:r w:rsidR="00911BEB" w:rsidRPr="00E554DE">
        <w:t xml:space="preserve">ation du </w:t>
      </w:r>
      <w:r w:rsidR="00712ECC" w:rsidRPr="00F578EC">
        <w:t>§</w:t>
      </w:r>
      <w:r w:rsidRPr="00E554DE">
        <w:t xml:space="preserve"> </w:t>
      </w:r>
      <w:r w:rsidRPr="00E554DE">
        <w:rPr>
          <w:b/>
        </w:rPr>
        <w:t>6.25</w:t>
      </w:r>
      <w:r w:rsidRPr="00E554DE">
        <w:t xml:space="preserve"> de l'Appendice</w:t>
      </w:r>
      <w:r w:rsidR="00E12878" w:rsidRPr="00E554DE">
        <w:t> </w:t>
      </w:r>
      <w:r w:rsidRPr="00E554DE">
        <w:rPr>
          <w:b/>
          <w:bCs/>
        </w:rPr>
        <w:t>30B</w:t>
      </w:r>
      <w:r w:rsidRPr="00E554DE">
        <w:t xml:space="preserve"> en ce qui concerne les réseaux </w:t>
      </w:r>
      <w:r w:rsidRPr="00E554DE">
        <w:t>affectés de l'Administration de la Fédération de Russie dont l'accord n'a pas été obtenu.»</w:t>
      </w:r>
    </w:p>
    <w:p w14:paraId="484BED47" w14:textId="179EBE3B" w:rsidR="0014776D" w:rsidRPr="00E554DE" w:rsidRDefault="0014776D" w:rsidP="00906541">
      <w:r w:rsidRPr="00E554DE">
        <w:t>5.2</w:t>
      </w:r>
      <w:r w:rsidRPr="00E554DE">
        <w:tab/>
      </w:r>
      <w:r w:rsidR="000D1BA1" w:rsidRPr="00E554DE">
        <w:t xml:space="preserve">Il en est ainsi </w:t>
      </w:r>
      <w:r w:rsidR="000D1BA1" w:rsidRPr="00E554DE">
        <w:rPr>
          <w:b/>
          <w:bCs/>
        </w:rPr>
        <w:t>décidé</w:t>
      </w:r>
      <w:r w:rsidR="000D1BA1" w:rsidRPr="00E554DE">
        <w:t xml:space="preserve"> et le Document 486 est </w:t>
      </w:r>
      <w:r w:rsidR="000D1BA1" w:rsidRPr="00E554DE">
        <w:rPr>
          <w:b/>
          <w:bCs/>
        </w:rPr>
        <w:t>approuvé</w:t>
      </w:r>
      <w:r w:rsidR="000D1BA1" w:rsidRPr="00E554DE">
        <w:t>.</w:t>
      </w:r>
    </w:p>
    <w:p w14:paraId="70CCB246" w14:textId="52785459" w:rsidR="0014776D" w:rsidRPr="00E554DE" w:rsidRDefault="0014776D" w:rsidP="00906541">
      <w:pPr>
        <w:pStyle w:val="Heading1"/>
      </w:pPr>
      <w:r w:rsidRPr="00E554DE">
        <w:t>6</w:t>
      </w:r>
      <w:r w:rsidRPr="00E554DE">
        <w:tab/>
      </w:r>
      <w:r w:rsidR="00914EF0" w:rsidRPr="00E554DE">
        <w:t>Cinquante et unième</w:t>
      </w:r>
      <w:r w:rsidRPr="00E554DE">
        <w:t xml:space="preserve"> série de textes soumis par la Commission de rédaction </w:t>
      </w:r>
      <w:r w:rsidR="002A60FF" w:rsidRPr="00E554DE">
        <w:t xml:space="preserve">en première lecture </w:t>
      </w:r>
      <w:r w:rsidRPr="00E554DE">
        <w:t>(B</w:t>
      </w:r>
      <w:r w:rsidR="00914EF0" w:rsidRPr="00E554DE">
        <w:t>51</w:t>
      </w:r>
      <w:r w:rsidRPr="00E554DE">
        <w:t xml:space="preserve">) (Document </w:t>
      </w:r>
      <w:r w:rsidR="002A60FF" w:rsidRPr="00E554DE">
        <w:t>502(Rév.1)</w:t>
      </w:r>
      <w:r w:rsidRPr="00E554DE">
        <w:t>)</w:t>
      </w:r>
    </w:p>
    <w:p w14:paraId="77E01A37" w14:textId="74F4A53B" w:rsidR="0014776D" w:rsidRPr="00E554DE" w:rsidRDefault="0014776D" w:rsidP="00906541">
      <w:r w:rsidRPr="00E554DE">
        <w:t>6.1</w:t>
      </w:r>
      <w:r w:rsidRPr="00E554DE">
        <w:tab/>
      </w:r>
      <w:r w:rsidR="000D1BA1" w:rsidRPr="00E554DE">
        <w:t xml:space="preserve">Le </w:t>
      </w:r>
      <w:r w:rsidR="000D1BA1" w:rsidRPr="00E554DE">
        <w:rPr>
          <w:b/>
          <w:bCs/>
        </w:rPr>
        <w:t>Président de la Commission de rédaction</w:t>
      </w:r>
      <w:r w:rsidR="000D1BA1" w:rsidRPr="00E554DE">
        <w:t xml:space="preserve"> présente le Document 502(Rév.1), qui contient quatre nouvelle résolutions, </w:t>
      </w:r>
      <w:r w:rsidR="003B77D8" w:rsidRPr="00E554DE">
        <w:t>dont</w:t>
      </w:r>
      <w:r w:rsidR="000D1BA1" w:rsidRPr="00E554DE">
        <w:t xml:space="preserve"> celles sur les points qu'il est proposé d'inscrire à l'ordre du jour de la CMR-27 et à l'ordre du jour préliminaire de la CMR-31.</w:t>
      </w:r>
    </w:p>
    <w:p w14:paraId="5B4BD6D0" w14:textId="7D0BC635" w:rsidR="00914EF0" w:rsidRPr="00E554DE" w:rsidRDefault="00914EF0" w:rsidP="00906541">
      <w:r w:rsidRPr="00E554DE">
        <w:t>6.2</w:t>
      </w:r>
      <w:r w:rsidRPr="00E554DE">
        <w:tab/>
        <w:t xml:space="preserve">Le </w:t>
      </w:r>
      <w:r w:rsidRPr="00E554DE">
        <w:rPr>
          <w:b/>
          <w:bCs/>
        </w:rPr>
        <w:t>Président</w:t>
      </w:r>
      <w:r w:rsidRPr="00E554DE">
        <w:t xml:space="preserve"> invite les participants à examiner le Document </w:t>
      </w:r>
      <w:r w:rsidR="002B378B" w:rsidRPr="00E554DE">
        <w:t>502(Rév.1)</w:t>
      </w:r>
      <w:r w:rsidRPr="00E554DE">
        <w:t>.</w:t>
      </w:r>
    </w:p>
    <w:p w14:paraId="126767B8" w14:textId="38C5F65A" w:rsidR="002A60FF" w:rsidRPr="00E554DE" w:rsidRDefault="002A60FF" w:rsidP="00906541">
      <w:pPr>
        <w:keepLines/>
        <w:rPr>
          <w:b/>
          <w:bCs/>
        </w:rPr>
      </w:pPr>
      <w:bookmarkStart w:id="13" w:name="lt_pId225"/>
      <w:r w:rsidRPr="00E554DE">
        <w:rPr>
          <w:b/>
          <w:bCs/>
        </w:rPr>
        <w:lastRenderedPageBreak/>
        <w:t xml:space="preserve">ADD Résolution COM6/24 (CMR-23) – </w:t>
      </w:r>
      <w:bookmarkEnd w:id="13"/>
      <w:r w:rsidRPr="00E554DE">
        <w:rPr>
          <w:b/>
          <w:bCs/>
        </w:rPr>
        <w:t>Nouvelle attribution possible à titre primaire au service fixe par satellite (espace vers Terre) dans la bande de fréquences 17,3-17,7 GHz et nouvelle attribution possible à titre primaire au service de radiodiffusion par satellite (espace</w:t>
      </w:r>
      <w:r w:rsidR="004E50A4" w:rsidRPr="00E554DE">
        <w:rPr>
          <w:b/>
          <w:bCs/>
        </w:rPr>
        <w:t> </w:t>
      </w:r>
      <w:r w:rsidRPr="00E554DE">
        <w:rPr>
          <w:b/>
          <w:bCs/>
        </w:rPr>
        <w:t>vers Terre) dans la bande de fréquences 17,3-17,8 GHz en Région 3, et étude de limites de puissance surfacique équivalente à appliquer dans les Régions 1 et 3 aux systèmes à satellites non géostationnaires du service fixe par satellite (espace vers Terre) dans la bande de fréquences 17,3-17,7 GHz</w:t>
      </w:r>
    </w:p>
    <w:p w14:paraId="7E9D18CC" w14:textId="2C74D539" w:rsidR="002A60FF" w:rsidRPr="00E554DE" w:rsidRDefault="002A60FF" w:rsidP="00906541">
      <w:pPr>
        <w:keepLines/>
      </w:pPr>
      <w:r w:rsidRPr="00E554DE">
        <w:t>6.3</w:t>
      </w:r>
      <w:r w:rsidRPr="00E554DE">
        <w:tab/>
      </w:r>
      <w:r w:rsidRPr="00E554DE">
        <w:rPr>
          <w:b/>
          <w:bCs/>
        </w:rPr>
        <w:t>Approuvé</w:t>
      </w:r>
      <w:r w:rsidRPr="00E554DE">
        <w:t>.</w:t>
      </w:r>
    </w:p>
    <w:p w14:paraId="53EB784F" w14:textId="530E9A25" w:rsidR="002A60FF" w:rsidRPr="00E554DE" w:rsidRDefault="002A60FF" w:rsidP="00906541">
      <w:pPr>
        <w:rPr>
          <w:b/>
          <w:bCs/>
        </w:rPr>
      </w:pPr>
      <w:bookmarkStart w:id="14" w:name="lt_pId228"/>
      <w:r w:rsidRPr="00E554DE">
        <w:rPr>
          <w:b/>
          <w:bCs/>
        </w:rPr>
        <w:t xml:space="preserve">ADD Résolution COM6/26 (CMR-23) – </w:t>
      </w:r>
      <w:bookmarkEnd w:id="14"/>
      <w:r w:rsidRPr="00E554DE">
        <w:rPr>
          <w:b/>
          <w:bCs/>
        </w:rPr>
        <w:t>Études de partage et de compatibilité et définition des conditions techniques en vue de l'utilisation des Télécommunications mobiles internationales (IMT) dans les bandes de fréquences 4 400-4 800 MHz, 7 125-8 400 MHz (ou des parties de cette bande de fréquences) et 14,8-15,35 GHz pour la composante de Terre des IMT</w:t>
      </w:r>
    </w:p>
    <w:p w14:paraId="38A459D5" w14:textId="135966D0" w:rsidR="002A60FF" w:rsidRPr="00E554DE" w:rsidRDefault="002A60FF" w:rsidP="00906541">
      <w:r w:rsidRPr="00E554DE">
        <w:t>6.4</w:t>
      </w:r>
      <w:r w:rsidRPr="00E554DE">
        <w:tab/>
      </w:r>
      <w:r w:rsidR="000D1BA1" w:rsidRPr="00E554DE">
        <w:t xml:space="preserve">Le </w:t>
      </w:r>
      <w:r w:rsidR="000D1BA1" w:rsidRPr="00E554DE">
        <w:rPr>
          <w:b/>
          <w:bCs/>
        </w:rPr>
        <w:t>délégué de l'Australie</w:t>
      </w:r>
      <w:r w:rsidR="000D1BA1" w:rsidRPr="00E554DE">
        <w:t xml:space="preserve"> prononce la déclaration suivante:</w:t>
      </w:r>
    </w:p>
    <w:p w14:paraId="27AA278B" w14:textId="3C7CFAC2" w:rsidR="002A60FF" w:rsidRPr="00E554DE" w:rsidRDefault="002A60FF" w:rsidP="00906541">
      <w:r w:rsidRPr="00E554DE">
        <w:t>«</w:t>
      </w:r>
      <w:r w:rsidR="00792AFD" w:rsidRPr="00E554DE">
        <w:t xml:space="preserve">L'Australie a suivi cette question de près et a </w:t>
      </w:r>
      <w:r w:rsidR="00B50E53" w:rsidRPr="00E554DE">
        <w:t>recensé des problèmes</w:t>
      </w:r>
      <w:r w:rsidR="00792AFD" w:rsidRPr="00E554DE">
        <w:t xml:space="preserve"> concernant certaines </w:t>
      </w:r>
      <w:r w:rsidR="00B479CD" w:rsidRPr="00E554DE">
        <w:t>bandes de fréquences</w:t>
      </w:r>
      <w:r w:rsidR="006D5D23" w:rsidRPr="00E554DE">
        <w:t xml:space="preserve"> </w:t>
      </w:r>
      <w:r w:rsidR="00920E32" w:rsidRPr="00E554DE">
        <w:t>figurant</w:t>
      </w:r>
      <w:r w:rsidR="00792AFD" w:rsidRPr="00E554DE">
        <w:t xml:space="preserve"> dans le document </w:t>
      </w:r>
      <w:r w:rsidR="001C1525" w:rsidRPr="00E554DE">
        <w:t xml:space="preserve">qui </w:t>
      </w:r>
      <w:r w:rsidR="003B77D8" w:rsidRPr="00E554DE">
        <w:t>nous est</w:t>
      </w:r>
      <w:r w:rsidR="001C1525" w:rsidRPr="00E554DE">
        <w:t xml:space="preserve"> soumis</w:t>
      </w:r>
      <w:r w:rsidR="00792AFD" w:rsidRPr="00E554DE">
        <w:t>. En particulier, nous ne sommes pas favorables à l'inclusion des segments 7</w:t>
      </w:r>
      <w:r w:rsidR="004E50A4" w:rsidRPr="00E554DE">
        <w:t> </w:t>
      </w:r>
      <w:r w:rsidR="00792AFD" w:rsidRPr="00E554DE">
        <w:t>250-7</w:t>
      </w:r>
      <w:r w:rsidR="004E50A4" w:rsidRPr="00E554DE">
        <w:t> </w:t>
      </w:r>
      <w:r w:rsidR="00792AFD" w:rsidRPr="00E554DE">
        <w:t>750 et 7</w:t>
      </w:r>
      <w:r w:rsidR="004E50A4" w:rsidRPr="00E554DE">
        <w:t> </w:t>
      </w:r>
      <w:r w:rsidR="00792AFD" w:rsidRPr="00E554DE">
        <w:t>900-8</w:t>
      </w:r>
      <w:r w:rsidR="004E50A4" w:rsidRPr="00E554DE">
        <w:t> </w:t>
      </w:r>
      <w:r w:rsidR="00792AFD" w:rsidRPr="00E554DE">
        <w:t>400 MHz de la gamme plus large des</w:t>
      </w:r>
      <w:r w:rsidR="004E50A4" w:rsidRPr="00E554DE">
        <w:t> </w:t>
      </w:r>
      <w:r w:rsidR="00792AFD" w:rsidRPr="00E554DE">
        <w:t xml:space="preserve">7-8 GHz </w:t>
      </w:r>
      <w:r w:rsidR="00920E32" w:rsidRPr="00E554DE">
        <w:t>indiqués</w:t>
      </w:r>
      <w:r w:rsidR="00792AFD" w:rsidRPr="00E554DE">
        <w:t xml:space="preserve"> dans le document.</w:t>
      </w:r>
    </w:p>
    <w:p w14:paraId="34C3E1F2" w14:textId="5F26E562" w:rsidR="00792AFD" w:rsidRPr="00E554DE" w:rsidRDefault="00792AFD" w:rsidP="00906541">
      <w:r w:rsidRPr="00E554DE">
        <w:t xml:space="preserve">Malgré </w:t>
      </w:r>
      <w:r w:rsidR="006D5D23" w:rsidRPr="00E554DE">
        <w:t>les problèmes recensés</w:t>
      </w:r>
      <w:r w:rsidRPr="00E554DE">
        <w:t xml:space="preserve">, et compte tenu de la complexité et </w:t>
      </w:r>
      <w:r w:rsidR="003B77D8" w:rsidRPr="00E554DE">
        <w:t>du caractère</w:t>
      </w:r>
      <w:r w:rsidRPr="00E554DE">
        <w:t xml:space="preserve"> sensib</w:t>
      </w:r>
      <w:r w:rsidR="003B77D8" w:rsidRPr="00E554DE">
        <w:t>le</w:t>
      </w:r>
      <w:r w:rsidRPr="00E554DE">
        <w:t xml:space="preserve"> de </w:t>
      </w:r>
      <w:r w:rsidR="00A1341E" w:rsidRPr="00E554DE">
        <w:t>cette question</w:t>
      </w:r>
      <w:r w:rsidRPr="00E554DE">
        <w:t xml:space="preserve">, nous sommes restés silencieux lorsque nous </w:t>
      </w:r>
      <w:r w:rsidR="00A1341E" w:rsidRPr="00E554DE">
        <w:t xml:space="preserve">les </w:t>
      </w:r>
      <w:r w:rsidRPr="00E554DE">
        <w:t>avons vu</w:t>
      </w:r>
      <w:r w:rsidR="00A1341E" w:rsidRPr="00E554DE">
        <w:t>s</w:t>
      </w:r>
      <w:r w:rsidRPr="00E554DE">
        <w:t xml:space="preserve"> pour la première fois</w:t>
      </w:r>
      <w:r w:rsidR="00850EE6" w:rsidRPr="00E554DE">
        <w:t>,</w:t>
      </w:r>
      <w:r w:rsidRPr="00E554DE">
        <w:t xml:space="preserve"> il y a deux jours. Nous sommes également restés silencieux par respect pour le travail des responsables interrégionaux et les diverses discussions </w:t>
      </w:r>
      <w:r w:rsidR="003B77D8" w:rsidRPr="00E554DE">
        <w:t>informelles</w:t>
      </w:r>
      <w:r w:rsidRPr="00E554DE">
        <w:t>. Cependant,</w:t>
      </w:r>
      <w:r w:rsidR="003B77D8" w:rsidRPr="00E554DE">
        <w:t xml:space="preserve"> il</w:t>
      </w:r>
      <w:r w:rsidRPr="00E554DE">
        <w:t xml:space="preserve"> nous </w:t>
      </w:r>
      <w:r w:rsidR="003B77D8" w:rsidRPr="00E554DE">
        <w:t xml:space="preserve">semble </w:t>
      </w:r>
      <w:r w:rsidRPr="00E554DE">
        <w:t xml:space="preserve">aujourd'hui </w:t>
      </w:r>
      <w:r w:rsidR="003B77D8" w:rsidRPr="00E554DE">
        <w:t>nécessaire</w:t>
      </w:r>
      <w:r w:rsidRPr="00E554DE">
        <w:t xml:space="preserve"> </w:t>
      </w:r>
      <w:r w:rsidR="00850EE6" w:rsidRPr="00E554DE">
        <w:t>de mettre en lumière ces problèmes</w:t>
      </w:r>
      <w:r w:rsidR="00737693" w:rsidRPr="00E554DE">
        <w:t xml:space="preserve"> qui sont source d'inquiétu</w:t>
      </w:r>
      <w:r w:rsidR="002475DD" w:rsidRPr="00E554DE">
        <w:t>de</w:t>
      </w:r>
      <w:r w:rsidRPr="00E554DE">
        <w:t>.</w:t>
      </w:r>
    </w:p>
    <w:p w14:paraId="42468C12" w14:textId="169FFDB6" w:rsidR="00850371" w:rsidRPr="00E554DE" w:rsidRDefault="00850371" w:rsidP="00906541">
      <w:r w:rsidRPr="00E554DE">
        <w:t xml:space="preserve">La proposition </w:t>
      </w:r>
      <w:r w:rsidR="00043AC1" w:rsidRPr="00E554DE">
        <w:t>qui nous est présentée</w:t>
      </w:r>
      <w:r w:rsidRPr="00E554DE">
        <w:t xml:space="preserve"> consiste à </w:t>
      </w:r>
      <w:r w:rsidR="00397D08" w:rsidRPr="00E554DE">
        <w:t>exclure</w:t>
      </w:r>
      <w:r w:rsidRPr="00E554DE">
        <w:t xml:space="preserve"> la partie de la bande</w:t>
      </w:r>
      <w:r w:rsidR="007A584A" w:rsidRPr="00E554DE">
        <w:t xml:space="preserve"> de fréquences</w:t>
      </w:r>
      <w:r w:rsidRPr="00E554DE">
        <w:t xml:space="preserve"> comprise entre 7</w:t>
      </w:r>
      <w:r w:rsidR="00523E09" w:rsidRPr="00E554DE">
        <w:t> </w:t>
      </w:r>
      <w:r w:rsidRPr="00E554DE">
        <w:t>250 et 7</w:t>
      </w:r>
      <w:r w:rsidR="00523E09" w:rsidRPr="00E554DE">
        <w:t> </w:t>
      </w:r>
      <w:r w:rsidRPr="00E554DE">
        <w:t xml:space="preserve">750 MHz </w:t>
      </w:r>
      <w:r w:rsidR="007A584A" w:rsidRPr="00E554DE">
        <w:t>à l'examen de la Région</w:t>
      </w:r>
      <w:r w:rsidRPr="00E554DE">
        <w:t xml:space="preserve"> 1. Nous sommes d'avis que, sauf s'il existe une très bonne raison de ne pas le faire, toute nouvelle bande</w:t>
      </w:r>
      <w:r w:rsidR="007A584A" w:rsidRPr="00E554DE">
        <w:t xml:space="preserve"> de fréquences</w:t>
      </w:r>
      <w:r w:rsidRPr="00E554DE">
        <w:t xml:space="preserve"> envisagée pour les IMT devrait être étudiée </w:t>
      </w:r>
      <w:r w:rsidR="003B77D8" w:rsidRPr="00E554DE">
        <w:t>à l'échelle</w:t>
      </w:r>
      <w:r w:rsidR="0022112F" w:rsidRPr="00E554DE">
        <w:t xml:space="preserve"> mondiale et non régionale</w:t>
      </w:r>
      <w:r w:rsidR="00397D08" w:rsidRPr="00E554DE">
        <w:t>, de façon à tirer</w:t>
      </w:r>
      <w:r w:rsidR="007A584A" w:rsidRPr="00E554DE">
        <w:t xml:space="preserve"> le meilleur parti des avantages découlant d'une </w:t>
      </w:r>
      <w:r w:rsidR="003B77D8" w:rsidRPr="00E554DE">
        <w:t xml:space="preserve">possible </w:t>
      </w:r>
      <w:r w:rsidR="007A584A" w:rsidRPr="00E554DE">
        <w:t xml:space="preserve">identification pour les IMT et d'indiquer </w:t>
      </w:r>
      <w:r w:rsidR="00397D08" w:rsidRPr="00E554DE">
        <w:t xml:space="preserve">en outre </w:t>
      </w:r>
      <w:r w:rsidR="007A584A" w:rsidRPr="00E554DE">
        <w:t xml:space="preserve">que ces bandes de fréquences attribuées aux </w:t>
      </w:r>
      <w:r w:rsidR="003B77D8" w:rsidRPr="00E554DE">
        <w:t xml:space="preserve">services </w:t>
      </w:r>
      <w:r w:rsidR="007A584A" w:rsidRPr="00E554DE">
        <w:t>par satellite sont utilisées à l'échelle mondiale et pas uniquement à l'échelle régionale.</w:t>
      </w:r>
    </w:p>
    <w:p w14:paraId="70202D22" w14:textId="15BF2A6E" w:rsidR="002A60FF" w:rsidRPr="00E554DE" w:rsidRDefault="00A45FA0" w:rsidP="00906541">
      <w:r w:rsidRPr="00E554DE">
        <w:t>Nous avons vu</w:t>
      </w:r>
      <w:r w:rsidR="00397D08" w:rsidRPr="00E554DE">
        <w:t>, dans le cadre de l'examen du point 1.2 de l'ordre du jour</w:t>
      </w:r>
      <w:r w:rsidR="00BF4DBD" w:rsidRPr="00E554DE">
        <w:t xml:space="preserve"> de la présente Conférence</w:t>
      </w:r>
      <w:r w:rsidR="00397D08" w:rsidRPr="00E554DE">
        <w:t>,</w:t>
      </w:r>
      <w:r w:rsidRPr="00E554DE">
        <w:t xml:space="preserve"> les problèmes qui peuvent découler </w:t>
      </w:r>
      <w:r w:rsidR="00974A28" w:rsidRPr="00E554DE">
        <w:t>du fait que les</w:t>
      </w:r>
      <w:r w:rsidRPr="00E554DE">
        <w:t xml:space="preserve"> IMT </w:t>
      </w:r>
      <w:r w:rsidR="00974A28" w:rsidRPr="00E554DE">
        <w:t xml:space="preserve">fassent l'objet d'un point de l'ordre du jour </w:t>
      </w:r>
      <w:r w:rsidRPr="00E554DE">
        <w:t xml:space="preserve">fragmenté et </w:t>
      </w:r>
      <w:r w:rsidR="00974A28" w:rsidRPr="00E554DE">
        <w:t>fondé sur une approche</w:t>
      </w:r>
      <w:r w:rsidRPr="00E554DE">
        <w:t xml:space="preserve"> régionale. Nous ne souhaitons pas reproduire le même scénario pour la CMR-27.</w:t>
      </w:r>
    </w:p>
    <w:p w14:paraId="3B4DC549" w14:textId="14695B68" w:rsidR="002A60FF" w:rsidRPr="00E554DE" w:rsidRDefault="00A45FA0" w:rsidP="00906541">
      <w:r w:rsidRPr="00E554DE">
        <w:t xml:space="preserve">Par conséquent, nous sommes d'avis que si la bande de fréquences 7 250-7 750 MHz doit être </w:t>
      </w:r>
      <w:r w:rsidR="00397D08" w:rsidRPr="00E554DE">
        <w:t>exclue</w:t>
      </w:r>
      <w:r w:rsidRPr="00E554DE">
        <w:t xml:space="preserve"> de la Région 1, elle devrait également être </w:t>
      </w:r>
      <w:r w:rsidR="00401B4B" w:rsidRPr="00E554DE">
        <w:t xml:space="preserve">exclue de l'examen </w:t>
      </w:r>
      <w:r w:rsidR="00974A28" w:rsidRPr="00E554DE">
        <w:t>pour toutes les régions</w:t>
      </w:r>
      <w:r w:rsidRPr="00E554DE">
        <w:t xml:space="preserve">. D'un point de vue rédactionnel, </w:t>
      </w:r>
      <w:r w:rsidR="00974A28" w:rsidRPr="00E554DE">
        <w:t xml:space="preserve">il faudrait pour ce faire </w:t>
      </w:r>
      <w:r w:rsidRPr="00E554DE">
        <w:t xml:space="preserve">supprimer </w:t>
      </w:r>
      <w:r w:rsidR="0022112F" w:rsidRPr="00E554DE">
        <w:t xml:space="preserve">la </w:t>
      </w:r>
      <w:r w:rsidR="008E030E" w:rsidRPr="00E554DE">
        <w:t xml:space="preserve">bande de fréquences indiquée uniquement pour les </w:t>
      </w:r>
      <w:r w:rsidRPr="00E554DE">
        <w:t xml:space="preserve">Régions 2 et 3 et </w:t>
      </w:r>
      <w:r w:rsidR="00397D08" w:rsidRPr="00E554DE">
        <w:t xml:space="preserve">faire en sorte que </w:t>
      </w:r>
      <w:r w:rsidR="001A6B22" w:rsidRPr="00E554DE">
        <w:t xml:space="preserve">les bandes indiquées actuellement pour la Région 1 soient envisagées à l'échelle mondiale </w:t>
      </w:r>
      <w:r w:rsidR="0022112F" w:rsidRPr="00E554DE">
        <w:t>en supprimant la référence à la Région 1</w:t>
      </w:r>
      <w:r w:rsidR="009D232F" w:rsidRPr="00E554DE">
        <w:t>.</w:t>
      </w:r>
      <w:r w:rsidR="002A60FF" w:rsidRPr="00E554DE">
        <w:t>»</w:t>
      </w:r>
    </w:p>
    <w:p w14:paraId="02DF8C8D" w14:textId="269851E6" w:rsidR="002A60FF" w:rsidRPr="00E554DE" w:rsidRDefault="002A60FF" w:rsidP="00906541">
      <w:r w:rsidRPr="00E554DE">
        <w:t>6.5</w:t>
      </w:r>
      <w:r w:rsidRPr="00E554DE">
        <w:tab/>
      </w:r>
      <w:r w:rsidR="009D232F" w:rsidRPr="00E554DE">
        <w:t xml:space="preserve">Le </w:t>
      </w:r>
      <w:r w:rsidR="009D232F" w:rsidRPr="00E554DE">
        <w:rPr>
          <w:b/>
          <w:bCs/>
        </w:rPr>
        <w:t>délégué de la Nouvelle-Zélande</w:t>
      </w:r>
      <w:r w:rsidR="009D232F" w:rsidRPr="00E554DE">
        <w:t xml:space="preserve"> convient que pour les futurs points de l'ordre du jour relatifs aux IMT, les bandes de fréquence devraient être étudiées à l'échelle mondiale et non régionale, afin d'éviter les problèmes qui se sont posés </w:t>
      </w:r>
      <w:r w:rsidR="001A6B22" w:rsidRPr="00E554DE">
        <w:t>dans le cadre</w:t>
      </w:r>
      <w:r w:rsidR="009D232F" w:rsidRPr="00E554DE">
        <w:t xml:space="preserve"> du point 1.2 de l'ordre du jour au cours du cycle d'études actuel. </w:t>
      </w:r>
      <w:r w:rsidR="001567B5" w:rsidRPr="00E554DE">
        <w:t>Par conséquent, l</w:t>
      </w:r>
      <w:r w:rsidR="009D232F" w:rsidRPr="00E554DE">
        <w:t>es bandes de fréquences 7</w:t>
      </w:r>
      <w:r w:rsidR="00523E09" w:rsidRPr="00E554DE">
        <w:t> </w:t>
      </w:r>
      <w:r w:rsidR="009D232F" w:rsidRPr="00E554DE">
        <w:t>125-7</w:t>
      </w:r>
      <w:r w:rsidR="00523E09" w:rsidRPr="00E554DE">
        <w:t> </w:t>
      </w:r>
      <w:r w:rsidR="009D232F" w:rsidRPr="00E554DE">
        <w:t>250 MHz et 7 750</w:t>
      </w:r>
      <w:r w:rsidR="009D232F" w:rsidRPr="00E554DE">
        <w:noBreakHyphen/>
        <w:t xml:space="preserve">8 400 MHz </w:t>
      </w:r>
      <w:r w:rsidR="001567B5" w:rsidRPr="00E554DE">
        <w:t xml:space="preserve">devraient être </w:t>
      </w:r>
      <w:r w:rsidR="009D232F" w:rsidRPr="00E554DE">
        <w:t>examinées à l'échelle mondiale.</w:t>
      </w:r>
    </w:p>
    <w:p w14:paraId="3D25931F" w14:textId="14855CDD" w:rsidR="002A60FF" w:rsidRPr="00E554DE" w:rsidRDefault="002A60FF" w:rsidP="00906541">
      <w:r w:rsidRPr="00E554DE">
        <w:t>6.6</w:t>
      </w:r>
      <w:r w:rsidRPr="00E554DE">
        <w:tab/>
      </w:r>
      <w:r w:rsidR="009D232F" w:rsidRPr="00E554DE">
        <w:t xml:space="preserve">La </w:t>
      </w:r>
      <w:r w:rsidR="009D232F" w:rsidRPr="00E554DE">
        <w:rPr>
          <w:b/>
          <w:bCs/>
        </w:rPr>
        <w:t>délégation de la Türkiye</w:t>
      </w:r>
      <w:r w:rsidR="009D232F" w:rsidRPr="00E554DE">
        <w:t xml:space="preserve"> se dit inquiète </w:t>
      </w:r>
      <w:r w:rsidR="007A1683" w:rsidRPr="00E554DE">
        <w:t xml:space="preserve">du fait que les bandes de fréquences déjà attribuées ou qu'il est proposé d'attribuer </w:t>
      </w:r>
      <w:r w:rsidR="001A6B22" w:rsidRPr="00E554DE">
        <w:t xml:space="preserve">pour les </w:t>
      </w:r>
      <w:r w:rsidR="007A1683" w:rsidRPr="00E554DE">
        <w:t xml:space="preserve">IMT comprennent des bandes de fréquences largement utilisées pour des communications par satellite, des communications aéronautiques et des </w:t>
      </w:r>
      <w:r w:rsidR="007A1683" w:rsidRPr="00E554DE">
        <w:lastRenderedPageBreak/>
        <w:t>communi</w:t>
      </w:r>
      <w:r w:rsidR="004358FD" w:rsidRPr="00E554DE">
        <w:t>c</w:t>
      </w:r>
      <w:r w:rsidR="007A1683" w:rsidRPr="00E554DE">
        <w:t xml:space="preserve">ations fixes </w:t>
      </w:r>
      <w:r w:rsidR="00A05BD9" w:rsidRPr="00E554DE">
        <w:t>de nature essentielle</w:t>
      </w:r>
      <w:r w:rsidR="007A1683" w:rsidRPr="00E554DE">
        <w:t xml:space="preserve">, en particulier en Région 1. L'attribution de ces bandes de fréquences </w:t>
      </w:r>
      <w:r w:rsidR="001A6B22" w:rsidRPr="00E554DE">
        <w:t xml:space="preserve">pour les </w:t>
      </w:r>
      <w:r w:rsidR="007A1683" w:rsidRPr="00E554DE">
        <w:t xml:space="preserve">IMT compromettrait gravement le fonctionnement des services essentiels. Pour parvenir à une connectivité mondiale, il est nécessaire d'examiner les propositions qui offrent la plus grande couverture s'agissant du nombre de pays </w:t>
      </w:r>
      <w:r w:rsidR="001A6B22" w:rsidRPr="00E554DE">
        <w:t xml:space="preserve">rencontrant </w:t>
      </w:r>
      <w:r w:rsidR="007A1683" w:rsidRPr="00E554DE">
        <w:t xml:space="preserve">peu ou moins de difficultés </w:t>
      </w:r>
      <w:r w:rsidR="001A6B22" w:rsidRPr="00E554DE">
        <w:t>pour</w:t>
      </w:r>
      <w:r w:rsidR="007A1683" w:rsidRPr="00E554DE">
        <w:t xml:space="preserve"> déplo</w:t>
      </w:r>
      <w:r w:rsidR="001A6B22" w:rsidRPr="00E554DE">
        <w:t>yer</w:t>
      </w:r>
      <w:r w:rsidR="007A1683" w:rsidRPr="00E554DE">
        <w:t xml:space="preserve"> </w:t>
      </w:r>
      <w:r w:rsidR="001A6B22" w:rsidRPr="00E554DE">
        <w:t>l</w:t>
      </w:r>
      <w:r w:rsidR="007A1683" w:rsidRPr="00E554DE">
        <w:t>es IMT dans les bandes de fréquences proposées.</w:t>
      </w:r>
    </w:p>
    <w:p w14:paraId="75EAFDC7" w14:textId="59AC53ED" w:rsidR="002A60FF" w:rsidRPr="00E554DE" w:rsidRDefault="002A60FF" w:rsidP="00906541">
      <w:r w:rsidRPr="00E554DE">
        <w:t>6.7</w:t>
      </w:r>
      <w:r w:rsidRPr="00E554DE">
        <w:tab/>
      </w:r>
      <w:r w:rsidR="007A1683" w:rsidRPr="00E554DE">
        <w:t xml:space="preserve">Le </w:t>
      </w:r>
      <w:r w:rsidR="007A1683" w:rsidRPr="00E554DE">
        <w:rPr>
          <w:b/>
          <w:bCs/>
        </w:rPr>
        <w:t>délégué du Royaume-Uni</w:t>
      </w:r>
      <w:r w:rsidR="007A1683" w:rsidRPr="00E554DE">
        <w:t xml:space="preserve"> déclare que de nombreuses préoccupations ont été exprimées au cours de</w:t>
      </w:r>
      <w:r w:rsidR="001A6B22" w:rsidRPr="00E554DE">
        <w:t>s</w:t>
      </w:r>
      <w:r w:rsidR="007A1683" w:rsidRPr="00E554DE">
        <w:t xml:space="preserve"> discussion</w:t>
      </w:r>
      <w:r w:rsidR="001A6B22" w:rsidRPr="00E554DE">
        <w:t>s</w:t>
      </w:r>
      <w:r w:rsidR="007A1683" w:rsidRPr="00E554DE">
        <w:t xml:space="preserve"> </w:t>
      </w:r>
      <w:r w:rsidR="001A6B22" w:rsidRPr="00E554DE">
        <w:t>dans de cadre</w:t>
      </w:r>
      <w:r w:rsidR="007A1683" w:rsidRPr="00E554DE">
        <w:t xml:space="preserve"> de la Commission 6, lorsque les bandes de fréquences proposées ont été présentées pour la première fois </w:t>
      </w:r>
      <w:r w:rsidR="001A6B22" w:rsidRPr="00E554DE">
        <w:t xml:space="preserve">à peine </w:t>
      </w:r>
      <w:r w:rsidR="007A1683" w:rsidRPr="00E554DE">
        <w:t>deux jours auparavant, étant donné que</w:t>
      </w:r>
      <w:r w:rsidR="001A6B22" w:rsidRPr="00E554DE">
        <w:t>,</w:t>
      </w:r>
      <w:r w:rsidR="007A1683" w:rsidRPr="00E554DE">
        <w:t xml:space="preserve"> </w:t>
      </w:r>
      <w:r w:rsidR="001A6B22" w:rsidRPr="00E554DE">
        <w:t xml:space="preserve">pour </w:t>
      </w:r>
      <w:r w:rsidR="007A1683" w:rsidRPr="00E554DE">
        <w:t xml:space="preserve">plusieurs </w:t>
      </w:r>
      <w:r w:rsidR="001A6B22" w:rsidRPr="00E554DE">
        <w:t>d'entre elles,</w:t>
      </w:r>
      <w:r w:rsidR="007A1683" w:rsidRPr="00E554DE">
        <w:t xml:space="preserve"> </w:t>
      </w:r>
      <w:r w:rsidR="001A6B22" w:rsidRPr="00E554DE">
        <w:t>la probabilité d'une identification</w:t>
      </w:r>
      <w:r w:rsidR="007A1683" w:rsidRPr="00E554DE">
        <w:t xml:space="preserve"> pour les IMT</w:t>
      </w:r>
      <w:r w:rsidR="00220393" w:rsidRPr="00E554DE">
        <w:t xml:space="preserve"> est faible</w:t>
      </w:r>
      <w:r w:rsidR="007A1683" w:rsidRPr="00E554DE">
        <w:t>. Les études requises nécessiter</w:t>
      </w:r>
      <w:r w:rsidR="00FD5E61" w:rsidRPr="00E554DE">
        <w:t>o</w:t>
      </w:r>
      <w:r w:rsidR="007A1683" w:rsidRPr="00E554DE">
        <w:t xml:space="preserve">nt </w:t>
      </w:r>
      <w:r w:rsidR="00220393" w:rsidRPr="00E554DE">
        <w:t>beaucoup de travail</w:t>
      </w:r>
      <w:r w:rsidR="007A1683" w:rsidRPr="00E554DE">
        <w:t xml:space="preserve"> au cours des quatre prochaines années, sans grande perspective d'obtenir un résultat positif. </w:t>
      </w:r>
      <w:r w:rsidR="00220393" w:rsidRPr="00E554DE">
        <w:t xml:space="preserve">Il est décevant que </w:t>
      </w:r>
      <w:r w:rsidR="007A1683" w:rsidRPr="00E554DE">
        <w:t xml:space="preserve">peu de temps </w:t>
      </w:r>
      <w:r w:rsidR="00220393" w:rsidRPr="00E554DE">
        <w:t xml:space="preserve">ait été </w:t>
      </w:r>
      <w:r w:rsidR="007A1683" w:rsidRPr="00E554DE">
        <w:t xml:space="preserve">consacré à l'examen des bandes de fréquences concernées au niveau de la </w:t>
      </w:r>
      <w:r w:rsidR="00A075BA" w:rsidRPr="00E554DE">
        <w:t>Commission</w:t>
      </w:r>
      <w:r w:rsidR="007A1683" w:rsidRPr="00E554DE">
        <w:t>.</w:t>
      </w:r>
    </w:p>
    <w:p w14:paraId="0F3B21EE" w14:textId="078B1D80" w:rsidR="002A60FF" w:rsidRPr="00E554DE" w:rsidRDefault="002A60FF" w:rsidP="00906541">
      <w:r w:rsidRPr="00E554DE">
        <w:t>6.8</w:t>
      </w:r>
      <w:r w:rsidR="007A1683" w:rsidRPr="00E554DE">
        <w:tab/>
        <w:t xml:space="preserve">La </w:t>
      </w:r>
      <w:r w:rsidR="007A1683" w:rsidRPr="00E554DE">
        <w:rPr>
          <w:b/>
          <w:bCs/>
        </w:rPr>
        <w:t>déléguée du Canada</w:t>
      </w:r>
      <w:r w:rsidR="007A1683" w:rsidRPr="00E554DE">
        <w:t xml:space="preserve"> se félicite </w:t>
      </w:r>
      <w:r w:rsidR="00951785" w:rsidRPr="00E554DE">
        <w:t xml:space="preserve">du travail accompli par les chefs des groupes régionaux mais se fait l'écho des préoccupations concernant le fait que plusieurs des bandes de fréquences proposées ont déjà été étudiées ou sont déjà connues pour poser des difficultés vis-à-vis des services existants et pour ce qui est de savoir si la coexistence est possible. Bien qu'elle ne soit pas opposée à la réalisation d'études en soi, l'Administration du Canada préférerait se concentrer sur les bandes de fréquences </w:t>
      </w:r>
      <w:r w:rsidR="00220393" w:rsidRPr="00E554DE">
        <w:t>offrant de meilleures perspectives</w:t>
      </w:r>
      <w:r w:rsidR="00951785" w:rsidRPr="00E554DE">
        <w:t xml:space="preserve">. </w:t>
      </w:r>
      <w:r w:rsidR="00FD5E61" w:rsidRPr="00E554DE">
        <w:t xml:space="preserve">Ses préoccupations portent en </w:t>
      </w:r>
      <w:r w:rsidR="00951785" w:rsidRPr="00E554DE">
        <w:t>par</w:t>
      </w:r>
      <w:r w:rsidR="00FD5E61" w:rsidRPr="00E554DE">
        <w:t>ticulier sur</w:t>
      </w:r>
      <w:r w:rsidR="00951785" w:rsidRPr="00E554DE">
        <w:t xml:space="preserve"> la bande de fréquences 4,4-4,8 GHz, les parties de la bande des 7 GHz identifiées et la bande de fréquences 14,8-15,35 GHz, qui ont des propriétés similaires aux bandes d'ondes millimétriques identifiées en 2019 </w:t>
      </w:r>
      <w:r w:rsidR="00FD5E61" w:rsidRPr="00E554DE">
        <w:t xml:space="preserve">et </w:t>
      </w:r>
      <w:r w:rsidR="00951785" w:rsidRPr="00E554DE">
        <w:t xml:space="preserve">ont suscité très peu d'intérêt ou </w:t>
      </w:r>
      <w:r w:rsidR="00784F49" w:rsidRPr="00E554DE">
        <w:t>dans lesquelles peu de systèmes ont été déployés</w:t>
      </w:r>
      <w:r w:rsidR="00951785" w:rsidRPr="00E554DE">
        <w:t xml:space="preserve">. Une discussion plus approfondie sur la raison d'être d'une nouvelle étude </w:t>
      </w:r>
      <w:r w:rsidR="00784F49" w:rsidRPr="00E554DE">
        <w:t>relative à ces</w:t>
      </w:r>
      <w:r w:rsidR="00951785" w:rsidRPr="00E554DE">
        <w:t xml:space="preserve"> bandes de fréquences serait appréciée.</w:t>
      </w:r>
    </w:p>
    <w:p w14:paraId="350AF3EF" w14:textId="7EF75EAF" w:rsidR="002A60FF" w:rsidRPr="00E554DE" w:rsidRDefault="002A60FF" w:rsidP="00906541">
      <w:r w:rsidRPr="00E554DE">
        <w:t>6.9</w:t>
      </w:r>
      <w:r w:rsidRPr="00E554DE">
        <w:tab/>
      </w:r>
      <w:r w:rsidR="00951785" w:rsidRPr="00E554DE">
        <w:t xml:space="preserve">Le </w:t>
      </w:r>
      <w:r w:rsidR="00951785" w:rsidRPr="00E554DE">
        <w:rPr>
          <w:b/>
          <w:bCs/>
        </w:rPr>
        <w:t>délégué de l'Allemagne</w:t>
      </w:r>
      <w:r w:rsidR="00951785" w:rsidRPr="00E554DE">
        <w:t xml:space="preserve"> </w:t>
      </w:r>
      <w:r w:rsidR="00FD5E61" w:rsidRPr="00E554DE">
        <w:t>fait part de craintes analogues concernant</w:t>
      </w:r>
      <w:r w:rsidR="00951785" w:rsidRPr="00E554DE">
        <w:t xml:space="preserve"> l'examen prématuré de nouvelles résolutions qui poseraient des problèmes considérables à l'UIT-R </w:t>
      </w:r>
      <w:r w:rsidR="00FD5E61" w:rsidRPr="00E554DE">
        <w:t xml:space="preserve">dans l'avenir </w:t>
      </w:r>
      <w:r w:rsidR="00951785" w:rsidRPr="00E554DE">
        <w:t>et demande que davantage de temps soit alloué pour mener de nouvelles consultations.</w:t>
      </w:r>
    </w:p>
    <w:p w14:paraId="68925351" w14:textId="405C1C0E" w:rsidR="002A60FF" w:rsidRPr="00E554DE" w:rsidRDefault="002A60FF" w:rsidP="00906541">
      <w:r w:rsidRPr="00E554DE">
        <w:t>6.10</w:t>
      </w:r>
      <w:r w:rsidRPr="00E554DE">
        <w:tab/>
      </w:r>
      <w:r w:rsidR="00951785" w:rsidRPr="00E554DE">
        <w:t xml:space="preserve">Le </w:t>
      </w:r>
      <w:r w:rsidR="00951785" w:rsidRPr="00E554DE">
        <w:rPr>
          <w:b/>
          <w:bCs/>
        </w:rPr>
        <w:t>délégué de l'Azerbaïdjan</w:t>
      </w:r>
      <w:r w:rsidR="00951785" w:rsidRPr="00E554DE">
        <w:t xml:space="preserve"> exprime des préoccupations concernant l'attribution de la gamme de fréquences 7,1-8,4 GHZ </w:t>
      </w:r>
      <w:r w:rsidR="00FD5E61" w:rsidRPr="00E554DE">
        <w:t xml:space="preserve">pour les </w:t>
      </w:r>
      <w:r w:rsidR="00951785" w:rsidRPr="00E554DE">
        <w:t>IMT. L'Administration de l'Azerbaïdjan, comme beaucoup d'autres, souhaite préserver cette gamme de fréquence</w:t>
      </w:r>
      <w:r w:rsidR="007549FB" w:rsidRPr="00E554DE">
        <w:t>s</w:t>
      </w:r>
      <w:r w:rsidR="00951785" w:rsidRPr="00E554DE">
        <w:t xml:space="preserve"> pour l'exploitation de systèmes à satellites non géostationnaires (non OSG). Plusieurs pays utilisent des satellites non OSG dans la bande X. Un nombre important de ces satellites sont en orbite </w:t>
      </w:r>
      <w:r w:rsidR="00FD5E61" w:rsidRPr="00E554DE">
        <w:t xml:space="preserve">et </w:t>
      </w:r>
      <w:r w:rsidR="00951785" w:rsidRPr="00E554DE">
        <w:t>acti</w:t>
      </w:r>
      <w:r w:rsidR="00FD5E61" w:rsidRPr="00E554DE">
        <w:t>fs</w:t>
      </w:r>
      <w:r w:rsidR="00951785" w:rsidRPr="00E554DE">
        <w:t xml:space="preserve">, tandis que d'autres sont prêts à être lancés. </w:t>
      </w:r>
      <w:r w:rsidR="00FD5E61" w:rsidRPr="00E554DE">
        <w:t>La modification de</w:t>
      </w:r>
      <w:r w:rsidR="007549FB" w:rsidRPr="00E554DE">
        <w:t xml:space="preserve"> </w:t>
      </w:r>
      <w:r w:rsidR="00FD5E61" w:rsidRPr="00E554DE">
        <w:t>l'</w:t>
      </w:r>
      <w:r w:rsidR="007549FB" w:rsidRPr="00E554DE">
        <w:t xml:space="preserve">utilisation </w:t>
      </w:r>
      <w:r w:rsidR="00FD5E61" w:rsidRPr="00E554DE">
        <w:t xml:space="preserve">de cette partie </w:t>
      </w:r>
      <w:r w:rsidR="007549FB" w:rsidRPr="00E554DE">
        <w:t>du spectre pourrait poser de graves problèmes aux propriétaires de satellites et aux nombreux pays concernés.</w:t>
      </w:r>
      <w:r w:rsidR="00951785" w:rsidRPr="00E554DE">
        <w:t xml:space="preserve"> L'Azerbaïdjan est donc fermement opposé à l'inclusion de la bande</w:t>
      </w:r>
      <w:r w:rsidR="007549FB" w:rsidRPr="00E554DE">
        <w:t xml:space="preserve"> de fréquences</w:t>
      </w:r>
      <w:r w:rsidR="00951785" w:rsidRPr="00E554DE">
        <w:t xml:space="preserve"> en question dans le projet de résolution et souhaite engager une discussion plus approfondie lors de la </w:t>
      </w:r>
      <w:r w:rsidR="00FD5E61" w:rsidRPr="00E554DE">
        <w:t xml:space="preserve">présente </w:t>
      </w:r>
      <w:r w:rsidR="007549FB" w:rsidRPr="00E554DE">
        <w:t>C</w:t>
      </w:r>
      <w:r w:rsidR="00951785" w:rsidRPr="00E554DE">
        <w:t xml:space="preserve">onférence, compte tenu des </w:t>
      </w:r>
      <w:r w:rsidR="007549FB" w:rsidRPr="00E554DE">
        <w:t>incidences que cette décision aura à l'échelle mondiale.</w:t>
      </w:r>
    </w:p>
    <w:p w14:paraId="7D17A80B" w14:textId="320B1A86" w:rsidR="002A60FF" w:rsidRPr="00E554DE" w:rsidRDefault="002A60FF" w:rsidP="00906541">
      <w:r w:rsidRPr="00E554DE">
        <w:t>6.11</w:t>
      </w:r>
      <w:r w:rsidRPr="00E554DE">
        <w:tab/>
      </w:r>
      <w:r w:rsidR="007549FB" w:rsidRPr="00E554DE">
        <w:t xml:space="preserve">Le </w:t>
      </w:r>
      <w:r w:rsidR="007549FB" w:rsidRPr="00E554DE">
        <w:rPr>
          <w:b/>
          <w:bCs/>
        </w:rPr>
        <w:t>délégué de la République de Corée</w:t>
      </w:r>
      <w:r w:rsidR="007549FB" w:rsidRPr="00E554DE">
        <w:t xml:space="preserve"> félicite tous ceux et toutes celles ayant participé aux travaux de la Commission 6, en particulier le Président de la </w:t>
      </w:r>
      <w:r w:rsidR="00D91A6F" w:rsidRPr="00E554DE">
        <w:t>C</w:t>
      </w:r>
      <w:r w:rsidR="007549FB" w:rsidRPr="00E554DE">
        <w:t>ommission, les groupes de travail et les sous-groupes de travail, ainsi que les responsables des groupes régionaux, des efforts qu'ils ont déployés pour trouver un compromis. L'Administration de la République de Corée appuie la résolution proposée.</w:t>
      </w:r>
    </w:p>
    <w:p w14:paraId="2B6FA67B" w14:textId="456E9985" w:rsidR="002A60FF" w:rsidRPr="00E554DE" w:rsidRDefault="002A60FF" w:rsidP="00906541">
      <w:r w:rsidRPr="00E554DE">
        <w:t>6.12</w:t>
      </w:r>
      <w:r w:rsidRPr="00E554DE">
        <w:tab/>
      </w:r>
      <w:r w:rsidR="007549FB" w:rsidRPr="00E554DE">
        <w:t xml:space="preserve">Le </w:t>
      </w:r>
      <w:r w:rsidR="007549FB" w:rsidRPr="00E554DE">
        <w:rPr>
          <w:b/>
          <w:bCs/>
        </w:rPr>
        <w:t>délégué de la Slovénie</w:t>
      </w:r>
      <w:r w:rsidR="007549FB" w:rsidRPr="00E554DE">
        <w:t xml:space="preserve"> déclare que le texte à l'examen constitue un compromis important, qui ne doit plus être modifié.</w:t>
      </w:r>
    </w:p>
    <w:p w14:paraId="0C16ED1C" w14:textId="1F759E34" w:rsidR="002A60FF" w:rsidRPr="00E554DE" w:rsidRDefault="002A60FF" w:rsidP="00906541">
      <w:pPr>
        <w:keepLines/>
      </w:pPr>
      <w:r w:rsidRPr="00E554DE">
        <w:lastRenderedPageBreak/>
        <w:t>6.13</w:t>
      </w:r>
      <w:r w:rsidRPr="00E554DE">
        <w:tab/>
      </w:r>
      <w:r w:rsidR="007549FB" w:rsidRPr="00E554DE">
        <w:t xml:space="preserve">Le </w:t>
      </w:r>
      <w:r w:rsidR="007549FB" w:rsidRPr="00E554DE">
        <w:rPr>
          <w:b/>
          <w:bCs/>
        </w:rPr>
        <w:t>délégué de l'Arabie saoudite</w:t>
      </w:r>
      <w:r w:rsidR="007549FB" w:rsidRPr="00E554DE">
        <w:t xml:space="preserve"> </w:t>
      </w:r>
      <w:r w:rsidR="001E557E" w:rsidRPr="00E554DE">
        <w:t xml:space="preserve">précise que la résolution et les bandes de fréquences présentées ont fait l'objet de longues discussions entre les groupes régionaux. Bien qu'il y </w:t>
      </w:r>
      <w:r w:rsidR="00875528" w:rsidRPr="00E554DE">
        <w:t>aura sans nul doute</w:t>
      </w:r>
      <w:r w:rsidR="001E557E" w:rsidRPr="00E554DE">
        <w:t xml:space="preserve"> des difficultés, la proposition </w:t>
      </w:r>
      <w:r w:rsidR="00875528" w:rsidRPr="00E554DE">
        <w:t xml:space="preserve">est </w:t>
      </w:r>
      <w:r w:rsidR="001E557E" w:rsidRPr="00E554DE">
        <w:t xml:space="preserve">simplement </w:t>
      </w:r>
      <w:r w:rsidR="00875528" w:rsidRPr="00E554DE">
        <w:t>d'</w:t>
      </w:r>
      <w:r w:rsidR="001E557E" w:rsidRPr="00E554DE">
        <w:t xml:space="preserve">étudier les bandes de fréquences en vue d'une identification pour les IMT à la Conférence suivante. Le texte soumis à la plénière est le résultat d'un compromis très délicat et sensible, qui peut avoir des </w:t>
      </w:r>
      <w:r w:rsidR="00875528" w:rsidRPr="00E554DE">
        <w:t xml:space="preserve">répercussions </w:t>
      </w:r>
      <w:r w:rsidR="001E557E" w:rsidRPr="00E554DE">
        <w:t xml:space="preserve">sur d'autres points de l'ordre du jour. </w:t>
      </w:r>
      <w:r w:rsidR="00875528" w:rsidRPr="00E554DE">
        <w:t>Il</w:t>
      </w:r>
      <w:r w:rsidR="001E557E" w:rsidRPr="00E554DE">
        <w:t xml:space="preserve"> devrait être approuvé tel quel.</w:t>
      </w:r>
    </w:p>
    <w:p w14:paraId="02CA3FF9" w14:textId="353BB298" w:rsidR="002A60FF" w:rsidRPr="00E554DE" w:rsidRDefault="002A60FF" w:rsidP="00906541">
      <w:r w:rsidRPr="00E554DE">
        <w:t>6.14</w:t>
      </w:r>
      <w:r w:rsidRPr="00E554DE">
        <w:tab/>
      </w:r>
      <w:r w:rsidR="000054A9" w:rsidRPr="00E554DE">
        <w:t xml:space="preserve">Le </w:t>
      </w:r>
      <w:r w:rsidR="000054A9" w:rsidRPr="00E554DE">
        <w:rPr>
          <w:b/>
          <w:bCs/>
        </w:rPr>
        <w:t>délégué du Brésil</w:t>
      </w:r>
      <w:r w:rsidR="000054A9" w:rsidRPr="00E554DE">
        <w:t xml:space="preserve"> ajoute que les bandes de fréquences proposées ont fait l'objet de longues discussions et que la résolution dont la plénière est actuellement saisie constitue le meilleur compromis possible. Il est très peu probable que la poursuite des discussions aboutisse à des avantages significatifs. L'Administration brésilienne appuie donc le texte tel qu'il est présenté.</w:t>
      </w:r>
    </w:p>
    <w:p w14:paraId="5AD4E944" w14:textId="39DB4970" w:rsidR="002A60FF" w:rsidRPr="00E554DE" w:rsidRDefault="002A60FF" w:rsidP="00906541">
      <w:r w:rsidRPr="00E554DE">
        <w:t>6.15</w:t>
      </w:r>
      <w:r w:rsidRPr="00E554DE">
        <w:tab/>
      </w:r>
      <w:r w:rsidR="000054A9" w:rsidRPr="00E554DE">
        <w:t xml:space="preserve">La </w:t>
      </w:r>
      <w:r w:rsidR="000054A9" w:rsidRPr="00E554DE">
        <w:rPr>
          <w:b/>
          <w:bCs/>
        </w:rPr>
        <w:t>déléguée du Mexique</w:t>
      </w:r>
      <w:r w:rsidR="000054A9" w:rsidRPr="00E554DE">
        <w:t xml:space="preserve"> indique que la résolution et les bandes de fréquences proposées ont été examinées en détail et constituent un compromis entre toutes les parties intéressées. On ne saurait préjuger des résultats de ces études, qui feront apparaître tous les arguments pour et contre l'utilisation de ces bandes de fréquences. S'agissant du souhait d'adopter une approche mondiale et non régionale, les bandes </w:t>
      </w:r>
      <w:r w:rsidR="0022112F" w:rsidRPr="00E554DE">
        <w:t xml:space="preserve">de fréquences </w:t>
      </w:r>
      <w:r w:rsidR="000054A9" w:rsidRPr="00E554DE">
        <w:t xml:space="preserve">pourraient être </w:t>
      </w:r>
      <w:r w:rsidR="0022112F" w:rsidRPr="00E554DE">
        <w:t>examinées</w:t>
      </w:r>
      <w:r w:rsidR="000054A9" w:rsidRPr="00E554DE">
        <w:t xml:space="preserve"> à l'échelle mondial</w:t>
      </w:r>
      <w:r w:rsidR="0022112F" w:rsidRPr="00E554DE">
        <w:t>e</w:t>
      </w:r>
      <w:r w:rsidR="000054A9" w:rsidRPr="00E554DE">
        <w:t xml:space="preserve">; les références à des régions spécifiques se rapportent uniquement à l'identification afin de répondre aux préoccupations des administrations </w:t>
      </w:r>
      <w:r w:rsidR="00875528" w:rsidRPr="00E554DE">
        <w:t>pour lesquelles</w:t>
      </w:r>
      <w:r w:rsidR="000054A9" w:rsidRPr="00E554DE">
        <w:t xml:space="preserve"> les bandes de fréquences en question</w:t>
      </w:r>
      <w:r w:rsidR="00875528" w:rsidRPr="00E554DE">
        <w:t xml:space="preserve"> posent des problèmes</w:t>
      </w:r>
      <w:r w:rsidR="000054A9" w:rsidRPr="00E554DE">
        <w:t xml:space="preserve">. Les discussions du groupe interrégional ont été fructueuses. La </w:t>
      </w:r>
      <w:r w:rsidR="00875528" w:rsidRPr="00E554DE">
        <w:t xml:space="preserve">restriction </w:t>
      </w:r>
      <w:r w:rsidR="000054A9" w:rsidRPr="00E554DE">
        <w:t xml:space="preserve">dans la bande de fréquences 7-8,4 GHz pour tenir compte de besoins importants et </w:t>
      </w:r>
      <w:r w:rsidR="00875528" w:rsidRPr="00E554DE">
        <w:t>des</w:t>
      </w:r>
      <w:r w:rsidR="000054A9" w:rsidRPr="00E554DE">
        <w:t xml:space="preserve"> mesures du service d'exploration de la Terre par satellite (SETS) témoigne </w:t>
      </w:r>
      <w:r w:rsidR="00AB0F1B" w:rsidRPr="00E554DE">
        <w:t>d'une reconnaissance</w:t>
      </w:r>
      <w:r w:rsidR="000054A9" w:rsidRPr="00E554DE">
        <w:t xml:space="preserve"> et d'une </w:t>
      </w:r>
      <w:r w:rsidR="00AB0F1B" w:rsidRPr="00E554DE">
        <w:t>prise en compte</w:t>
      </w:r>
      <w:r w:rsidR="000054A9" w:rsidRPr="00E554DE">
        <w:t xml:space="preserve"> de l'importance de tous les services. L'Administration mexicaine appuie la résolution telle que présentée.</w:t>
      </w:r>
    </w:p>
    <w:p w14:paraId="19B6D8E1" w14:textId="77777777" w:rsidR="00C366CC" w:rsidRPr="00E554DE" w:rsidRDefault="00C366CC" w:rsidP="00906541">
      <w:r w:rsidRPr="00E554DE">
        <w:t>6.16</w:t>
      </w:r>
      <w:r w:rsidRPr="00E554DE">
        <w:tab/>
        <w:t xml:space="preserve">Compte tenu de la discussion, le </w:t>
      </w:r>
      <w:r w:rsidRPr="00E554DE">
        <w:rPr>
          <w:b/>
          <w:bCs/>
        </w:rPr>
        <w:t xml:space="preserve">Président </w:t>
      </w:r>
      <w:r w:rsidRPr="00E554DE">
        <w:t>propose que la résolution soit approuvée, étant entendu que toutes les inquiétudes et observations seront consignées au procès-verbal de la plénière.</w:t>
      </w:r>
    </w:p>
    <w:p w14:paraId="16AAE158" w14:textId="77777777" w:rsidR="00C366CC" w:rsidRPr="00E554DE" w:rsidRDefault="00C366CC" w:rsidP="00906541">
      <w:r w:rsidRPr="00E554DE">
        <w:t>6.17</w:t>
      </w:r>
      <w:r w:rsidRPr="00E554DE">
        <w:tab/>
        <w:t xml:space="preserve">Le </w:t>
      </w:r>
      <w:r w:rsidRPr="00E554DE">
        <w:rPr>
          <w:b/>
          <w:bCs/>
        </w:rPr>
        <w:t>délégué de la République sudafricaine</w:t>
      </w:r>
      <w:r w:rsidRPr="00E554DE">
        <w:t xml:space="preserve"> et la </w:t>
      </w:r>
      <w:r w:rsidRPr="00E554DE">
        <w:rPr>
          <w:b/>
          <w:bCs/>
        </w:rPr>
        <w:t>déléguée du Mexique</w:t>
      </w:r>
      <w:r w:rsidRPr="00E554DE">
        <w:t xml:space="preserve">, cette dernière s'exprimant au nom de la CITEL, appuient la proposition du Président, de même que le </w:t>
      </w:r>
      <w:r w:rsidRPr="00E554DE">
        <w:rPr>
          <w:b/>
          <w:bCs/>
        </w:rPr>
        <w:t>délégué du Nigéria</w:t>
      </w:r>
      <w:r w:rsidRPr="00E554DE">
        <w:t>, qui souligne que cette résolution a fait l'objet d'un examen minutieux et a été acceptée par les chefs des groupes régionaux, ainsi que par les autres parties intéressées.</w:t>
      </w:r>
    </w:p>
    <w:p w14:paraId="3493A9E3" w14:textId="77777777" w:rsidR="00C366CC" w:rsidRPr="00E554DE" w:rsidRDefault="00C366CC" w:rsidP="00906541">
      <w:pPr>
        <w:rPr>
          <w:b/>
          <w:bCs/>
        </w:rPr>
      </w:pPr>
      <w:r w:rsidRPr="00E554DE">
        <w:t>6.18</w:t>
      </w:r>
      <w:r w:rsidRPr="00E554DE">
        <w:tab/>
        <w:t xml:space="preserve">Le </w:t>
      </w:r>
      <w:r w:rsidRPr="00E554DE">
        <w:rPr>
          <w:b/>
          <w:bCs/>
        </w:rPr>
        <w:t>délégué de l'Argentine</w:t>
      </w:r>
      <w:r w:rsidRPr="00E554DE">
        <w:t xml:space="preserve"> explique que les bandes de fréquences en question ont fait l'objet de longues discussions et que le document présenté à la plénière constitue un compromis très fragile. Les inquiétudes exprimées par certaines administrations sont compréhensibles, mais la meilleure manière de procéder est d'appuyer le travail accompli et d'approuver le document tel qu'il est proposé par le Président.</w:t>
      </w:r>
    </w:p>
    <w:p w14:paraId="1FE936CB" w14:textId="77777777" w:rsidR="00C366CC" w:rsidRPr="00E554DE" w:rsidRDefault="00C366CC" w:rsidP="00906541">
      <w:r w:rsidRPr="00E554DE">
        <w:t>6.19</w:t>
      </w:r>
      <w:r w:rsidRPr="00E554DE">
        <w:tab/>
        <w:t xml:space="preserve">La </w:t>
      </w:r>
      <w:r w:rsidRPr="00E554DE">
        <w:rPr>
          <w:b/>
          <w:bCs/>
        </w:rPr>
        <w:t>déléguée de la Slovénie</w:t>
      </w:r>
      <w:r w:rsidRPr="00E554DE">
        <w:t xml:space="preserve"> fait savoir que, bien que son administration ait elle aussi des réserves concernant certaines des bandes de fréquences, elle accepte néanmoins le fait que cette résolution est le résultat d'un compromis très difficile à obtenir et qu'elle devrait être approuvée telle que présentée.</w:t>
      </w:r>
    </w:p>
    <w:p w14:paraId="50E7CE9B" w14:textId="77777777" w:rsidR="00C366CC" w:rsidRPr="00E554DE" w:rsidRDefault="00C366CC" w:rsidP="00906541">
      <w:r w:rsidRPr="00E554DE">
        <w:t>6.20</w:t>
      </w:r>
      <w:r w:rsidRPr="00E554DE">
        <w:tab/>
        <w:t xml:space="preserve">Le </w:t>
      </w:r>
      <w:r w:rsidRPr="00E554DE">
        <w:rPr>
          <w:b/>
          <w:bCs/>
        </w:rPr>
        <w:t>délégué de l'Égypte</w:t>
      </w:r>
      <w:r w:rsidRPr="00E554DE">
        <w:t>, renvoyant aux nombreuses discussions tenues sur le document tout au long de la Conférence, indique que les délégations devraient appuyer le travail accompli par les chefs des groupes régionaux et approuver la résolution telle qu'elle est présentée, ce qui donnera le coup d'envoi du prochain cycle d'études.</w:t>
      </w:r>
    </w:p>
    <w:p w14:paraId="42F46D35" w14:textId="77777777" w:rsidR="00C366CC" w:rsidRPr="00E554DE" w:rsidRDefault="00C366CC" w:rsidP="00906541">
      <w:r w:rsidRPr="00E554DE">
        <w:t>6.21</w:t>
      </w:r>
      <w:r w:rsidRPr="00E554DE">
        <w:tab/>
        <w:t xml:space="preserve">Le </w:t>
      </w:r>
      <w:r w:rsidRPr="00E554DE">
        <w:rPr>
          <w:b/>
          <w:bCs/>
        </w:rPr>
        <w:t>délégué du Viet Nam</w:t>
      </w:r>
      <w:r w:rsidRPr="00E554DE">
        <w:t xml:space="preserve"> explique que le document présenté à la plénière représente un résultat équilibré et un compromis délicat, qu'il convient de respecter. Il sera ainsi possible de mener les études de partage et de compatibilité, afin d'être en mesure d'examiner les fréquences qui </w:t>
      </w:r>
      <w:r w:rsidRPr="00E554DE">
        <w:br w:type="page"/>
      </w:r>
    </w:p>
    <w:p w14:paraId="67EDE760" w14:textId="2F3FF05A" w:rsidR="00C366CC" w:rsidRPr="00E554DE" w:rsidRDefault="00C366CC" w:rsidP="00906541">
      <w:r w:rsidRPr="00E554DE">
        <w:lastRenderedPageBreak/>
        <w:t>pourraient être identifiées pour les IMT à la CMR-27, ce qui est d'une importance capitale pour appuyer le développement des IMT tout en assurant la protection des services existants et la poursuite de leur développement.</w:t>
      </w:r>
    </w:p>
    <w:p w14:paraId="2CD22A43" w14:textId="77777777" w:rsidR="00C366CC" w:rsidRPr="00E554DE" w:rsidRDefault="00C366CC" w:rsidP="00906541">
      <w:r w:rsidRPr="00E554DE">
        <w:t>6.22</w:t>
      </w:r>
      <w:r w:rsidRPr="00E554DE">
        <w:tab/>
        <w:t xml:space="preserve">Le </w:t>
      </w:r>
      <w:r w:rsidRPr="00E554DE">
        <w:rPr>
          <w:b/>
          <w:bCs/>
        </w:rPr>
        <w:t>délégué de la Fédération de Russie</w:t>
      </w:r>
      <w:r w:rsidRPr="00E554DE">
        <w:t xml:space="preserve"> a également remercié la Commission 6 pour le travail accompli. Aucune décision n'est prise à ce stade concernant l'utilisation des bandes de fréquences en question, il est simplement décidé de procéder aux études nécessaires. Son Administration souhaite que les bandes de fréquences énumérées fassent l'objet d'études, que les résultats de ces études soient évalués et qu'une décision soit prise en conséquence à la CMR-27. L'orateur est donc disposé à appuyer la manière de procéder proposée par le Président, consistant à approuver la résolution, étant entendu que les inquiétudes et observations des pays seront consignées au procès-verbal. À cet égard, son Administration soumet par écrit la déclaration suivante au secrétariat:</w:t>
      </w:r>
    </w:p>
    <w:p w14:paraId="15AC24C2" w14:textId="77777777" w:rsidR="00C366CC" w:rsidRPr="00E554DE" w:rsidRDefault="00C366CC" w:rsidP="00906541">
      <w:r w:rsidRPr="00E554DE">
        <w:t>«La Fédération de Russie est préoccupée par le fait que la Conférence, dans sa décision d'examiner, au titre de la Résolution COM6/26 (CMR-23), la bande de fréquences 7 125-8 400 MHz en vue d'une identification pour les IMT, n'a pas tenu compte de la nécessité de développer dans l'avenir les applications du service d'exploration de la Terre par satellite (SETS) dans les bandes de fréquences 7 190-7 250 MHz et 8 025-8 400 MHz et du service de météorologie par satellite (MetSat) dans les bandes de fréquences 7 450-7 550 MHz et 7 750-7 900 MHz.</w:t>
      </w:r>
    </w:p>
    <w:p w14:paraId="080AE6D8" w14:textId="77777777" w:rsidR="00C366CC" w:rsidRPr="00E554DE" w:rsidRDefault="00C366CC" w:rsidP="00906541">
      <w:r w:rsidRPr="00E554DE">
        <w:t>En particulier, une identification pour les IMT dans les bandes de fréquences 7 190-7 250 MHz, 7 450-7 550 MHz, 7 750-7 900 MHz et 8 025-8 400 MHz risque de nuire à la possibilité d'une utilisation harmonisée à l'échelle mondiale des bandes de fréquences susmentionnées par le service MetSat et le SETS et, à terme, pourrait compromettre la réalisation des Objectifs de développement durable définis par les Nations Unies, en particulier ceux de défendre, rétablir et favoriser une utilisation durable des écosystèmes terrestres, promouvoir l'agriculture durable et lutter contre les changements climatiques.»</w:t>
      </w:r>
    </w:p>
    <w:p w14:paraId="2546A112" w14:textId="77777777" w:rsidR="00C366CC" w:rsidRPr="00E554DE" w:rsidRDefault="00C366CC" w:rsidP="00906541">
      <w:r w:rsidRPr="00E554DE">
        <w:t>6.23</w:t>
      </w:r>
      <w:r w:rsidRPr="00E554DE">
        <w:tab/>
        <w:t xml:space="preserve">Le </w:t>
      </w:r>
      <w:r w:rsidRPr="00E554DE">
        <w:rPr>
          <w:b/>
          <w:bCs/>
        </w:rPr>
        <w:t>délégué de la Finlande</w:t>
      </w:r>
      <w:r w:rsidRPr="00E554DE">
        <w:t>, même s'il n'est pas pleinement satisfait de toutes les bandes de fréquences identifiées pour les études, indique qu'il peut accepter le compromis trouvé par les groupes régionaux et appuyer la manière de procéder proposée par le Président.</w:t>
      </w:r>
    </w:p>
    <w:p w14:paraId="219DF6A6" w14:textId="77777777" w:rsidR="00C366CC" w:rsidRPr="00E554DE" w:rsidRDefault="00C366CC" w:rsidP="00906541">
      <w:r w:rsidRPr="00E554DE">
        <w:t>6.24</w:t>
      </w:r>
      <w:r w:rsidRPr="00E554DE">
        <w:tab/>
        <w:t xml:space="preserve">Le </w:t>
      </w:r>
      <w:r w:rsidRPr="00E554DE">
        <w:rPr>
          <w:b/>
          <w:bCs/>
        </w:rPr>
        <w:t>Président</w:t>
      </w:r>
      <w:r w:rsidRPr="00E554DE">
        <w:t xml:space="preserve"> remercie toutes les délégations pour leur compréhension et l'esprit de compromis dont elles ont fait preuve et déclare qu'il considère que, les inquiétudes et observations exprimées ayant été dûment notées, les participants souhaitent approuver la Résolution COM6/26.</w:t>
      </w:r>
    </w:p>
    <w:p w14:paraId="440C003E" w14:textId="77777777" w:rsidR="00C366CC" w:rsidRPr="00E554DE" w:rsidRDefault="00C366CC" w:rsidP="00906541">
      <w:r w:rsidRPr="00E554DE">
        <w:t>6.25</w:t>
      </w:r>
      <w:r w:rsidRPr="00E554DE">
        <w:tab/>
      </w:r>
      <w:r w:rsidRPr="00E554DE">
        <w:rPr>
          <w:b/>
          <w:bCs/>
        </w:rPr>
        <w:t>Approuvée</w:t>
      </w:r>
      <w:r w:rsidRPr="00E554DE">
        <w:t>.</w:t>
      </w:r>
    </w:p>
    <w:p w14:paraId="1B721E5F" w14:textId="77777777" w:rsidR="00C366CC" w:rsidRPr="00E554DE" w:rsidRDefault="00C366CC" w:rsidP="00906541">
      <w:r w:rsidRPr="00E554DE">
        <w:t>6.26</w:t>
      </w:r>
      <w:r w:rsidRPr="00E554DE">
        <w:tab/>
        <w:t xml:space="preserve">La </w:t>
      </w:r>
      <w:r w:rsidRPr="00E554DE">
        <w:rPr>
          <w:b/>
          <w:bCs/>
        </w:rPr>
        <w:t>déléguée de l'Australie</w:t>
      </w:r>
      <w:r w:rsidRPr="00E554DE">
        <w:t>, s'exprimant au nom du Canada, du Danemark, de l'Allemagne, de la Nouvelle-Zélande, du Royaume des Pays-Bas, de la Suède et du Royaume-Uni, prononce la déclaration suivante:</w:t>
      </w:r>
    </w:p>
    <w:p w14:paraId="0403DFCF" w14:textId="77777777" w:rsidR="00C366CC" w:rsidRPr="00E554DE" w:rsidRDefault="00C366CC" w:rsidP="00906541">
      <w:r w:rsidRPr="00E554DE">
        <w:t>«Nous avons de fortes réserves concernant le processus de rédaction et d'approbation de la Résolution COM6/26. Le temps consacré à l'examen des bandes de fréquences énumérées dans cette résolution n'a pas été suffisant. Le sous-groupe de travail chargé d'élaborer la résolution n'a pas discuté des bandes de fréquences du tout – il a simplement dressé la liste des bandes devant être examinées avec pour instruction explicite que ces bandes feraient l'objet d'un examen à plus haut niveau. Cet examen à plus haut niveau n'a pas eu lieu, puisqu'au lieu de cela, les bandes de fréquences ont été communiquées à la plénière par les chefs des groupes régionaux par l'intermédiaire de la Commission 6, sans qu'aucune discussion adéquate ne puisse ainsi avoir lieu à quelque niveau que ce soit, y compris en plénière. Aucune possibilité n'a été donnée d'avoir une discussion de fond sur des aspects essentiels de cette résolution. Nous estimons qu'il existe des possibilités d'améliorer le processus global d'élaboration de l'ordre du jour des futures CMR dans l'avenir.»</w:t>
      </w:r>
    </w:p>
    <w:p w14:paraId="23ADABA4" w14:textId="77777777" w:rsidR="00C366CC" w:rsidRPr="00E554DE" w:rsidRDefault="00C366CC" w:rsidP="00906541">
      <w:r w:rsidRPr="00E554DE">
        <w:lastRenderedPageBreak/>
        <w:t>6.27</w:t>
      </w:r>
      <w:r w:rsidRPr="00E554DE">
        <w:tab/>
        <w:t xml:space="preserve">Le </w:t>
      </w:r>
      <w:r w:rsidRPr="00E554DE">
        <w:rPr>
          <w:b/>
          <w:bCs/>
        </w:rPr>
        <w:t>délégué du Portugal</w:t>
      </w:r>
      <w:r w:rsidRPr="00E554DE">
        <w:t xml:space="preserve"> déclare que son pays s'associe à cette déclaration.</w:t>
      </w:r>
    </w:p>
    <w:p w14:paraId="589E8932" w14:textId="77777777" w:rsidR="00C366CC" w:rsidRPr="00E554DE" w:rsidRDefault="00C366CC" w:rsidP="00906541">
      <w:pPr>
        <w:pStyle w:val="Headingb"/>
      </w:pPr>
      <w:r w:rsidRPr="00E554DE">
        <w:rPr>
          <w:bCs/>
        </w:rPr>
        <w:t xml:space="preserve">ADD Résolution COM6/23 </w:t>
      </w:r>
      <w:r w:rsidRPr="00E554DE">
        <w:t xml:space="preserve">(CMR-23) </w:t>
      </w:r>
      <w:r w:rsidRPr="00E554DE">
        <w:rPr>
          <w:bCs/>
        </w:rPr>
        <w:t>– Ordre du jour de la Conférence mondiale des radiocommunications de 2027;</w:t>
      </w:r>
      <w:r w:rsidRPr="00E554DE">
        <w:t xml:space="preserve"> ADD Résolution COM6/25 (CMR-23) – Ordre du jour préliminaire de la Conférence mondiale des radiocommunications de 2031</w:t>
      </w:r>
    </w:p>
    <w:p w14:paraId="55021C1A" w14:textId="77777777" w:rsidR="00C366CC" w:rsidRPr="00E554DE" w:rsidRDefault="00C366CC" w:rsidP="00906541">
      <w:r w:rsidRPr="00E554DE">
        <w:t>6.28</w:t>
      </w:r>
      <w:r w:rsidRPr="00E554DE">
        <w:tab/>
        <w:t xml:space="preserve">Le </w:t>
      </w:r>
      <w:r w:rsidRPr="00E554DE">
        <w:rPr>
          <w:b/>
          <w:bCs/>
        </w:rPr>
        <w:t>délégué du Danemark</w:t>
      </w:r>
      <w:r w:rsidRPr="00E554DE">
        <w:t xml:space="preserve">, soutenu par les </w:t>
      </w:r>
      <w:r w:rsidRPr="00E554DE">
        <w:rPr>
          <w:b/>
          <w:bCs/>
        </w:rPr>
        <w:t>délégués de l'Allemagne</w:t>
      </w:r>
      <w:r w:rsidRPr="00E554DE">
        <w:t xml:space="preserve"> et </w:t>
      </w:r>
      <w:r w:rsidRPr="00E554DE">
        <w:rPr>
          <w:b/>
          <w:bCs/>
        </w:rPr>
        <w:t>du</w:t>
      </w:r>
      <w:r w:rsidRPr="00E554DE">
        <w:t xml:space="preserve"> </w:t>
      </w:r>
      <w:r w:rsidRPr="00E554DE">
        <w:rPr>
          <w:b/>
          <w:bCs/>
        </w:rPr>
        <w:t>Royaume des Pays-Bas</w:t>
      </w:r>
      <w:r w:rsidRPr="00E554DE">
        <w:t>, fait observer que le Document 517, qui doit encore être examiné par la plénière, contient une proposition de nouveau point à inscrire à l'ordre du jour de la CMR-27, dont l'approbation aura des incidences sur le contenu du projet de Résolution COM6/23.</w:t>
      </w:r>
    </w:p>
    <w:p w14:paraId="4CFD0296" w14:textId="77777777" w:rsidR="00C366CC" w:rsidRPr="00E554DE" w:rsidRDefault="00C366CC" w:rsidP="00906541">
      <w:r w:rsidRPr="00E554DE">
        <w:t>6.29</w:t>
      </w:r>
      <w:r w:rsidRPr="00E554DE">
        <w:tab/>
        <w:t xml:space="preserve">Le </w:t>
      </w:r>
      <w:r w:rsidRPr="00E554DE">
        <w:rPr>
          <w:b/>
          <w:bCs/>
        </w:rPr>
        <w:t>Président de la Commission de rédaction</w:t>
      </w:r>
      <w:r w:rsidRPr="00E554DE">
        <w:t xml:space="preserve"> fait également remarquer qu'avant de passer à la Résolution COM6/25, la plénière souhaitera peut-être mener à bien l'examen du point 1.5 de l'ordre du jour, au titre duquel il existe également une proposition de nouveau point à inscrire à l'ordre du jour préliminaire de la CMR-31, dont l'approbation aura des incidences sur le contenu du projet de Résolution COM6/25.</w:t>
      </w:r>
    </w:p>
    <w:p w14:paraId="215918F9" w14:textId="77777777" w:rsidR="00C366CC" w:rsidRPr="00E554DE" w:rsidRDefault="00C366CC" w:rsidP="00906541">
      <w:r w:rsidRPr="00E554DE">
        <w:t>6.30</w:t>
      </w:r>
      <w:r w:rsidRPr="00E554DE">
        <w:tab/>
        <w:t xml:space="preserve">Le </w:t>
      </w:r>
      <w:r w:rsidRPr="00E554DE">
        <w:rPr>
          <w:b/>
          <w:bCs/>
        </w:rPr>
        <w:t>Président</w:t>
      </w:r>
      <w:r w:rsidRPr="00E554DE">
        <w:t xml:space="preserve"> propose que, compte tenu de ce qui vient d'être dit, la première lecture du Document 502(Rév.1) soit suspendue jusqu'à ce que la plénière ait fini l'examen de ces deux points de l'ordre du jour.</w:t>
      </w:r>
    </w:p>
    <w:p w14:paraId="721FD22F" w14:textId="77777777" w:rsidR="00C366CC" w:rsidRPr="00E554DE" w:rsidRDefault="00C366CC" w:rsidP="00906541">
      <w:r w:rsidRPr="00E554DE">
        <w:t>6.31</w:t>
      </w:r>
      <w:r w:rsidRPr="00E554DE">
        <w:tab/>
        <w:t xml:space="preserve">Il en est ainsi </w:t>
      </w:r>
      <w:r w:rsidRPr="00E554DE">
        <w:rPr>
          <w:b/>
          <w:bCs/>
        </w:rPr>
        <w:t>décidé</w:t>
      </w:r>
      <w:r w:rsidRPr="00E554DE">
        <w:t>.</w:t>
      </w:r>
    </w:p>
    <w:p w14:paraId="49CF4B16" w14:textId="77777777" w:rsidR="00C366CC" w:rsidRPr="00E554DE" w:rsidRDefault="00C366CC" w:rsidP="00906541">
      <w:pPr>
        <w:pStyle w:val="Heading1"/>
      </w:pPr>
      <w:r w:rsidRPr="00E554DE">
        <w:t>7</w:t>
      </w:r>
      <w:r w:rsidRPr="00E554DE">
        <w:tab/>
        <w:t>Cinquante-troisième série de textes soumis par la Commission de rédaction en première lecture (B53) (Document 509)</w:t>
      </w:r>
    </w:p>
    <w:p w14:paraId="30806821" w14:textId="77777777" w:rsidR="00C366CC" w:rsidRPr="00E554DE" w:rsidRDefault="00C366CC" w:rsidP="00906541">
      <w:r w:rsidRPr="00E554DE">
        <w:t>7.1</w:t>
      </w:r>
      <w:r w:rsidRPr="00E554DE">
        <w:tab/>
        <w:t xml:space="preserve">Le </w:t>
      </w:r>
      <w:r w:rsidRPr="00E554DE">
        <w:rPr>
          <w:b/>
          <w:bCs/>
        </w:rPr>
        <w:t>Président de la Commission 7</w:t>
      </w:r>
      <w:r w:rsidRPr="00E554DE">
        <w:t xml:space="preserve"> présente le Document 509.</w:t>
      </w:r>
    </w:p>
    <w:p w14:paraId="49278B5C" w14:textId="77777777" w:rsidR="00C366CC" w:rsidRPr="00E554DE" w:rsidRDefault="00C366CC" w:rsidP="00906541">
      <w:r w:rsidRPr="00E554DE">
        <w:t>7.2</w:t>
      </w:r>
      <w:r w:rsidRPr="00E554DE">
        <w:tab/>
        <w:t xml:space="preserve">Le </w:t>
      </w:r>
      <w:r w:rsidRPr="00E554DE">
        <w:rPr>
          <w:b/>
          <w:bCs/>
        </w:rPr>
        <w:t>Président</w:t>
      </w:r>
      <w:r w:rsidRPr="00E554DE">
        <w:t xml:space="preserve"> invite les participants à examiner le Document 509.</w:t>
      </w:r>
    </w:p>
    <w:p w14:paraId="0D1A2C4E" w14:textId="77777777" w:rsidR="00C366CC" w:rsidRPr="00E554DE" w:rsidRDefault="00C366CC" w:rsidP="00906541">
      <w:pPr>
        <w:pStyle w:val="Headingb"/>
      </w:pPr>
      <w:r w:rsidRPr="00E554DE">
        <w:t>SUP Résolution 245 (CMR-19)</w:t>
      </w:r>
    </w:p>
    <w:p w14:paraId="402264AF" w14:textId="77777777" w:rsidR="00C366CC" w:rsidRPr="00E554DE" w:rsidRDefault="00C366CC" w:rsidP="00906541">
      <w:r w:rsidRPr="00E554DE">
        <w:t>7.3</w:t>
      </w:r>
      <w:r w:rsidRPr="00E554DE">
        <w:tab/>
      </w:r>
      <w:r w:rsidRPr="00E554DE">
        <w:rPr>
          <w:b/>
          <w:bCs/>
        </w:rPr>
        <w:t>Approuvée</w:t>
      </w:r>
      <w:r w:rsidRPr="00E554DE">
        <w:t>.</w:t>
      </w:r>
    </w:p>
    <w:p w14:paraId="027D57D5" w14:textId="77777777" w:rsidR="00C366CC" w:rsidRPr="00E554DE" w:rsidRDefault="00C366CC" w:rsidP="00906541">
      <w:r w:rsidRPr="00E554DE">
        <w:t>7.4</w:t>
      </w:r>
      <w:r w:rsidRPr="00E554DE">
        <w:tab/>
        <w:t xml:space="preserve">La cinquante-troisième série de textes soumis par la Commission de rédaction en première lecture (B53) (Document 509) est </w:t>
      </w:r>
      <w:r w:rsidRPr="00E554DE">
        <w:rPr>
          <w:b/>
          <w:bCs/>
        </w:rPr>
        <w:t>approuvée</w:t>
      </w:r>
      <w:r w:rsidRPr="00E554DE">
        <w:t>.</w:t>
      </w:r>
    </w:p>
    <w:p w14:paraId="1D9F3A15" w14:textId="77777777" w:rsidR="00C366CC" w:rsidRPr="00E554DE" w:rsidRDefault="00C366CC" w:rsidP="00906541">
      <w:pPr>
        <w:pStyle w:val="Heading1"/>
      </w:pPr>
      <w:r w:rsidRPr="00E554DE">
        <w:t>8</w:t>
      </w:r>
      <w:r w:rsidRPr="00E554DE">
        <w:tab/>
        <w:t>Cinquante-troisième série de textes soumis par la Commission de rédaction (B53) – deuxième lecture (Document 509)</w:t>
      </w:r>
    </w:p>
    <w:p w14:paraId="0083F7D9" w14:textId="77777777" w:rsidR="00C366CC" w:rsidRPr="00E554DE" w:rsidRDefault="00C366CC" w:rsidP="00906541">
      <w:r w:rsidRPr="00E554DE">
        <w:t>8.1</w:t>
      </w:r>
      <w:r w:rsidRPr="00E554DE">
        <w:rPr>
          <w:b/>
          <w:bCs/>
        </w:rPr>
        <w:tab/>
      </w:r>
      <w:r w:rsidRPr="00E554DE">
        <w:t xml:space="preserve">La cinquante-troisième série de textes soumis par la Commission de rédaction (Document 509) est </w:t>
      </w:r>
      <w:r w:rsidRPr="00E554DE">
        <w:rPr>
          <w:b/>
          <w:bCs/>
        </w:rPr>
        <w:t>approuvée</w:t>
      </w:r>
      <w:r w:rsidRPr="00E554DE">
        <w:t xml:space="preserve"> en deuxième lecture.</w:t>
      </w:r>
    </w:p>
    <w:p w14:paraId="61C7FD7F" w14:textId="77777777" w:rsidR="00C366CC" w:rsidRPr="00E554DE" w:rsidRDefault="00C366CC" w:rsidP="00906541">
      <w:pPr>
        <w:pStyle w:val="Heading1"/>
      </w:pPr>
      <w:r w:rsidRPr="00E554DE">
        <w:t>9</w:t>
      </w:r>
      <w:r w:rsidRPr="00E554DE">
        <w:tab/>
        <w:t>Cinquante-quatrième série de textes soumis par la Commission de rédaction en première lecture (B54) (Document 512)</w:t>
      </w:r>
    </w:p>
    <w:p w14:paraId="5054DDC9" w14:textId="77777777" w:rsidR="00C366CC" w:rsidRPr="00E554DE" w:rsidRDefault="00C366CC" w:rsidP="00906541">
      <w:r w:rsidRPr="00E554DE">
        <w:t>9.1</w:t>
      </w:r>
      <w:r w:rsidRPr="00E554DE">
        <w:tab/>
        <w:t xml:space="preserve">Le </w:t>
      </w:r>
      <w:r w:rsidRPr="00E554DE">
        <w:rPr>
          <w:b/>
          <w:bCs/>
        </w:rPr>
        <w:t>Président de la Commission 7</w:t>
      </w:r>
      <w:r w:rsidRPr="00E554DE">
        <w:t xml:space="preserve"> présente le Document 512.</w:t>
      </w:r>
    </w:p>
    <w:p w14:paraId="62CD357E" w14:textId="77777777" w:rsidR="00C366CC" w:rsidRPr="00E554DE" w:rsidRDefault="00C366CC" w:rsidP="00906541">
      <w:r w:rsidRPr="00E554DE">
        <w:t>9.2</w:t>
      </w:r>
      <w:r w:rsidRPr="00E554DE">
        <w:tab/>
        <w:t xml:space="preserve">Le </w:t>
      </w:r>
      <w:r w:rsidRPr="00E554DE">
        <w:rPr>
          <w:b/>
        </w:rPr>
        <w:t>Président</w:t>
      </w:r>
      <w:r w:rsidRPr="00E554DE">
        <w:t xml:space="preserve"> invite les participants à examiner le Document 512.</w:t>
      </w:r>
    </w:p>
    <w:p w14:paraId="758A1BEE" w14:textId="77777777" w:rsidR="00C366CC" w:rsidRPr="00E554DE" w:rsidRDefault="00C366CC" w:rsidP="00906541">
      <w:pPr>
        <w:pStyle w:val="Headingb"/>
      </w:pPr>
      <w:bookmarkStart w:id="15" w:name="lt_pId376"/>
      <w:r w:rsidRPr="00E554DE">
        <w:t>Article 5 (MOD Tableau 3 600-4 800 MHz, ADD 5.A13A, ADD 5.A13B, ADD 5.A13C, ADD 5.A13D, SUP Résolution 246 (CMR-19)</w:t>
      </w:r>
      <w:bookmarkEnd w:id="15"/>
    </w:p>
    <w:p w14:paraId="4E5E6EA6" w14:textId="77777777" w:rsidR="00C366CC" w:rsidRPr="00E554DE" w:rsidRDefault="00C366CC" w:rsidP="00906541">
      <w:pPr>
        <w:rPr>
          <w:b/>
          <w:bCs/>
        </w:rPr>
      </w:pPr>
      <w:r w:rsidRPr="00E554DE">
        <w:t>9.3</w:t>
      </w:r>
      <w:r w:rsidRPr="00E554DE">
        <w:rPr>
          <w:b/>
          <w:bCs/>
        </w:rPr>
        <w:tab/>
        <w:t>Approuvés</w:t>
      </w:r>
      <w:r w:rsidRPr="00E554DE">
        <w:t>.</w:t>
      </w:r>
    </w:p>
    <w:p w14:paraId="17C7B371" w14:textId="77777777" w:rsidR="00C366CC" w:rsidRPr="00E554DE" w:rsidRDefault="00C366CC" w:rsidP="00906541">
      <w:r w:rsidRPr="00E554DE">
        <w:t>9.4</w:t>
      </w:r>
      <w:r w:rsidRPr="00E554DE">
        <w:tab/>
        <w:t xml:space="preserve">La cinquante-quatrième série de textes soumis par la Commission de rédaction en première lecture (B54) (Document 512) est </w:t>
      </w:r>
      <w:r w:rsidRPr="00E554DE">
        <w:rPr>
          <w:b/>
          <w:bCs/>
        </w:rPr>
        <w:t>approuvée</w:t>
      </w:r>
      <w:r w:rsidRPr="00E554DE">
        <w:t>.</w:t>
      </w:r>
    </w:p>
    <w:p w14:paraId="633BC76C" w14:textId="72A0C9D3" w:rsidR="00C366CC" w:rsidRPr="00E554DE" w:rsidRDefault="00C366CC" w:rsidP="00906541">
      <w:pPr>
        <w:pStyle w:val="Heading1"/>
      </w:pPr>
      <w:r w:rsidRPr="00E554DE">
        <w:lastRenderedPageBreak/>
        <w:t>10</w:t>
      </w:r>
      <w:r w:rsidRPr="00E554DE">
        <w:tab/>
        <w:t>Cinquante-quatrième série de textes soumis par la Commission de rédaction (B54)</w:t>
      </w:r>
      <w:r w:rsidR="001954AB" w:rsidRPr="00E554DE">
        <w:t xml:space="preserve"> </w:t>
      </w:r>
      <w:r w:rsidRPr="00E554DE">
        <w:t>– deuxième lecture (Document 512)</w:t>
      </w:r>
    </w:p>
    <w:p w14:paraId="075E5E1E" w14:textId="77777777" w:rsidR="00C366CC" w:rsidRPr="00E554DE" w:rsidRDefault="00C366CC" w:rsidP="00906541">
      <w:r w:rsidRPr="00E554DE">
        <w:t>10.1</w:t>
      </w:r>
      <w:r w:rsidRPr="00E554DE">
        <w:rPr>
          <w:b/>
          <w:bCs/>
        </w:rPr>
        <w:tab/>
      </w:r>
      <w:r w:rsidRPr="00E554DE">
        <w:t xml:space="preserve">La cinquante-quatrième série de textes soumis par la Commission de rédaction (Document 512) est </w:t>
      </w:r>
      <w:r w:rsidRPr="00E554DE">
        <w:rPr>
          <w:b/>
          <w:bCs/>
        </w:rPr>
        <w:t>approuvée</w:t>
      </w:r>
      <w:r w:rsidRPr="00E554DE">
        <w:t xml:space="preserve"> en deuxième lecture.</w:t>
      </w:r>
    </w:p>
    <w:p w14:paraId="4A4D5D3F" w14:textId="77777777" w:rsidR="00C366CC" w:rsidRPr="00E554DE" w:rsidRDefault="00C366CC" w:rsidP="00906541">
      <w:pPr>
        <w:pStyle w:val="Heading1"/>
      </w:pPr>
      <w:r w:rsidRPr="00E554DE">
        <w:t>11</w:t>
      </w:r>
      <w:r w:rsidRPr="00E554DE">
        <w:tab/>
        <w:t>Cinquante-cinquième série de textes soumis par la Commission de rédaction en première lecture (B55) (Document 513)</w:t>
      </w:r>
    </w:p>
    <w:p w14:paraId="14FF0425" w14:textId="77777777" w:rsidR="00C366CC" w:rsidRPr="00E554DE" w:rsidRDefault="00C366CC" w:rsidP="00906541">
      <w:r w:rsidRPr="00E554DE">
        <w:t>11.1</w:t>
      </w:r>
      <w:r w:rsidRPr="00E554DE">
        <w:tab/>
        <w:t xml:space="preserve">Le </w:t>
      </w:r>
      <w:r w:rsidRPr="00E554DE">
        <w:rPr>
          <w:b/>
          <w:bCs/>
        </w:rPr>
        <w:t>Président de la Commission 7</w:t>
      </w:r>
      <w:r w:rsidRPr="00E554DE">
        <w:t xml:space="preserve"> présente le Document 513.</w:t>
      </w:r>
    </w:p>
    <w:p w14:paraId="164EB325" w14:textId="77777777" w:rsidR="00C366CC" w:rsidRPr="00E554DE" w:rsidRDefault="00C366CC" w:rsidP="00906541">
      <w:r w:rsidRPr="00E554DE">
        <w:t>11.2</w:t>
      </w:r>
      <w:r w:rsidRPr="00E554DE">
        <w:tab/>
        <w:t xml:space="preserve">Le </w:t>
      </w:r>
      <w:r w:rsidRPr="00E554DE">
        <w:rPr>
          <w:b/>
          <w:bCs/>
        </w:rPr>
        <w:t>Président</w:t>
      </w:r>
      <w:r w:rsidRPr="00E554DE">
        <w:t xml:space="preserve"> invite les participants à examiner le Document 513.</w:t>
      </w:r>
    </w:p>
    <w:p w14:paraId="643B52A7" w14:textId="77777777" w:rsidR="00C366CC" w:rsidRPr="00E554DE" w:rsidRDefault="00C366CC" w:rsidP="00906541">
      <w:pPr>
        <w:pStyle w:val="Headingb"/>
      </w:pPr>
      <w:bookmarkStart w:id="16" w:name="lt_pId391"/>
      <w:r w:rsidRPr="00E554DE">
        <w:t>Article 5 (MOD Tableau 2 700-3 600MHz, MOD 5.429A, MOD 5.429B)</w:t>
      </w:r>
      <w:bookmarkEnd w:id="16"/>
    </w:p>
    <w:p w14:paraId="52DEC40F" w14:textId="77777777" w:rsidR="00C366CC" w:rsidRPr="00E554DE" w:rsidRDefault="00C366CC" w:rsidP="00906541">
      <w:r w:rsidRPr="00E554DE">
        <w:t>11.3</w:t>
      </w:r>
      <w:r w:rsidRPr="00E554DE">
        <w:rPr>
          <w:b/>
          <w:bCs/>
        </w:rPr>
        <w:tab/>
      </w:r>
      <w:r w:rsidRPr="00E554DE">
        <w:t xml:space="preserve">Les </w:t>
      </w:r>
      <w:r w:rsidRPr="00E554DE">
        <w:rPr>
          <w:b/>
          <w:bCs/>
        </w:rPr>
        <w:t xml:space="preserve">délégués de l'Algérie </w:t>
      </w:r>
      <w:r w:rsidRPr="00E554DE">
        <w:t xml:space="preserve">et </w:t>
      </w:r>
      <w:r w:rsidRPr="00E554DE">
        <w:rPr>
          <w:b/>
          <w:bCs/>
        </w:rPr>
        <w:t>de la Tunisie</w:t>
      </w:r>
      <w:r w:rsidRPr="00E554DE">
        <w:t xml:space="preserve"> font la déclaration suivante:</w:t>
      </w:r>
    </w:p>
    <w:p w14:paraId="471442CC" w14:textId="6DB6EDEF" w:rsidR="00C366CC" w:rsidRPr="00E554DE" w:rsidRDefault="00C366CC" w:rsidP="00906541">
      <w:r w:rsidRPr="00E554DE">
        <w:rPr>
          <w:b/>
          <w:bCs/>
        </w:rPr>
        <w:t>«</w:t>
      </w:r>
      <w:r w:rsidR="00215392" w:rsidRPr="00E554DE">
        <w:t>La CMR-23</w:t>
      </w:r>
      <w:r w:rsidRPr="00E554DE">
        <w:t xml:space="preserve"> a adopté des amendements apportés aux numéros </w:t>
      </w:r>
      <w:r w:rsidRPr="00E554DE">
        <w:rPr>
          <w:b/>
        </w:rPr>
        <w:t>5.429A</w:t>
      </w:r>
      <w:r w:rsidRPr="00E554DE">
        <w:t xml:space="preserve"> et </w:t>
      </w:r>
      <w:r w:rsidRPr="00E554DE">
        <w:rPr>
          <w:b/>
        </w:rPr>
        <w:t>5.429B</w:t>
      </w:r>
      <w:r w:rsidRPr="00E554DE">
        <w:t xml:space="preserve"> du RR, en vue de l'identification de la bande de fréquences 3 300-3 400 MHz dans des pays supplémentaires en Région 1, sauf en Algérie et en Tunisie, en raison de l'objection formulée par trois administrations (Italie, Espagne et Maroc), au motif que le service de radiolocalisation est sensible et doit être protégé. Pour dissiper cette inquiétude, les Administrations de l'Algérie et de la Tunisie ont proposé, lors des réunions de coordination multilatérales, des dispositions réglementaires et des mesures pratiques pour garantir la protection du service de radiolocalisation (ne pas causer de brouillages préjudiciables, ne pas demander de protection, application du numéro 9.21 du RR, accord exprès, etc.). Or, malgré tous les efforts déployés par les délégations de ces administrations, aucun consensus n'a été trouvé.</w:t>
      </w:r>
    </w:p>
    <w:p w14:paraId="6F5373A8" w14:textId="303954A1" w:rsidR="00C366CC" w:rsidRPr="00E554DE" w:rsidRDefault="00C366CC" w:rsidP="00906541">
      <w:pPr>
        <w:rPr>
          <w:b/>
          <w:bCs/>
        </w:rPr>
      </w:pPr>
      <w:r w:rsidRPr="00E554DE">
        <w:t xml:space="preserve">Par conséquent, et en l'absence d'instructions claires données par le BR sur la manière de procéder et les bases réglementaires d'une telle décision, compte tenu du fait qu'il s'agit d'un point de l'ordre du jour indépendant qui ne relève pas du point 8 de l'ordre du jour, </w:t>
      </w:r>
      <w:r w:rsidR="00215392" w:rsidRPr="00E554DE">
        <w:t>les A</w:t>
      </w:r>
      <w:r w:rsidRPr="00E554DE">
        <w:t xml:space="preserve">dministrations </w:t>
      </w:r>
      <w:r w:rsidR="00215392" w:rsidRPr="00E554DE">
        <w:t xml:space="preserve">de l'Algérie et de la Tunisie </w:t>
      </w:r>
      <w:r w:rsidRPr="00E554DE">
        <w:t xml:space="preserve">estiment que l'exclusion de </w:t>
      </w:r>
      <w:r w:rsidR="00215392" w:rsidRPr="00E554DE">
        <w:t>leurs pays</w:t>
      </w:r>
      <w:r w:rsidRPr="00E554DE">
        <w:t xml:space="preserve"> </w:t>
      </w:r>
      <w:r w:rsidR="00215392" w:rsidRPr="00E554DE">
        <w:t xml:space="preserve">constitue une tentative visant à empêcher l'utilisation du spectre dans leurs pays et </w:t>
      </w:r>
      <w:r w:rsidRPr="00E554DE">
        <w:t>est contraire au principe cher à l'UIT de garantir un accès équitable au spectre et de ne pas empêcher une administration de jouir de son droit d'utiliser le spectre dès lors qu'elle respecte l'obligation de ne pas causer de brouillages préjudiciables.</w:t>
      </w:r>
      <w:r w:rsidR="00215392" w:rsidRPr="00E554DE">
        <w:t xml:space="preserve"> Ainsi, ces administrations se réservent le droit d'utiliser ladite bande de fréquences.</w:t>
      </w:r>
      <w:r w:rsidRPr="00E554DE">
        <w:rPr>
          <w:b/>
          <w:bCs/>
        </w:rPr>
        <w:t>»</w:t>
      </w:r>
    </w:p>
    <w:p w14:paraId="6F88F548" w14:textId="77777777" w:rsidR="00C366CC" w:rsidRPr="00E554DE" w:rsidRDefault="00C366CC" w:rsidP="00906541">
      <w:r w:rsidRPr="00E554DE">
        <w:t>11.4</w:t>
      </w:r>
      <w:r w:rsidRPr="00E554DE">
        <w:tab/>
        <w:t xml:space="preserve">Le </w:t>
      </w:r>
      <w:r w:rsidRPr="00E554DE">
        <w:rPr>
          <w:b/>
          <w:bCs/>
        </w:rPr>
        <w:t>délégué de l'Italie</w:t>
      </w:r>
      <w:r w:rsidRPr="00E554DE">
        <w:t>, s'exprimant également au nom de la Grèce, du Maroc et de l'Espagne, a prononcé la déclaration suivante:</w:t>
      </w:r>
    </w:p>
    <w:p w14:paraId="7436B1BB" w14:textId="77777777" w:rsidR="00C366CC" w:rsidRPr="00E554DE" w:rsidRDefault="00C366CC" w:rsidP="00906541">
      <w:r w:rsidRPr="00E554DE">
        <w:t>«La présente déclaration est prononcée au nom de la Grèce, de l'Italie, du Maroc et de l'Espagne, ci</w:t>
      </w:r>
      <w:r w:rsidRPr="00E554DE">
        <w:noBreakHyphen/>
        <w:t>après appelés «les pays affectés»:</w:t>
      </w:r>
    </w:p>
    <w:p w14:paraId="714D4665" w14:textId="77777777" w:rsidR="00C366CC" w:rsidRPr="00E554DE" w:rsidRDefault="00C366CC" w:rsidP="00906541">
      <w:r w:rsidRPr="00E554DE">
        <w:t>Concernant le point 1.2 de l'ordre du jour de la CMR-23 et la révision du statut réglementaire de la bande de fréquences 3 300-3 400 MHz en Région 1, les pays affectés ont examiné les modifications qu'il était proposé d'apporter aux numéros 5.429A et 5.429B du Règlement des radiocommunications. Ces modifications concernent l'attribution additionnelle au service mobile, sauf mobile aéronautique, et l'identification pour les IMT, respectivement.</w:t>
      </w:r>
    </w:p>
    <w:p w14:paraId="3C928D73" w14:textId="77777777" w:rsidR="00C366CC" w:rsidRPr="00E554DE" w:rsidRDefault="00C366CC" w:rsidP="00906541">
      <w:r w:rsidRPr="00E554DE">
        <w:t>Les pays affectés ont approuvé les propositions de modification, qui prévoient d'inclure le nom de certains pays dans les renvois. Cette décision a été prise bien que leur position initiale exprimée avant la Conférence était de n'apporter aucune modification, et seule la demande formulée par l'Algérie et la Tunisie a été rejetée.</w:t>
      </w:r>
    </w:p>
    <w:p w14:paraId="5D4938E3" w14:textId="77777777" w:rsidR="00C366CC" w:rsidRPr="00E554DE" w:rsidRDefault="00C366CC" w:rsidP="00E12878">
      <w:pPr>
        <w:keepLines/>
      </w:pPr>
      <w:r w:rsidRPr="00E554DE">
        <w:lastRenderedPageBreak/>
        <w:t xml:space="preserve">Les pays affectés ont examiné avec soin les motifs à l'appui de la demande de ces deux pays, mais ont finalement décidé que cette demande ne pouvait être acceptée. Les raisons justifiant cette décision ont été communiquées en des termes clairs aux administrations concernées lors de plusieurs réunions ad hoc. Le service de radiolocalisation existant exige une </w:t>
      </w:r>
      <w:r w:rsidRPr="00E554DE">
        <w:rPr>
          <w:i/>
          <w:iCs/>
        </w:rPr>
        <w:t>continuité sans brouillage</w:t>
      </w:r>
      <w:r w:rsidRPr="00E554DE">
        <w:t xml:space="preserve"> pour des applications essentielles, laquelle ne peut être garantie malgré un examen approfondi des dispositions techniques et réglementaires proposées lors des réunions susmentionnées. Des brouillages pourraient se produire malgré les règles établies et la bonne volonté des administrations, et le délai nécessaire pour y mettre fin risque de ne pas être compatible avec l'obligation de garantir cette continuité. Concrètement, la proximité géographique </w:t>
      </w:r>
      <w:r w:rsidRPr="00E554DE">
        <w:rPr>
          <w:i/>
          <w:iCs/>
        </w:rPr>
        <w:t>de facto</w:t>
      </w:r>
      <w:r w:rsidRPr="00E554DE">
        <w:t xml:space="preserve"> entre les pays affectés et l'Algérie et la Tunisie, ainsi que les incidences considérables des stations IMT sur le service de radiolocalisation, contribuent à augmenter la probabilité que des brouillages se produisent.</w:t>
      </w:r>
    </w:p>
    <w:p w14:paraId="5D183A93" w14:textId="77777777" w:rsidR="00C366CC" w:rsidRPr="00E554DE" w:rsidRDefault="00C366CC" w:rsidP="00906541">
      <w:r w:rsidRPr="00E554DE">
        <w:t>Il est important de noter que le service de radiolocalisation est harmonisé à l'échelle mondiale, du fait de son attribution de longue date dans la bande de fréquences 3 300-3 400 MHz. Cela s'est traduit par l'utilisation globale et le déploiement d'un grand nombre d'équipements. En revanche, les applications IMT sont associées à une bande de fréquences non harmonisée et l'attribution au service mobile est limitée au niveau national.»</w:t>
      </w:r>
    </w:p>
    <w:p w14:paraId="058BF8A4" w14:textId="77777777" w:rsidR="00C366CC" w:rsidRPr="00E554DE" w:rsidRDefault="00C366CC" w:rsidP="00906541">
      <w:r w:rsidRPr="00E554DE">
        <w:t>11.5</w:t>
      </w:r>
      <w:r w:rsidRPr="00E554DE">
        <w:tab/>
        <w:t xml:space="preserve">La </w:t>
      </w:r>
      <w:r w:rsidRPr="00E554DE">
        <w:rPr>
          <w:b/>
          <w:bCs/>
        </w:rPr>
        <w:t>déléguée de la Tunisie</w:t>
      </w:r>
      <w:r w:rsidRPr="00E554DE">
        <w:t xml:space="preserve"> explique qu'elle souhaiterait que lui soit indiquée de manière claire la situation réglementaire en l'espèce. S'il est accepté dans le contexte du point 8 de l'ordre du jour que le nom d'un pays ne puisse pas être ajouté dans un renvoi dès lors qu'un autre pays formule une objection, on ne sait pas bien s'il en est de même lorsqu'il est question de l'inclusion du nom d'un pays dans un nouveau renvoi approuvé par la Conférence au titre d'un point de l'ordre du jour différent.</w:t>
      </w:r>
    </w:p>
    <w:p w14:paraId="65CE59E2" w14:textId="77777777" w:rsidR="00C366CC" w:rsidRPr="00E554DE" w:rsidRDefault="00C366CC" w:rsidP="00906541">
      <w:r w:rsidRPr="00E554DE">
        <w:t>11.6</w:t>
      </w:r>
      <w:r w:rsidRPr="00E554DE">
        <w:tab/>
        <w:t xml:space="preserve">Le </w:t>
      </w:r>
      <w:r w:rsidRPr="00E554DE">
        <w:rPr>
          <w:b/>
          <w:bCs/>
        </w:rPr>
        <w:t xml:space="preserve">Président </w:t>
      </w:r>
      <w:r w:rsidRPr="00E554DE">
        <w:t>déclare qu'il considère qu'étant entendu que les préoccupations exprimées ont été dûment notées, les participants souhaitent approuver les dispositions proposées.</w:t>
      </w:r>
    </w:p>
    <w:p w14:paraId="385B16AF" w14:textId="77777777" w:rsidR="00C366CC" w:rsidRPr="00E554DE" w:rsidRDefault="00C366CC" w:rsidP="00906541">
      <w:r w:rsidRPr="00E554DE">
        <w:t>11.7</w:t>
      </w:r>
      <w:r w:rsidRPr="00E554DE">
        <w:tab/>
      </w:r>
      <w:r w:rsidRPr="00E554DE">
        <w:rPr>
          <w:b/>
          <w:bCs/>
        </w:rPr>
        <w:t>Approuvés</w:t>
      </w:r>
      <w:r w:rsidRPr="00E554DE">
        <w:t>.</w:t>
      </w:r>
    </w:p>
    <w:p w14:paraId="1981FA6A" w14:textId="77777777" w:rsidR="00C366CC" w:rsidRPr="00E554DE" w:rsidRDefault="00C366CC" w:rsidP="00906541">
      <w:r w:rsidRPr="00E554DE">
        <w:t>11.8</w:t>
      </w:r>
      <w:r w:rsidRPr="00E554DE">
        <w:tab/>
        <w:t xml:space="preserve">La cinquante-cinquième série de textes soumis par la Commission de rédaction en première lecture (B55) (Document 513) est </w:t>
      </w:r>
      <w:r w:rsidRPr="00E554DE">
        <w:rPr>
          <w:b/>
          <w:bCs/>
        </w:rPr>
        <w:t>approuvée</w:t>
      </w:r>
      <w:r w:rsidRPr="00E554DE">
        <w:t>.</w:t>
      </w:r>
    </w:p>
    <w:p w14:paraId="2A7068E2" w14:textId="77777777" w:rsidR="00C366CC" w:rsidRPr="00E554DE" w:rsidRDefault="00C366CC" w:rsidP="00906541">
      <w:pPr>
        <w:pStyle w:val="Heading1"/>
      </w:pPr>
      <w:r w:rsidRPr="00E554DE">
        <w:t>12</w:t>
      </w:r>
      <w:r w:rsidRPr="00E554DE">
        <w:tab/>
        <w:t>Cinquante-cinquième série de textes soumis par la Commission de rédaction (B55) – deuxième lecture (Document 513)</w:t>
      </w:r>
    </w:p>
    <w:p w14:paraId="35747EAB" w14:textId="77777777" w:rsidR="00C366CC" w:rsidRPr="00E554DE" w:rsidRDefault="00C366CC" w:rsidP="00906541">
      <w:r w:rsidRPr="00E554DE">
        <w:t>12.1</w:t>
      </w:r>
      <w:r w:rsidRPr="00E554DE">
        <w:rPr>
          <w:b/>
          <w:bCs/>
        </w:rPr>
        <w:tab/>
      </w:r>
      <w:r w:rsidRPr="00E554DE">
        <w:t xml:space="preserve">La cinquante-cinquième série de textes soumis par la Commission de rédaction (Document 513) est </w:t>
      </w:r>
      <w:r w:rsidRPr="00E554DE">
        <w:rPr>
          <w:b/>
          <w:bCs/>
        </w:rPr>
        <w:t>approuvée</w:t>
      </w:r>
      <w:r w:rsidRPr="00E554DE">
        <w:t xml:space="preserve"> </w:t>
      </w:r>
      <w:r w:rsidRPr="00E554DE">
        <w:rPr>
          <w:bCs/>
        </w:rPr>
        <w:t>en deuxième lecture</w:t>
      </w:r>
      <w:r w:rsidRPr="00E554DE">
        <w:t>.</w:t>
      </w:r>
    </w:p>
    <w:p w14:paraId="512C346C" w14:textId="77777777" w:rsidR="00C366CC" w:rsidRPr="00E554DE" w:rsidRDefault="00C366CC" w:rsidP="00906541">
      <w:pPr>
        <w:rPr>
          <w:b/>
          <w:bCs/>
        </w:rPr>
      </w:pPr>
      <w:r w:rsidRPr="00E554DE">
        <w:rPr>
          <w:b/>
          <w:bCs/>
        </w:rPr>
        <w:t>La séance est suspendue à 10 h 30 et reprend à 11 h 25.</w:t>
      </w:r>
    </w:p>
    <w:p w14:paraId="27E3E5F5" w14:textId="77777777" w:rsidR="00C366CC" w:rsidRPr="00E554DE" w:rsidRDefault="00C366CC" w:rsidP="00906541">
      <w:pPr>
        <w:pStyle w:val="Heading1"/>
      </w:pPr>
      <w:r w:rsidRPr="00E554DE">
        <w:t>13</w:t>
      </w:r>
      <w:r w:rsidRPr="00E554DE">
        <w:tab/>
        <w:t>Cinquième rapport de la Commission 5 à la plénière (Document 494)</w:t>
      </w:r>
    </w:p>
    <w:p w14:paraId="6CF9AFDC" w14:textId="77777777" w:rsidR="00C366CC" w:rsidRPr="00E554DE" w:rsidRDefault="00C366CC" w:rsidP="00906541">
      <w:r w:rsidRPr="00E554DE">
        <w:t>13.1</w:t>
      </w:r>
      <w:r w:rsidRPr="00E554DE">
        <w:tab/>
        <w:t xml:space="preserve">Le </w:t>
      </w:r>
      <w:r w:rsidRPr="00E554DE">
        <w:rPr>
          <w:b/>
          <w:bCs/>
        </w:rPr>
        <w:t>Vice-Président de la Commission 5</w:t>
      </w:r>
      <w:r w:rsidRPr="00E554DE">
        <w:t xml:space="preserve"> présente le cinquième rapport de la Commission 5 à la plénière, qui fait l'objet du Document 494. Au titre du point 9.3 de l'ordre du jour, la Commission 5 a examiné le rapport du RRB sur la suite donnée à la Résolution 80 (Rév.CMR-07) figurant dans le Document 50. La plénière est invité à approuver le rapport de la Commission et à inclure plusieurs textes figurant dans ledit rapport dans le procès-verbal de la plénière.</w:t>
      </w:r>
    </w:p>
    <w:p w14:paraId="41DC6C2E" w14:textId="77777777" w:rsidR="00C366CC" w:rsidRPr="00E554DE" w:rsidRDefault="00C366CC" w:rsidP="00906541">
      <w:pPr>
        <w:pStyle w:val="Headingi"/>
        <w:rPr>
          <w:b/>
          <w:bCs/>
        </w:rPr>
      </w:pPr>
      <w:r w:rsidRPr="00E554DE">
        <w:rPr>
          <w:b/>
          <w:bCs/>
        </w:rPr>
        <w:t>Questions relatives à la mise en œuvre de la Résolution 559 (CMR-19)</w:t>
      </w:r>
    </w:p>
    <w:p w14:paraId="402EF1DC" w14:textId="77777777" w:rsidR="00C366CC" w:rsidRPr="00E554DE" w:rsidRDefault="00C366CC" w:rsidP="00906541">
      <w:r w:rsidRPr="00E554DE">
        <w:t>13.2</w:t>
      </w:r>
      <w:r w:rsidRPr="00E554DE">
        <w:tab/>
        <w:t>Concernant les questions relatives à la mise en œuvre de la Résolution 559 (CMR-19), il est proposé que le texte suivant soit approuvé et inclus dans le procès-verbal de la plénière:</w:t>
      </w:r>
    </w:p>
    <w:p w14:paraId="640153E5" w14:textId="25267080" w:rsidR="00C366CC" w:rsidRPr="00E554DE" w:rsidRDefault="00C366CC" w:rsidP="00906541">
      <w:r w:rsidRPr="00E554DE">
        <w:lastRenderedPageBreak/>
        <w:t xml:space="preserve">«Lors de l'examen du paragraphe 4.2 du rapport «Questions relatives à la mise en œuvre de la Résolution </w:t>
      </w:r>
      <w:r w:rsidRPr="00E554DE">
        <w:rPr>
          <w:b/>
          <w:bCs/>
        </w:rPr>
        <w:t>559 (CMR-19)</w:t>
      </w:r>
      <w:r w:rsidRPr="00E554DE">
        <w:t xml:space="preserve">», la CMR-23 a également examiné le Document 87(Add.26)(Add.2). En plus des mesures additionnelles proposées par le Comité pour mettre en œuvre la Résolution </w:t>
      </w:r>
      <w:r w:rsidRPr="00E554DE">
        <w:rPr>
          <w:b/>
          <w:bCs/>
        </w:rPr>
        <w:t>559 (CMR-19)</w:t>
      </w:r>
      <w:r w:rsidRPr="00E554DE">
        <w:t xml:space="preserve">, </w:t>
      </w:r>
      <w:r w:rsidRPr="00E554DE">
        <w:rPr>
          <w:bCs/>
        </w:rPr>
        <w:t>lesquelles ont toutes été approuvées</w:t>
      </w:r>
      <w:r w:rsidRPr="00E554DE">
        <w:t xml:space="preserve">, ce </w:t>
      </w:r>
      <w:r w:rsidR="004A6946" w:rsidRPr="00E554DE">
        <w:t>D</w:t>
      </w:r>
      <w:r w:rsidRPr="00E554DE">
        <w:t>ocument contient toutes les propositions de mesures additionnelles devant être approuvées à la présente CMR pour contribuer à résoudre les cas de coordination en instance comme suit:</w:t>
      </w:r>
    </w:p>
    <w:p w14:paraId="21FC6344" w14:textId="77777777" w:rsidR="00C366CC" w:rsidRPr="00E554DE" w:rsidRDefault="00C366CC" w:rsidP="00906541">
      <w:pPr>
        <w:pStyle w:val="enumlev1"/>
      </w:pPr>
      <w:r w:rsidRPr="00E554DE">
        <w:t>1)</w:t>
      </w:r>
      <w:r w:rsidRPr="00E554DE">
        <w:tab/>
        <w:t>En ce qui concerne les cas de coordination en instance au titre du § 4.1.1 </w:t>
      </w:r>
      <w:r w:rsidRPr="00E554DE">
        <w:rPr>
          <w:i/>
          <w:iCs/>
        </w:rPr>
        <w:t>b)</w:t>
      </w:r>
      <w:r w:rsidRPr="00E554DE">
        <w:t xml:space="preserve"> de l'Appendice </w:t>
      </w:r>
      <w:r w:rsidRPr="00E554DE">
        <w:rPr>
          <w:rStyle w:val="Appref"/>
          <w:b/>
        </w:rPr>
        <w:t>30</w:t>
      </w:r>
      <w:r w:rsidRPr="00E554DE">
        <w:t xml:space="preserve"> du RR, la CMR-23 a approuvé les mesures suivantes:</w:t>
      </w:r>
    </w:p>
    <w:p w14:paraId="6A78F0D5" w14:textId="77777777" w:rsidR="00C366CC" w:rsidRPr="00E554DE" w:rsidRDefault="00C366CC" w:rsidP="00906541">
      <w:pPr>
        <w:pStyle w:val="enumlev2"/>
        <w:rPr>
          <w:rFonts w:eastAsia="Calibri"/>
        </w:rPr>
      </w:pPr>
      <w:r w:rsidRPr="00E554DE">
        <w:rPr>
          <w:rFonts w:eastAsia="Calibri"/>
          <w:i/>
          <w:iCs/>
        </w:rPr>
        <w:t>a)</w:t>
      </w:r>
      <w:r w:rsidRPr="00E554DE">
        <w:rPr>
          <w:rFonts w:eastAsia="Calibri"/>
        </w:rPr>
        <w:tab/>
        <w:t>l'administration notificatrice d'une utilisation additionnelle (c'est</w:t>
      </w:r>
      <w:r w:rsidRPr="00E554DE">
        <w:rPr>
          <w:rFonts w:eastAsia="Calibri"/>
        </w:rPr>
        <w:noBreakHyphen/>
        <w:t>à</w:t>
      </w:r>
      <w:r w:rsidRPr="00E554DE">
        <w:rPr>
          <w:rFonts w:eastAsia="Calibri"/>
        </w:rPr>
        <w:noBreakHyphen/>
        <w:t>dire les assignations figurant dans la Liste et/ou les réseaux en instance au titre de l'Article </w:t>
      </w:r>
      <w:r w:rsidRPr="00E554DE">
        <w:rPr>
          <w:rFonts w:eastAsia="Calibri"/>
          <w:b/>
          <w:bCs/>
        </w:rPr>
        <w:t>4</w:t>
      </w:r>
      <w:r w:rsidRPr="00E554DE">
        <w:rPr>
          <w:rFonts w:eastAsia="Calibri"/>
        </w:rPr>
        <w:t xml:space="preserve">) accepte les brouillages qui pourraient être causés à ses points de mesure situés à l'intérieur du contour de gain d'antenne à −3 dB de la soumission au titre de la Résolution </w:t>
      </w:r>
      <w:r w:rsidRPr="00E554DE">
        <w:rPr>
          <w:rFonts w:eastAsia="Calibri"/>
          <w:b/>
          <w:bCs/>
        </w:rPr>
        <w:t>559 (CMR-19)</w:t>
      </w:r>
      <w:r w:rsidRPr="00E554DE">
        <w:rPr>
          <w:rFonts w:eastAsia="Calibri"/>
        </w:rPr>
        <w:t xml:space="preserve"> concernée, étant donné que le faisceau elliptique forme déjà l'ellipse minimale validée par le Bureau;</w:t>
      </w:r>
    </w:p>
    <w:p w14:paraId="3CBC0002" w14:textId="77777777" w:rsidR="00C366CC" w:rsidRPr="00E554DE" w:rsidRDefault="00C366CC" w:rsidP="00906541">
      <w:pPr>
        <w:pStyle w:val="enumlev2"/>
        <w:rPr>
          <w:rFonts w:eastAsia="Calibri"/>
        </w:rPr>
      </w:pPr>
      <w:r w:rsidRPr="00E554DE">
        <w:rPr>
          <w:rFonts w:eastAsia="Calibri"/>
          <w:i/>
          <w:iCs/>
        </w:rPr>
        <w:t>b)</w:t>
      </w:r>
      <w:r w:rsidRPr="00E554DE">
        <w:rPr>
          <w:rFonts w:eastAsia="Calibri"/>
        </w:rPr>
        <w:tab/>
        <w:t>l'administration notificatrice d'une utilisation additionnelle (c'est</w:t>
      </w:r>
      <w:r w:rsidRPr="00E554DE">
        <w:rPr>
          <w:rFonts w:eastAsia="Calibri"/>
        </w:rPr>
        <w:noBreakHyphen/>
        <w:t>à</w:t>
      </w:r>
      <w:r w:rsidRPr="00E554DE">
        <w:rPr>
          <w:rFonts w:eastAsia="Calibri"/>
        </w:rPr>
        <w:noBreakHyphen/>
        <w:t>dire les assignations figurant dans la Liste et/ou les réseaux en instance au titre de l'Article </w:t>
      </w:r>
      <w:r w:rsidRPr="00E554DE">
        <w:rPr>
          <w:rFonts w:eastAsia="Calibri"/>
          <w:b/>
          <w:bCs/>
        </w:rPr>
        <w:t>4</w:t>
      </w:r>
      <w:r w:rsidRPr="00E554DE">
        <w:rPr>
          <w:rFonts w:eastAsia="Calibri"/>
        </w:rPr>
        <w:t xml:space="preserve">) accepte les brouillages qui pourraient être causés à ses points de mesure situés au-delà du contour de gain d'antenne à −20 dB de la soumission au titre de la Résolution </w:t>
      </w:r>
      <w:r w:rsidRPr="00E554DE">
        <w:rPr>
          <w:rFonts w:eastAsia="Calibri"/>
          <w:b/>
          <w:bCs/>
        </w:rPr>
        <w:t>559 (CMR-19)</w:t>
      </w:r>
      <w:r w:rsidRPr="00E554DE">
        <w:rPr>
          <w:rFonts w:eastAsia="Calibri"/>
        </w:rPr>
        <w:t xml:space="preserve"> concernée;</w:t>
      </w:r>
    </w:p>
    <w:p w14:paraId="13592465" w14:textId="77777777" w:rsidR="00C366CC" w:rsidRPr="00E554DE" w:rsidRDefault="00C366CC" w:rsidP="00906541">
      <w:pPr>
        <w:pStyle w:val="enumlev2"/>
        <w:rPr>
          <w:rFonts w:eastAsia="Calibri"/>
        </w:rPr>
      </w:pPr>
      <w:r w:rsidRPr="00E554DE">
        <w:rPr>
          <w:rFonts w:eastAsia="Calibri"/>
          <w:i/>
          <w:iCs/>
        </w:rPr>
        <w:t>c)</w:t>
      </w:r>
      <w:r w:rsidRPr="00E554DE">
        <w:rPr>
          <w:rFonts w:eastAsia="Calibri"/>
        </w:rPr>
        <w:tab/>
        <w:t>si la marge de protection équivalente (MPE) d'un point de mesure d'un réseau destiné à une utilisation additionnelle est inférieure à −10 dB au moment de l'examen par le Bureau de la Partie A des soumissions au titre de la Résolution </w:t>
      </w:r>
      <w:r w:rsidRPr="00E554DE">
        <w:rPr>
          <w:rFonts w:eastAsia="Calibri"/>
          <w:b/>
          <w:bCs/>
        </w:rPr>
        <w:t>559 (CMR-19)</w:t>
      </w:r>
      <w:r w:rsidRPr="00E554DE">
        <w:rPr>
          <w:rFonts w:eastAsia="Calibri"/>
        </w:rPr>
        <w:t>, le Bureau ne devrait pas tenir compte de ce point de mesure lorsqu'il réexaminera les conclusions relatives à la soumission au titre de la Résolution </w:t>
      </w:r>
      <w:r w:rsidRPr="00E554DE">
        <w:rPr>
          <w:rFonts w:eastAsia="Calibri"/>
          <w:b/>
          <w:bCs/>
        </w:rPr>
        <w:t>559 (CMR-19)</w:t>
      </w:r>
      <w:r w:rsidRPr="00E554DE">
        <w:rPr>
          <w:rFonts w:eastAsia="Calibri"/>
        </w:rPr>
        <w:t xml:space="preserve"> concernée;</w:t>
      </w:r>
    </w:p>
    <w:p w14:paraId="5DD5FE19" w14:textId="77777777" w:rsidR="00C366CC" w:rsidRPr="00E554DE" w:rsidRDefault="00C366CC" w:rsidP="00906541">
      <w:pPr>
        <w:pStyle w:val="enumlev2"/>
        <w:rPr>
          <w:rFonts w:eastAsia="Calibri"/>
        </w:rPr>
      </w:pPr>
      <w:r w:rsidRPr="00E554DE">
        <w:rPr>
          <w:rFonts w:eastAsia="Calibri"/>
          <w:i/>
          <w:iCs/>
        </w:rPr>
        <w:t>d)</w:t>
      </w:r>
      <w:r w:rsidRPr="00E554DE">
        <w:rPr>
          <w:rFonts w:eastAsia="Calibri"/>
        </w:rPr>
        <w:tab/>
        <w:t xml:space="preserve">une coordination est réputée achevée si l'espacement orbital nominal entre une soumission au titre de la Résolution </w:t>
      </w:r>
      <w:r w:rsidRPr="00E554DE">
        <w:rPr>
          <w:rFonts w:eastAsia="Calibri"/>
          <w:b/>
          <w:bCs/>
        </w:rPr>
        <w:t>559 (CMR-19)</w:t>
      </w:r>
      <w:r w:rsidRPr="00E554DE">
        <w:rPr>
          <w:rFonts w:eastAsia="Calibri"/>
        </w:rPr>
        <w:t xml:space="preserve"> et le réseau destiné à une utilisation additionnelle est supérieur ou égal à 6 degrés.</w:t>
      </w:r>
    </w:p>
    <w:p w14:paraId="7581E2E4" w14:textId="77777777" w:rsidR="00C366CC" w:rsidRPr="00E554DE" w:rsidRDefault="00C366CC" w:rsidP="00906541">
      <w:pPr>
        <w:pStyle w:val="enumlev1"/>
        <w:rPr>
          <w:rFonts w:eastAsia="Times New Roman"/>
        </w:rPr>
      </w:pPr>
      <w:r w:rsidRPr="00E554DE">
        <w:t>2)</w:t>
      </w:r>
      <w:r w:rsidRPr="00E554DE">
        <w:tab/>
        <w:t>En ce qui concerne les cas de coordination en instance au titre du § 4.1.1 </w:t>
      </w:r>
      <w:r w:rsidRPr="00E554DE">
        <w:rPr>
          <w:i/>
          <w:iCs/>
        </w:rPr>
        <w:t>e)</w:t>
      </w:r>
      <w:r w:rsidRPr="00E554DE">
        <w:t xml:space="preserve"> de l'Appendice </w:t>
      </w:r>
      <w:r w:rsidRPr="00E554DE">
        <w:rPr>
          <w:b/>
          <w:bCs/>
        </w:rPr>
        <w:t xml:space="preserve">30 </w:t>
      </w:r>
      <w:r w:rsidRPr="00E554DE">
        <w:rPr>
          <w:bCs/>
        </w:rPr>
        <w:t>du RR</w:t>
      </w:r>
      <w:r w:rsidRPr="00E554DE">
        <w:t>, la CMR-23 a approuvé les mesures suivantes:</w:t>
      </w:r>
    </w:p>
    <w:p w14:paraId="12EA2E8E" w14:textId="77777777" w:rsidR="00C366CC" w:rsidRPr="00E554DE" w:rsidRDefault="00C366CC" w:rsidP="00906541">
      <w:pPr>
        <w:pStyle w:val="enumlev2"/>
        <w:rPr>
          <w:rFonts w:eastAsia="Calibri"/>
        </w:rPr>
      </w:pPr>
      <w:r w:rsidRPr="00E554DE">
        <w:rPr>
          <w:rFonts w:eastAsia="Calibri"/>
          <w:i/>
          <w:iCs/>
        </w:rPr>
        <w:t>a)</w:t>
      </w:r>
      <w:r w:rsidRPr="00E554DE">
        <w:rPr>
          <w:rFonts w:eastAsia="Calibri"/>
        </w:rPr>
        <w:tab/>
        <w:t xml:space="preserve">une coordination est réputée achevée si l'espacement orbital nominal entre une soumission au titre de la Résolution </w:t>
      </w:r>
      <w:r w:rsidRPr="00E554DE">
        <w:rPr>
          <w:rFonts w:eastAsia="Calibri"/>
          <w:b/>
          <w:bCs/>
        </w:rPr>
        <w:t>559 (CMR-19)</w:t>
      </w:r>
      <w:r w:rsidRPr="00E554DE">
        <w:rPr>
          <w:rFonts w:eastAsia="Calibri"/>
        </w:rPr>
        <w:t xml:space="preserve"> et le réseau à satellite dans les bandes non planifiées concerné est supérieur ou égal à 6 degrés;</w:t>
      </w:r>
    </w:p>
    <w:p w14:paraId="3D08BC74" w14:textId="2F691EF9" w:rsidR="00C366CC" w:rsidRPr="00E554DE" w:rsidRDefault="00C366CC" w:rsidP="00906541">
      <w:pPr>
        <w:pStyle w:val="enumlev2"/>
        <w:rPr>
          <w:rFonts w:eastAsia="Calibri"/>
        </w:rPr>
      </w:pPr>
      <w:r w:rsidRPr="00E554DE">
        <w:rPr>
          <w:rFonts w:eastAsia="Calibri"/>
          <w:i/>
          <w:iCs/>
        </w:rPr>
        <w:t>b)</w:t>
      </w:r>
      <w:r w:rsidRPr="00E554DE">
        <w:rPr>
          <w:rFonts w:eastAsia="Calibri"/>
        </w:rPr>
        <w:tab/>
        <w:t>la zone de service d'un réseau à satellite dans les bandes non planifiées à prendre en compte doit être sur terre et située à l'intérieur du contour de gain d'antenne à</w:t>
      </w:r>
      <w:r w:rsidR="00A83541" w:rsidRPr="00E554DE">
        <w:rPr>
          <w:rFonts w:eastAsia="Calibri"/>
        </w:rPr>
        <w:t> </w:t>
      </w:r>
      <w:r w:rsidRPr="00E554DE">
        <w:rPr>
          <w:rFonts w:eastAsia="Calibri"/>
        </w:rPr>
        <w:t>–3 dB de ce réseau à satellite dans les bandes non planifiées, ce qui n'est pas le cas de la zone de service soumise, qui peut comprendre la zone dans laquelle le contour de gain d'antenne relatif présente des valeurs très faibles. Il est pris note du fait que le réseau à satellite dans les bandes non planifiées ne protège une soumission au titre de la Résolution </w:t>
      </w:r>
      <w:r w:rsidRPr="00E554DE">
        <w:rPr>
          <w:rFonts w:eastAsia="Calibri"/>
          <w:b/>
          <w:bCs/>
        </w:rPr>
        <w:t>559 (CMR-19)</w:t>
      </w:r>
      <w:r w:rsidRPr="00E554DE">
        <w:rPr>
          <w:rFonts w:eastAsia="Calibri"/>
        </w:rPr>
        <w:t xml:space="preserve"> que dans une zone de service sur terre située à l'intérieur de son contour de gain d'antenne à –3 dB;</w:t>
      </w:r>
    </w:p>
    <w:p w14:paraId="133270D4" w14:textId="77777777" w:rsidR="00C366CC" w:rsidRPr="00E554DE" w:rsidRDefault="00C366CC" w:rsidP="00906541">
      <w:pPr>
        <w:pStyle w:val="enumlev2"/>
        <w:rPr>
          <w:rFonts w:eastAsia="Calibri"/>
        </w:rPr>
      </w:pPr>
      <w:r w:rsidRPr="00E554DE">
        <w:rPr>
          <w:rFonts w:eastAsia="Calibri"/>
          <w:i/>
          <w:iCs/>
        </w:rPr>
        <w:t>c)</w:t>
      </w:r>
      <w:r w:rsidRPr="00E554DE">
        <w:rPr>
          <w:rFonts w:eastAsia="Calibri"/>
        </w:rPr>
        <w:tab/>
        <w:t>si une administration accepte de ne pas protéger la zone située sur son territoire national dans laquelle la limite de puissance surfacique est dépassée, le Bureau ne tiendra pas compte de cette partie de la zone de service lorsqu'il examinera les autres besoins de coordination d'une soumission au titre de la Résolution </w:t>
      </w:r>
      <w:r w:rsidRPr="00E554DE">
        <w:rPr>
          <w:rFonts w:eastAsia="Calibri"/>
          <w:b/>
          <w:bCs/>
        </w:rPr>
        <w:t>559 (CMR-19)</w:t>
      </w:r>
      <w:r w:rsidRPr="00E554DE">
        <w:rPr>
          <w:rFonts w:eastAsia="Calibri"/>
        </w:rPr>
        <w:t>;</w:t>
      </w:r>
    </w:p>
    <w:p w14:paraId="111F41D2" w14:textId="77777777" w:rsidR="00C366CC" w:rsidRPr="00E554DE" w:rsidRDefault="00C366CC" w:rsidP="00906541">
      <w:pPr>
        <w:pStyle w:val="enumlev2"/>
        <w:rPr>
          <w:rFonts w:eastAsia="Calibri"/>
        </w:rPr>
      </w:pPr>
      <w:r w:rsidRPr="00E554DE">
        <w:rPr>
          <w:rFonts w:eastAsia="Calibri"/>
          <w:i/>
          <w:iCs/>
        </w:rPr>
        <w:lastRenderedPageBreak/>
        <w:t>d)</w:t>
      </w:r>
      <w:r w:rsidRPr="00E554DE">
        <w:rPr>
          <w:rFonts w:eastAsia="Calibri"/>
        </w:rPr>
        <w:tab/>
        <w:t>l'administration notificatrice d'un réseau à satellite dans les bandes non planifiées accepte les brouillages susceptibles d'être causés dans sa zone de service située au-delà du contour de gain d'antenne à −20 dB de la soumission au titre de la Résolution </w:t>
      </w:r>
      <w:r w:rsidRPr="00E554DE">
        <w:rPr>
          <w:rFonts w:eastAsia="Calibri"/>
          <w:b/>
          <w:bCs/>
        </w:rPr>
        <w:t>559 (CMR-19)</w:t>
      </w:r>
      <w:r w:rsidRPr="00E554DE">
        <w:rPr>
          <w:rFonts w:eastAsia="Calibri"/>
        </w:rPr>
        <w:t xml:space="preserve"> concernée.</w:t>
      </w:r>
    </w:p>
    <w:p w14:paraId="772CCFBB" w14:textId="77777777" w:rsidR="00C366CC" w:rsidRPr="00E554DE" w:rsidRDefault="00C366CC" w:rsidP="00906541">
      <w:pPr>
        <w:pStyle w:val="enumlev1"/>
        <w:rPr>
          <w:rFonts w:eastAsia="Times New Roman"/>
        </w:rPr>
      </w:pPr>
      <w:r w:rsidRPr="00E554DE">
        <w:t>3)</w:t>
      </w:r>
      <w:r w:rsidRPr="00E554DE">
        <w:tab/>
        <w:t>En ce qui concerne les cas de coordination en instance au titre du § 4.1.1 </w:t>
      </w:r>
      <w:r w:rsidRPr="00E554DE">
        <w:rPr>
          <w:i/>
          <w:iCs/>
        </w:rPr>
        <w:t>b)</w:t>
      </w:r>
      <w:r w:rsidRPr="00E554DE">
        <w:t xml:space="preserve"> de l'Appendice </w:t>
      </w:r>
      <w:r w:rsidRPr="00E554DE">
        <w:rPr>
          <w:b/>
          <w:bCs/>
        </w:rPr>
        <w:t>30A</w:t>
      </w:r>
      <w:r w:rsidRPr="00E554DE">
        <w:t xml:space="preserve"> du RR, la CMR-23 a approuvé le fait que les cas en question soient considérés comme résolus, compte tenu des points suivants:</w:t>
      </w:r>
    </w:p>
    <w:p w14:paraId="0D2A2CDA" w14:textId="77777777" w:rsidR="00C366CC" w:rsidRPr="00E554DE" w:rsidRDefault="00C366CC" w:rsidP="00906541">
      <w:pPr>
        <w:pStyle w:val="enumlev2"/>
        <w:rPr>
          <w:rFonts w:eastAsia="Calibri"/>
        </w:rPr>
      </w:pPr>
      <w:r w:rsidRPr="00E554DE">
        <w:rPr>
          <w:rFonts w:eastAsia="Calibri"/>
          <w:i/>
          <w:iCs/>
        </w:rPr>
        <w:t>a)</w:t>
      </w:r>
      <w:r w:rsidRPr="00E554DE">
        <w:rPr>
          <w:rFonts w:eastAsia="Calibri"/>
        </w:rPr>
        <w:tab/>
        <w:t xml:space="preserve">les réseaux à satellite visés dans l'Article </w:t>
      </w:r>
      <w:r w:rsidRPr="00E554DE">
        <w:rPr>
          <w:rFonts w:eastAsia="Calibri"/>
          <w:b/>
          <w:bCs/>
        </w:rPr>
        <w:t>4</w:t>
      </w:r>
      <w:r w:rsidRPr="00E554DE">
        <w:rPr>
          <w:rFonts w:eastAsia="Calibri"/>
        </w:rPr>
        <w:t xml:space="preserve"> assurent une très grande couverture et présentent une sensibilité de réception très élevée sur le territoire national de l'administration concernée relevant de la Résolution </w:t>
      </w:r>
      <w:r w:rsidRPr="00E554DE">
        <w:rPr>
          <w:rFonts w:eastAsia="Calibri"/>
          <w:b/>
          <w:bCs/>
        </w:rPr>
        <w:t>559 (CMR-19)</w:t>
      </w:r>
      <w:r w:rsidRPr="00E554DE">
        <w:rPr>
          <w:rFonts w:eastAsia="Calibri"/>
        </w:rPr>
        <w:t>;</w:t>
      </w:r>
    </w:p>
    <w:p w14:paraId="26075AAC" w14:textId="77777777" w:rsidR="00C366CC" w:rsidRPr="00E554DE" w:rsidRDefault="00C366CC" w:rsidP="00906541">
      <w:pPr>
        <w:pStyle w:val="enumlev2"/>
        <w:rPr>
          <w:rFonts w:eastAsia="Calibri"/>
        </w:rPr>
      </w:pPr>
      <w:r w:rsidRPr="00E554DE">
        <w:rPr>
          <w:rFonts w:eastAsia="Calibri"/>
          <w:i/>
          <w:iCs/>
        </w:rPr>
        <w:t>b)</w:t>
      </w:r>
      <w:r w:rsidRPr="00E554DE">
        <w:rPr>
          <w:rFonts w:eastAsia="Calibri"/>
        </w:rPr>
        <w:tab/>
        <w:t xml:space="preserve">les zones de couverture des réseaux à satellite visés dans l'Article </w:t>
      </w:r>
      <w:r w:rsidRPr="00E554DE">
        <w:rPr>
          <w:rFonts w:eastAsia="Calibri"/>
          <w:b/>
          <w:bCs/>
        </w:rPr>
        <w:t>4</w:t>
      </w:r>
      <w:r w:rsidRPr="00E554DE">
        <w:rPr>
          <w:rFonts w:eastAsia="Calibri"/>
        </w:rPr>
        <w:t xml:space="preserve"> s'étendent bien au</w:t>
      </w:r>
      <w:r w:rsidRPr="00E554DE">
        <w:rPr>
          <w:rFonts w:eastAsia="Calibri"/>
        </w:rPr>
        <w:noBreakHyphen/>
        <w:t xml:space="preserve">delà du territoire national des administrations notificatrices, tandis que les stations terriennes de liaison de connexion de la soumission concernée relevant de de la Résolution </w:t>
      </w:r>
      <w:r w:rsidRPr="00E554DE">
        <w:rPr>
          <w:rFonts w:eastAsia="Calibri"/>
          <w:b/>
          <w:bCs/>
        </w:rPr>
        <w:t>559 (CMR-19)</w:t>
      </w:r>
      <w:r w:rsidRPr="00E554DE">
        <w:rPr>
          <w:rFonts w:eastAsia="Calibri"/>
        </w:rPr>
        <w:t xml:space="preserve"> sont situées uniquement à l'intérieur du territoire national et ne peuvent pas être réduites davantage;</w:t>
      </w:r>
    </w:p>
    <w:p w14:paraId="032E4A29" w14:textId="77777777" w:rsidR="00C366CC" w:rsidRPr="00E554DE" w:rsidRDefault="00C366CC" w:rsidP="00906541">
      <w:pPr>
        <w:pStyle w:val="enumlev2"/>
        <w:rPr>
          <w:rFonts w:eastAsia="Calibri"/>
        </w:rPr>
      </w:pPr>
      <w:r w:rsidRPr="00E554DE">
        <w:rPr>
          <w:rFonts w:eastAsia="Calibri"/>
          <w:i/>
          <w:iCs/>
        </w:rPr>
        <w:t>c)</w:t>
      </w:r>
      <w:r w:rsidRPr="00E554DE">
        <w:rPr>
          <w:rFonts w:eastAsia="Calibri"/>
        </w:rPr>
        <w:tab/>
        <w:t xml:space="preserve">l'objectif de la Résolution </w:t>
      </w:r>
      <w:r w:rsidRPr="00E554DE">
        <w:rPr>
          <w:rFonts w:eastAsia="Calibri"/>
          <w:b/>
          <w:bCs/>
        </w:rPr>
        <w:t>2 (Rév.CMR-03)</w:t>
      </w:r>
      <w:r w:rsidRPr="00E554DE">
        <w:rPr>
          <w:rFonts w:eastAsia="Calibri"/>
        </w:rPr>
        <w:t xml:space="preserve"> et du point 7 de l'ordre du jour de la CMR</w:t>
      </w:r>
      <w:r w:rsidRPr="00E554DE">
        <w:rPr>
          <w:rFonts w:eastAsia="Calibri"/>
        </w:rPr>
        <w:noBreakHyphen/>
        <w:t>23, Question F.</w:t>
      </w:r>
    </w:p>
    <w:p w14:paraId="21DFB9EC" w14:textId="79EB13E0" w:rsidR="00C366CC" w:rsidRPr="00E554DE" w:rsidRDefault="00C366CC" w:rsidP="00906541">
      <w:pPr>
        <w:pStyle w:val="enumlev1"/>
        <w:rPr>
          <w:rFonts w:eastAsia="Times New Roman"/>
        </w:rPr>
      </w:pPr>
      <w:r w:rsidRPr="00E554DE">
        <w:t>4)</w:t>
      </w:r>
      <w:r w:rsidRPr="00E554DE">
        <w:tab/>
        <w:t>En ce qui concerne les cas de coordination en instance au titre du § 4.1.1 </w:t>
      </w:r>
      <w:r w:rsidRPr="00E554DE">
        <w:rPr>
          <w:i/>
          <w:iCs/>
        </w:rPr>
        <w:t>a)</w:t>
      </w:r>
      <w:r w:rsidRPr="00E554DE">
        <w:t xml:space="preserve"> des Appendices </w:t>
      </w:r>
      <w:r w:rsidRPr="00E554DE">
        <w:rPr>
          <w:b/>
          <w:bCs/>
        </w:rPr>
        <w:t>30</w:t>
      </w:r>
      <w:r w:rsidRPr="00E554DE">
        <w:t xml:space="preserve"> et </w:t>
      </w:r>
      <w:r w:rsidRPr="00E554DE">
        <w:rPr>
          <w:b/>
          <w:bCs/>
        </w:rPr>
        <w:t>30A</w:t>
      </w:r>
      <w:r w:rsidRPr="00E554DE">
        <w:t>, la CMR-23 a approuvé les mesures suivantes:</w:t>
      </w:r>
    </w:p>
    <w:p w14:paraId="1EEC60F7" w14:textId="77777777" w:rsidR="00C366CC" w:rsidRPr="00E554DE" w:rsidRDefault="00C366CC" w:rsidP="00906541">
      <w:pPr>
        <w:pStyle w:val="enumlev2"/>
        <w:rPr>
          <w:rFonts w:eastAsia="Calibri"/>
        </w:rPr>
      </w:pPr>
      <w:r w:rsidRPr="00E554DE">
        <w:rPr>
          <w:rFonts w:eastAsia="Calibri"/>
          <w:i/>
          <w:iCs/>
        </w:rPr>
        <w:t>a)</w:t>
      </w:r>
      <w:r w:rsidRPr="00E554DE">
        <w:rPr>
          <w:rFonts w:eastAsia="Calibri"/>
        </w:rPr>
        <w:tab/>
        <w:t>Pour les assignations multifaisceaux du Plan, si les valeurs du rapport </w:t>
      </w:r>
      <w:r w:rsidRPr="00E554DE">
        <w:rPr>
          <w:rFonts w:eastAsia="Calibri"/>
          <w:i/>
          <w:iCs/>
        </w:rPr>
        <w:t>C</w:t>
      </w:r>
      <w:r w:rsidRPr="00E554DE">
        <w:rPr>
          <w:rFonts w:eastAsia="Calibri"/>
        </w:rPr>
        <w:t>/</w:t>
      </w:r>
      <w:r w:rsidRPr="00E554DE">
        <w:rPr>
          <w:rFonts w:eastAsia="Calibri"/>
          <w:i/>
          <w:iCs/>
        </w:rPr>
        <w:t>I</w:t>
      </w:r>
      <w:r w:rsidRPr="00E554DE">
        <w:rPr>
          <w:rFonts w:eastAsia="Calibri"/>
        </w:rPr>
        <w:t xml:space="preserve"> pour un brouillage dû à une source unique sur la liaison descendante sont supérieures à 21 dB, sauf pour un point de mesure où le rapport </w:t>
      </w:r>
      <w:r w:rsidRPr="00E554DE">
        <w:rPr>
          <w:rFonts w:eastAsia="Calibri"/>
          <w:i/>
          <w:iCs/>
        </w:rPr>
        <w:t>C</w:t>
      </w:r>
      <w:r w:rsidRPr="00E554DE">
        <w:rPr>
          <w:rFonts w:eastAsia="Calibri"/>
        </w:rPr>
        <w:t>/</w:t>
      </w:r>
      <w:r w:rsidRPr="00E554DE">
        <w:rPr>
          <w:rFonts w:eastAsia="Calibri"/>
          <w:i/>
          <w:iCs/>
        </w:rPr>
        <w:t>I</w:t>
      </w:r>
      <w:r w:rsidRPr="00E554DE">
        <w:rPr>
          <w:rFonts w:eastAsia="Calibri"/>
        </w:rPr>
        <w:t xml:space="preserve"> pour un brouillage dû à une source unique est supérieur à 18 dB, les soumissions au titre de la Résolution </w:t>
      </w:r>
      <w:r w:rsidRPr="00E554DE">
        <w:rPr>
          <w:rFonts w:eastAsia="Calibri"/>
          <w:b/>
          <w:bCs/>
        </w:rPr>
        <w:t>559 (CMR-19)</w:t>
      </w:r>
      <w:r w:rsidRPr="00E554DE">
        <w:rPr>
          <w:rFonts w:eastAsia="Calibri"/>
        </w:rPr>
        <w:t xml:space="preserve"> et les assignations de fréquence correspondantes du Plan pour les Régions 1 et 3 sont considérées comme compatibles. En vue de préserver le même niveau de protection pour les cas compatibles de ces assignations de fréquence du Plan pour les Régions 1 et 3 vis-à-vis des nouvelles soumissions au titre de l'Article </w:t>
      </w:r>
      <w:r w:rsidRPr="00E554DE">
        <w:rPr>
          <w:rFonts w:eastAsia="Calibri"/>
          <w:b/>
          <w:bCs/>
        </w:rPr>
        <w:t>4</w:t>
      </w:r>
      <w:r w:rsidRPr="00E554DE">
        <w:rPr>
          <w:rFonts w:eastAsia="Calibri"/>
        </w:rPr>
        <w:t xml:space="preserve">, la situation de référence de ces assignations de fréquence du Plan pour les Régions 1 et 3 ne devra pas être mise à jour lorsque les assignations de fréquence au titre de la Résolution </w:t>
      </w:r>
      <w:r w:rsidRPr="00E554DE">
        <w:rPr>
          <w:rFonts w:eastAsia="Calibri"/>
          <w:b/>
          <w:bCs/>
        </w:rPr>
        <w:t>559 (CMR-19)</w:t>
      </w:r>
      <w:r w:rsidRPr="00E554DE">
        <w:rPr>
          <w:rFonts w:eastAsia="Calibri"/>
        </w:rPr>
        <w:t xml:space="preserve"> figurant dans la Liste seront incluses dans les Plans.</w:t>
      </w:r>
    </w:p>
    <w:p w14:paraId="6D50A01F" w14:textId="77777777" w:rsidR="00C366CC" w:rsidRPr="00E554DE" w:rsidRDefault="00C366CC" w:rsidP="00906541">
      <w:pPr>
        <w:pStyle w:val="enumlev2"/>
        <w:rPr>
          <w:rFonts w:eastAsia="Calibri"/>
        </w:rPr>
      </w:pPr>
      <w:r w:rsidRPr="00E554DE">
        <w:rPr>
          <w:rFonts w:eastAsia="Calibri"/>
          <w:i/>
          <w:iCs/>
        </w:rPr>
        <w:t>b)</w:t>
      </w:r>
      <w:r w:rsidRPr="00E554DE">
        <w:rPr>
          <w:rFonts w:eastAsia="Calibri"/>
        </w:rPr>
        <w:tab/>
        <w:t>Pour les assignations multifaisceaux du Plan, si les valeurs du rapport </w:t>
      </w:r>
      <w:r w:rsidRPr="00E554DE">
        <w:rPr>
          <w:rFonts w:eastAsia="Calibri"/>
          <w:i/>
          <w:iCs/>
        </w:rPr>
        <w:t>C</w:t>
      </w:r>
      <w:r w:rsidRPr="00E554DE">
        <w:rPr>
          <w:rFonts w:eastAsia="Calibri"/>
        </w:rPr>
        <w:t>/</w:t>
      </w:r>
      <w:r w:rsidRPr="00E554DE">
        <w:rPr>
          <w:rFonts w:eastAsia="Calibri"/>
          <w:i/>
          <w:iCs/>
        </w:rPr>
        <w:t>I</w:t>
      </w:r>
      <w:r w:rsidRPr="00E554DE">
        <w:rPr>
          <w:rFonts w:eastAsia="Calibri"/>
        </w:rPr>
        <w:t xml:space="preserve"> pour un brouillage dû à une source unique sur les liaisons de connexion sont supérieures à 27 dB, les soumissions au titre de la Résolution </w:t>
      </w:r>
      <w:r w:rsidRPr="00E554DE">
        <w:rPr>
          <w:rFonts w:eastAsia="Calibri"/>
          <w:b/>
          <w:bCs/>
        </w:rPr>
        <w:t>559 (CMR-19)</w:t>
      </w:r>
      <w:r w:rsidRPr="00E554DE">
        <w:rPr>
          <w:rFonts w:eastAsia="Calibri"/>
        </w:rPr>
        <w:t xml:space="preserve"> et les assignations de fréquence correspondantes du Plan pour les Régions 1 et 3 sont considérées comme compatibles. En vue de préserver le même niveau de protection pour les cas compatibles de ces assignations de fréquence du Plan pour les Régions 1 et 3 vis-à-vis des nouvelles soumissions au titre de l'Article </w:t>
      </w:r>
      <w:r w:rsidRPr="00E554DE">
        <w:rPr>
          <w:rFonts w:eastAsia="Calibri"/>
          <w:b/>
          <w:bCs/>
        </w:rPr>
        <w:t>4</w:t>
      </w:r>
      <w:r w:rsidRPr="00E554DE">
        <w:rPr>
          <w:rFonts w:eastAsia="Calibri"/>
        </w:rPr>
        <w:t xml:space="preserve">, la situation de référence de ces assignations de fréquence du Plan pour les Régions 1 et 3 ne devra pas être mise à jour lorsque les assignations de fréquence au titre de la Résolution </w:t>
      </w:r>
      <w:r w:rsidRPr="00E554DE">
        <w:rPr>
          <w:rFonts w:eastAsia="Calibri"/>
          <w:b/>
          <w:bCs/>
        </w:rPr>
        <w:t>559 (CMR-19)</w:t>
      </w:r>
      <w:r w:rsidRPr="00E554DE">
        <w:rPr>
          <w:rFonts w:eastAsia="Calibri"/>
        </w:rPr>
        <w:t xml:space="preserve"> figurant dans la Liste seront incluses dans les Plans.</w:t>
      </w:r>
    </w:p>
    <w:p w14:paraId="491BAE89" w14:textId="77777777" w:rsidR="00C366CC" w:rsidRPr="00E554DE" w:rsidRDefault="00C366CC" w:rsidP="00E554DE">
      <w:pPr>
        <w:pStyle w:val="enumlev1"/>
        <w:keepNext/>
        <w:keepLines/>
        <w:rPr>
          <w:rFonts w:eastAsia="Times New Roman"/>
        </w:rPr>
      </w:pPr>
      <w:r w:rsidRPr="00E554DE">
        <w:lastRenderedPageBreak/>
        <w:t>5)</w:t>
      </w:r>
      <w:r w:rsidRPr="00E554DE">
        <w:tab/>
        <w:t>Le Bureau est chargé:</w:t>
      </w:r>
    </w:p>
    <w:p w14:paraId="46039F8D" w14:textId="584C9BBA" w:rsidR="00C366CC" w:rsidRPr="00E554DE" w:rsidRDefault="00C366CC" w:rsidP="00E554DE">
      <w:pPr>
        <w:pStyle w:val="enumlev2"/>
        <w:keepNext/>
        <w:keepLines/>
        <w:rPr>
          <w:rFonts w:eastAsia="Calibri"/>
        </w:rPr>
      </w:pPr>
      <w:r w:rsidRPr="00E554DE">
        <w:rPr>
          <w:rFonts w:eastAsia="Calibri"/>
          <w:i/>
          <w:iCs/>
        </w:rPr>
        <w:t>a)</w:t>
      </w:r>
      <w:r w:rsidRPr="00E554DE">
        <w:rPr>
          <w:rFonts w:eastAsia="Calibri"/>
        </w:rPr>
        <w:tab/>
        <w:t>d'examiner le statut de tous les cas de coordination restants, en tenant compte de toutes les propositions susmentionnées, y compris celles du RRB et du BR. À cet égard, pour les cas de coordination restants au titre du § 4.1.1 </w:t>
      </w:r>
      <w:r w:rsidRPr="00E554DE">
        <w:rPr>
          <w:rFonts w:eastAsia="Calibri"/>
          <w:i/>
          <w:iCs/>
        </w:rPr>
        <w:t>b)</w:t>
      </w:r>
      <w:r w:rsidRPr="00E554DE">
        <w:rPr>
          <w:rFonts w:eastAsia="Calibri"/>
        </w:rPr>
        <w:t xml:space="preserve"> de l'Appendice </w:t>
      </w:r>
      <w:r w:rsidRPr="00E554DE">
        <w:rPr>
          <w:rFonts w:eastAsia="Calibri"/>
          <w:b/>
          <w:bCs/>
        </w:rPr>
        <w:t>30</w:t>
      </w:r>
      <w:r w:rsidRPr="00E554DE">
        <w:rPr>
          <w:rFonts w:eastAsia="Calibri"/>
        </w:rPr>
        <w:t xml:space="preserve">, si, après avoir pris en compte toutes les propositions susmentionnées, il ne reste plus qu'un seul point de mesure susceptible d'être affecté, la coordination est considérée comme achevée </w:t>
      </w:r>
      <w:r w:rsidRPr="00E554DE">
        <w:t>en ce qui concerne les assignations concernées inscrites dans la Liste le 1er janvier 2017 ou après cette date</w:t>
      </w:r>
      <w:r w:rsidRPr="00E554DE">
        <w:rPr>
          <w:rFonts w:eastAsia="Calibri"/>
        </w:rPr>
        <w:t>;</w:t>
      </w:r>
    </w:p>
    <w:p w14:paraId="140CBFA3" w14:textId="0377FABE" w:rsidR="00C366CC" w:rsidRPr="00E554DE" w:rsidRDefault="00C366CC" w:rsidP="00906541">
      <w:pPr>
        <w:pStyle w:val="enumlev2"/>
        <w:rPr>
          <w:rFonts w:eastAsia="Calibri"/>
        </w:rPr>
      </w:pPr>
      <w:r w:rsidRPr="00E554DE">
        <w:rPr>
          <w:rFonts w:eastAsia="Calibri"/>
          <w:i/>
          <w:iCs/>
        </w:rPr>
        <w:t>b)</w:t>
      </w:r>
      <w:r w:rsidRPr="00E554DE">
        <w:rPr>
          <w:rFonts w:eastAsia="Calibri"/>
        </w:rPr>
        <w:tab/>
        <w:t xml:space="preserve">d'appliquer toutes les mesures approuvées par la CMR-23 aux soumissions au titre de la Résolution </w:t>
      </w:r>
      <w:r w:rsidRPr="00E554DE">
        <w:rPr>
          <w:rFonts w:eastAsia="Calibri"/>
          <w:b/>
          <w:bCs/>
        </w:rPr>
        <w:t>559 (CMR-19)</w:t>
      </w:r>
      <w:r w:rsidRPr="00E554DE">
        <w:rPr>
          <w:rFonts w:eastAsia="Calibri"/>
        </w:rPr>
        <w:t xml:space="preserve"> présentées par les administrations de l'Afghanistan, de la Guinée équatoriale, de Malte et des Seychelles et aux applications futures des § </w:t>
      </w:r>
      <w:r w:rsidRPr="001B7DC5">
        <w:rPr>
          <w:rFonts w:eastAsia="Calibri"/>
          <w:b/>
          <w:bCs/>
        </w:rPr>
        <w:t>4.1.26</w:t>
      </w:r>
      <w:r w:rsidRPr="00E554DE">
        <w:rPr>
          <w:rFonts w:eastAsia="Calibri"/>
        </w:rPr>
        <w:t xml:space="preserve"> ou </w:t>
      </w:r>
      <w:r w:rsidRPr="001B7DC5">
        <w:rPr>
          <w:rFonts w:eastAsia="Calibri"/>
          <w:b/>
          <w:bCs/>
        </w:rPr>
        <w:t>4.1.27</w:t>
      </w:r>
      <w:r w:rsidRPr="00E554DE">
        <w:rPr>
          <w:rFonts w:eastAsia="Calibri"/>
        </w:rPr>
        <w:t xml:space="preserve"> de l'Article </w:t>
      </w:r>
      <w:r w:rsidRPr="00E554DE">
        <w:rPr>
          <w:rFonts w:eastAsia="Calibri"/>
          <w:b/>
          <w:bCs/>
        </w:rPr>
        <w:t>4</w:t>
      </w:r>
      <w:r w:rsidRPr="00E554DE">
        <w:rPr>
          <w:rFonts w:eastAsia="Calibri"/>
        </w:rPr>
        <w:t xml:space="preserve"> des Appendices </w:t>
      </w:r>
      <w:r w:rsidRPr="00E554DE">
        <w:rPr>
          <w:rFonts w:eastAsia="Calibri"/>
          <w:b/>
          <w:bCs/>
        </w:rPr>
        <w:t xml:space="preserve">30 </w:t>
      </w:r>
      <w:r w:rsidRPr="00E554DE">
        <w:rPr>
          <w:rFonts w:eastAsia="Calibri"/>
        </w:rPr>
        <w:t>et </w:t>
      </w:r>
      <w:r w:rsidRPr="00E554DE">
        <w:rPr>
          <w:rFonts w:eastAsia="Calibri"/>
          <w:b/>
          <w:bCs/>
        </w:rPr>
        <w:t>30A</w:t>
      </w:r>
      <w:r w:rsidRPr="00E554DE">
        <w:rPr>
          <w:rFonts w:eastAsia="Calibri"/>
        </w:rPr>
        <w:t xml:space="preserve">, qui sont de même nature que la Résolution </w:t>
      </w:r>
      <w:r w:rsidRPr="00E554DE">
        <w:rPr>
          <w:rFonts w:eastAsia="Calibri"/>
          <w:b/>
          <w:bCs/>
        </w:rPr>
        <w:t>559 (CMR-19)</w:t>
      </w:r>
      <w:r w:rsidRPr="00E554DE">
        <w:rPr>
          <w:rFonts w:eastAsia="Calibri"/>
        </w:rPr>
        <w:t>.»</w:t>
      </w:r>
    </w:p>
    <w:p w14:paraId="48209AC5" w14:textId="77777777" w:rsidR="00C366CC" w:rsidRPr="00E554DE" w:rsidRDefault="00C366CC" w:rsidP="00906541">
      <w:r w:rsidRPr="00E554DE">
        <w:t>13.3</w:t>
      </w:r>
      <w:r w:rsidRPr="00E554DE">
        <w:tab/>
        <w:t xml:space="preserve">Il en est ainsi </w:t>
      </w:r>
      <w:r w:rsidRPr="00E554DE">
        <w:rPr>
          <w:b/>
          <w:bCs/>
        </w:rPr>
        <w:t>décidé</w:t>
      </w:r>
      <w:r w:rsidRPr="00E554DE">
        <w:t>.</w:t>
      </w:r>
    </w:p>
    <w:p w14:paraId="25DE4724" w14:textId="77777777" w:rsidR="00C366CC" w:rsidRPr="00E554DE" w:rsidRDefault="00C366CC" w:rsidP="00906541">
      <w:pPr>
        <w:pStyle w:val="Headingi"/>
        <w:rPr>
          <w:b/>
          <w:bCs/>
        </w:rPr>
      </w:pPr>
      <w:r w:rsidRPr="00E554DE">
        <w:rPr>
          <w:b/>
          <w:bCs/>
        </w:rPr>
        <w:t>Questions relatives à la prorogation des délais applicables à la mise en service ou à la remise en service d'une assignation de fréquence</w:t>
      </w:r>
    </w:p>
    <w:p w14:paraId="5B5C062B" w14:textId="77777777" w:rsidR="00C366CC" w:rsidRPr="00E554DE" w:rsidRDefault="00C366CC" w:rsidP="00906541">
      <w:pPr>
        <w:rPr>
          <w:bCs/>
        </w:rPr>
      </w:pPr>
      <w:r w:rsidRPr="00E554DE">
        <w:t>13.4</w:t>
      </w:r>
      <w:r w:rsidRPr="00E554DE">
        <w:rPr>
          <w:bCs/>
        </w:rPr>
        <w:tab/>
        <w:t xml:space="preserve">Concernant la prorogation des délais en cas de force majeure, il est proposé que </w:t>
      </w:r>
      <w:r w:rsidRPr="00E554DE">
        <w:t>le texte suivant soit approuvé et inclus dans le procès-verbal de la plénière:</w:t>
      </w:r>
    </w:p>
    <w:p w14:paraId="74659482" w14:textId="77777777" w:rsidR="00C366CC" w:rsidRPr="00E554DE" w:rsidRDefault="00C366CC" w:rsidP="00906541">
      <w:r w:rsidRPr="00E554DE">
        <w:rPr>
          <w:bCs/>
        </w:rPr>
        <w:t>«</w:t>
      </w:r>
      <w:r w:rsidRPr="00E554DE">
        <w:t>La CMR-23 confirme que, bien que chaque cas soit examiné individuellement, la fourniture des renseignements ci-après facilite l'examen par le Comité d'une demande de prorogation du délai réglementaire reposant sur un cas de force majeure:</w:t>
      </w:r>
    </w:p>
    <w:p w14:paraId="77FF26D9" w14:textId="77777777" w:rsidR="00C366CC" w:rsidRPr="00E554DE" w:rsidRDefault="00C366CC" w:rsidP="00906541">
      <w:pPr>
        <w:pStyle w:val="enumlev1"/>
      </w:pPr>
      <w:r w:rsidRPr="00E554DE">
        <w:t>–</w:t>
      </w:r>
      <w:r w:rsidRPr="00E554DE">
        <w:tab/>
        <w:t>une description succincte du satellite devant être lancé, accompagnée des bandes de fréquences;</w:t>
      </w:r>
    </w:p>
    <w:p w14:paraId="12825B21" w14:textId="77777777" w:rsidR="00C366CC" w:rsidRPr="00E554DE" w:rsidRDefault="00C366CC" w:rsidP="00906541">
      <w:pPr>
        <w:pStyle w:val="enumlev1"/>
      </w:pPr>
      <w:r w:rsidRPr="00E554DE">
        <w:t>–</w:t>
      </w:r>
      <w:r w:rsidRPr="00E554DE">
        <w:tab/>
        <w:t>le nom du constructeur retenu pour la construction du satellite et date de signature du contrat;</w:t>
      </w:r>
    </w:p>
    <w:p w14:paraId="2DEEC40D" w14:textId="77777777" w:rsidR="00C366CC" w:rsidRPr="00E554DE" w:rsidRDefault="00C366CC" w:rsidP="00906541">
      <w:pPr>
        <w:pStyle w:val="enumlev1"/>
      </w:pPr>
      <w:r w:rsidRPr="00E554DE">
        <w:t>–</w:t>
      </w:r>
      <w:r w:rsidRPr="00E554DE">
        <w:tab/>
        <w:t>l'état d'avancement de la construction du satellite avant le cas de force majeure, y compris la date de début et une précision indiquant s'il était prévu que sa construction soit achevée avant la fenêtre de lancement initiale;</w:t>
      </w:r>
    </w:p>
    <w:p w14:paraId="3BE3F001" w14:textId="77777777" w:rsidR="00C366CC" w:rsidRPr="00E554DE" w:rsidRDefault="00C366CC" w:rsidP="00906541">
      <w:pPr>
        <w:pStyle w:val="enumlev1"/>
      </w:pPr>
      <w:r w:rsidRPr="00E554DE">
        <w:t>–</w:t>
      </w:r>
      <w:r w:rsidRPr="00E554DE">
        <w:tab/>
        <w:t>le nom du fournisseur de services de lancement et date de signature du contrat;</w:t>
      </w:r>
    </w:p>
    <w:p w14:paraId="327B2291" w14:textId="77777777" w:rsidR="00C366CC" w:rsidRPr="00E554DE" w:rsidRDefault="00C366CC" w:rsidP="00906541">
      <w:pPr>
        <w:pStyle w:val="enumlev1"/>
      </w:pPr>
      <w:r w:rsidRPr="00E554DE">
        <w:t>–</w:t>
      </w:r>
      <w:r w:rsidRPr="00E554DE">
        <w:tab/>
        <w:t>les efforts déployés et mesures prises ou envisagées pour éviter que le délai imparti soit dépassé, pour surmonter les difficultés rencontrées et réduire le calendrier d'exécution du projet, si possible, en fournissant des pièces justificatives émanant du constructeur du satellite ou du fournisseur de services de lancement, selon le cas;</w:t>
      </w:r>
    </w:p>
    <w:p w14:paraId="38E9E41A" w14:textId="77777777" w:rsidR="00C366CC" w:rsidRPr="00E554DE" w:rsidRDefault="00C366CC" w:rsidP="00906541">
      <w:pPr>
        <w:pStyle w:val="enumlev1"/>
      </w:pPr>
      <w:r w:rsidRPr="00E554DE">
        <w:t>–</w:t>
      </w:r>
      <w:r w:rsidRPr="00E554DE">
        <w:tab/>
        <w:t>la justification et évaluation détaillées au regard des quatre conditions constitutives de la force majeure:</w:t>
      </w:r>
    </w:p>
    <w:p w14:paraId="7FE08199" w14:textId="77777777" w:rsidR="00C366CC" w:rsidRPr="00E554DE" w:rsidRDefault="00C366CC" w:rsidP="00906541">
      <w:pPr>
        <w:pStyle w:val="enumlev2"/>
      </w:pPr>
      <w:r w:rsidRPr="00E554DE">
        <w:t>1)</w:t>
      </w:r>
      <w:r w:rsidRPr="00E554DE">
        <w:tab/>
        <w:t>l'événement doit être indépendant du débiteur de l'obligation;</w:t>
      </w:r>
    </w:p>
    <w:p w14:paraId="62D8C7B6" w14:textId="77777777" w:rsidR="00C366CC" w:rsidRPr="00E554DE" w:rsidRDefault="00C366CC" w:rsidP="00906541">
      <w:pPr>
        <w:pStyle w:val="enumlev2"/>
      </w:pPr>
      <w:r w:rsidRPr="00E554DE">
        <w:t>2)</w:t>
      </w:r>
      <w:r w:rsidRPr="00E554DE">
        <w:tab/>
        <w:t>l'événement constitutif de la force majeure doit être imprévu ou, s'il était prévisible, doit être inévitable et insurmontable;</w:t>
      </w:r>
    </w:p>
    <w:p w14:paraId="31727825" w14:textId="77777777" w:rsidR="00C366CC" w:rsidRPr="00E554DE" w:rsidRDefault="00C366CC" w:rsidP="00906541">
      <w:pPr>
        <w:pStyle w:val="enumlev2"/>
      </w:pPr>
      <w:r w:rsidRPr="00E554DE">
        <w:t>3)</w:t>
      </w:r>
      <w:r w:rsidRPr="00E554DE">
        <w:tab/>
        <w:t>l'événement doit être tel qu'il rend impossible au débiteur de l'obligation de s'en acquitter;</w:t>
      </w:r>
    </w:p>
    <w:p w14:paraId="0F77F3EB" w14:textId="77777777" w:rsidR="00C366CC" w:rsidRPr="00E554DE" w:rsidRDefault="00C366CC" w:rsidP="00906541">
      <w:pPr>
        <w:pStyle w:val="enumlev2"/>
      </w:pPr>
      <w:r w:rsidRPr="00E554DE">
        <w:t>4)</w:t>
      </w:r>
      <w:r w:rsidRPr="00E554DE">
        <w:tab/>
        <w:t>enfin, il doit exister un lien de causalité entre l'événement constitutif de la force majeure et la non-exécution de son obligation par le débiteur;</w:t>
      </w:r>
    </w:p>
    <w:p w14:paraId="07D534FF" w14:textId="77777777" w:rsidR="00C366CC" w:rsidRPr="00E554DE" w:rsidRDefault="00C366CC" w:rsidP="00E554DE">
      <w:pPr>
        <w:pStyle w:val="enumlev1"/>
        <w:keepNext/>
        <w:keepLines/>
      </w:pPr>
      <w:r w:rsidRPr="00E554DE">
        <w:lastRenderedPageBreak/>
        <w:t>–</w:t>
      </w:r>
      <w:r w:rsidRPr="00E554DE">
        <w:tab/>
        <w:t>le calendrier initial et révisé des étapes du projet pour la construction, la fenêtre de lancement, le lancement et la mise à poste du satellite, ainsi que les échéances concernant le repositionnement et les essais sur orbite, lorsque le satellite n'est pas placé directement sur sa position orbitale nominale ou sur son orbite des satellites non géostationnaires;</w:t>
      </w:r>
    </w:p>
    <w:p w14:paraId="195EDE13" w14:textId="77777777" w:rsidR="00C366CC" w:rsidRPr="00E554DE" w:rsidRDefault="00C366CC" w:rsidP="00906541">
      <w:pPr>
        <w:pStyle w:val="enumlev1"/>
      </w:pPr>
      <w:r w:rsidRPr="00E554DE">
        <w:t>–</w:t>
      </w:r>
      <w:r w:rsidRPr="00E554DE">
        <w:tab/>
        <w:t>une justification détaillée de la durée de la période de prorogation demandée, y compris le détail de la nature et de l'importance du retard pris jusqu'à présent, le retard supplémentaire prévu par le constructeur et le fournisseur de services de lancement, et toute éventualité prévue;</w:t>
      </w:r>
    </w:p>
    <w:p w14:paraId="677A44A9" w14:textId="77777777" w:rsidR="00C366CC" w:rsidRPr="00E554DE" w:rsidRDefault="00C366CC" w:rsidP="00906541">
      <w:pPr>
        <w:pStyle w:val="enumlev1"/>
      </w:pPr>
      <w:r w:rsidRPr="00E554DE">
        <w:t>–</w:t>
      </w:r>
      <w:r w:rsidRPr="00E554DE">
        <w:tab/>
        <w:t>tous autres renseignements et documents pertinents.</w:t>
      </w:r>
    </w:p>
    <w:p w14:paraId="58A8E55A" w14:textId="77777777" w:rsidR="00C366CC" w:rsidRPr="00E554DE" w:rsidRDefault="00C366CC" w:rsidP="00906541">
      <w:r w:rsidRPr="00E554DE">
        <w:t>La CMR-23 confirme également l'approche suivie par le Comité en ce qui concerne les délais pour imprévus lors de la détermination de la durée d'une prorogation en cas de force majeure.</w:t>
      </w:r>
    </w:p>
    <w:p w14:paraId="6273A55B" w14:textId="77777777" w:rsidR="00C366CC" w:rsidRPr="00E554DE" w:rsidRDefault="00C366CC" w:rsidP="00906541">
      <w:pPr>
        <w:rPr>
          <w:lang w:eastAsia="zh-CN"/>
        </w:rPr>
      </w:pPr>
      <w:r w:rsidRPr="00E554DE">
        <w:t xml:space="preserve">La CMR-23 </w:t>
      </w:r>
      <w:r w:rsidRPr="00E554DE">
        <w:rPr>
          <w:lang w:eastAsia="zh-CN"/>
        </w:rPr>
        <w:t>note également que le Comité examine à présent au cas par cas la façon dont les quatre conditions constitutives de la force majeure sont remplies, lorsque la pandémie de COVID</w:t>
      </w:r>
      <w:r w:rsidRPr="00E554DE">
        <w:rPr>
          <w:lang w:eastAsia="zh-CN"/>
        </w:rPr>
        <w:noBreakHyphen/>
        <w:t>19 est invoquée comme cas de force majeure.</w:t>
      </w:r>
    </w:p>
    <w:p w14:paraId="099B70F9" w14:textId="77777777" w:rsidR="00C366CC" w:rsidRPr="00E554DE" w:rsidRDefault="00C366CC" w:rsidP="00906541">
      <w:r w:rsidRPr="00E554DE">
        <w:t>La CMR-23 charge le Comité de faire figurer les confirmations ci</w:t>
      </w:r>
      <w:r w:rsidRPr="00E554DE">
        <w:noBreakHyphen/>
        <w:t>dessus dans les Règles de procédure relatives à la prorogation du délai réglementaire applicable à la mise en service des assignations de fréquence à un satellite.»</w:t>
      </w:r>
    </w:p>
    <w:p w14:paraId="2B49BCED" w14:textId="77777777" w:rsidR="00C366CC" w:rsidRPr="00E554DE" w:rsidRDefault="00C366CC" w:rsidP="00906541">
      <w:r w:rsidRPr="00E554DE">
        <w:t>13.5</w:t>
      </w:r>
      <w:r w:rsidRPr="00E554DE">
        <w:tab/>
        <w:t xml:space="preserve">Il en est ainsi </w:t>
      </w:r>
      <w:r w:rsidRPr="00E554DE">
        <w:rPr>
          <w:b/>
          <w:bCs/>
        </w:rPr>
        <w:t>décidé</w:t>
      </w:r>
      <w:r w:rsidRPr="00E554DE">
        <w:t>.</w:t>
      </w:r>
    </w:p>
    <w:p w14:paraId="46E199FA" w14:textId="77777777" w:rsidR="00C366CC" w:rsidRPr="00E554DE" w:rsidRDefault="00C366CC" w:rsidP="00906541">
      <w:r w:rsidRPr="00E554DE">
        <w:t>13.6</w:t>
      </w:r>
      <w:r w:rsidRPr="00E554DE">
        <w:tab/>
        <w:t xml:space="preserve">Concernant la prorogation des délais en cas de retard dû à l'embarquement d'un autre satellite sur le même lanceur, </w:t>
      </w:r>
      <w:r w:rsidRPr="00E554DE">
        <w:rPr>
          <w:bCs/>
        </w:rPr>
        <w:t xml:space="preserve">il est proposé que </w:t>
      </w:r>
      <w:r w:rsidRPr="00E554DE">
        <w:t>le texte suivant soit approuvé et inclus dans le procès-verbal de la plénière:</w:t>
      </w:r>
    </w:p>
    <w:p w14:paraId="57DCE968" w14:textId="77777777" w:rsidR="00C366CC" w:rsidRPr="00E554DE" w:rsidRDefault="00C366CC" w:rsidP="00906541">
      <w:r w:rsidRPr="00E554DE">
        <w:t>«La CMR-23 confirme que la décision adoptée à la CMR-19 sur la nécessité que des renseignements soient fournis, selon qu'il conviendra, lors de l'examen d'une demande de prorogation du délai réglementaire en cas de retard dû à l'embarquement d'un autre satellite sur le même lanceur devrait être révisée comme suit:</w:t>
      </w:r>
    </w:p>
    <w:p w14:paraId="50F30F99" w14:textId="77777777" w:rsidR="00C366CC" w:rsidRPr="00E554DE" w:rsidRDefault="00C366CC" w:rsidP="00906541">
      <w:pPr>
        <w:pStyle w:val="enumlev1"/>
      </w:pPr>
      <w:r w:rsidRPr="00E554DE">
        <w:t>–</w:t>
      </w:r>
      <w:r w:rsidRPr="00E554DE">
        <w:tab/>
        <w:t>une description succincte du satellite devant être lancé, accompagnée des bandes de fréquences;</w:t>
      </w:r>
    </w:p>
    <w:p w14:paraId="17AA521A" w14:textId="77777777" w:rsidR="00C366CC" w:rsidRPr="00E554DE" w:rsidRDefault="00C366CC" w:rsidP="00906541">
      <w:pPr>
        <w:pStyle w:val="enumlev1"/>
      </w:pPr>
      <w:r w:rsidRPr="00E554DE">
        <w:t>–</w:t>
      </w:r>
      <w:r w:rsidRPr="00E554DE">
        <w:tab/>
        <w:t>le nom du constructeur retenu pour la construction du satellite et date de signature du contrat;</w:t>
      </w:r>
    </w:p>
    <w:p w14:paraId="7C1C6A09" w14:textId="77777777" w:rsidR="00C366CC" w:rsidRPr="00E554DE" w:rsidRDefault="00C366CC" w:rsidP="00906541">
      <w:pPr>
        <w:pStyle w:val="enumlev1"/>
      </w:pPr>
      <w:r w:rsidRPr="00E554DE">
        <w:t>–</w:t>
      </w:r>
      <w:r w:rsidRPr="00E554DE">
        <w:tab/>
        <w:t>l'état d'avancement de la construction du satellite, y compris la date de début et une précision indiquant s'il était prévu que sa construction soit achevée avant la fenêtre de lancement initiale;</w:t>
      </w:r>
    </w:p>
    <w:p w14:paraId="691CDD1E" w14:textId="77777777" w:rsidR="00C366CC" w:rsidRPr="00E554DE" w:rsidRDefault="00C366CC" w:rsidP="00906541">
      <w:pPr>
        <w:pStyle w:val="enumlev1"/>
      </w:pPr>
      <w:r w:rsidRPr="00E554DE">
        <w:t>–</w:t>
      </w:r>
      <w:r w:rsidRPr="00E554DE">
        <w:tab/>
        <w:t>le nom du fournisseur de services de lancement et date de signature du contrat;</w:t>
      </w:r>
    </w:p>
    <w:p w14:paraId="135BBFDD" w14:textId="77777777" w:rsidR="00C366CC" w:rsidRPr="00E554DE" w:rsidRDefault="00C366CC" w:rsidP="00906541">
      <w:pPr>
        <w:pStyle w:val="enumlev1"/>
      </w:pPr>
      <w:r w:rsidRPr="00E554DE">
        <w:t>–</w:t>
      </w:r>
      <w:r w:rsidRPr="00E554DE">
        <w:tab/>
        <w:t>le calendrier initial et révisé des étapes du projet pour la fenêtre de lancement, le lancement et la mise à poste du satellite, ainsi que les échéances concernant le repositionnement et les essais sur orbite, lorsque le satellite n'est pas placé directement sur sa position orbitale nominale ou sur son orbite des satellites non géostationnaires;</w:t>
      </w:r>
    </w:p>
    <w:p w14:paraId="41DC2D58" w14:textId="77777777" w:rsidR="00C366CC" w:rsidRPr="00E554DE" w:rsidRDefault="00C366CC" w:rsidP="00906541">
      <w:pPr>
        <w:pStyle w:val="enumlev1"/>
      </w:pPr>
      <w:r w:rsidRPr="00E554DE">
        <w:t>–</w:t>
      </w:r>
      <w:r w:rsidRPr="00E554DE">
        <w:tab/>
        <w:t>les précisions suffisantes pour justifier que la demande de prorogation est imputable à un retard dû à l'embarquement d'un autre satellite sur le même lanceur (par exemple lettre du fournisseur de services de lancement indiquant que le lancement est retardé en raison d'un retard ayant des incidences sur l'autre satellite à embarquer sur le même lanceur);</w:t>
      </w:r>
    </w:p>
    <w:p w14:paraId="36C45B51" w14:textId="77777777" w:rsidR="00C366CC" w:rsidRPr="00E554DE" w:rsidRDefault="00C366CC" w:rsidP="00E554DE">
      <w:pPr>
        <w:pStyle w:val="enumlev1"/>
        <w:keepLines/>
      </w:pPr>
      <w:r w:rsidRPr="00E554DE">
        <w:lastRenderedPageBreak/>
        <w:t>–</w:t>
      </w:r>
      <w:r w:rsidRPr="00E554DE">
        <w:tab/>
      </w:r>
      <w:bookmarkStart w:id="17" w:name="_Hlk126558858"/>
      <w:r w:rsidRPr="00E554DE">
        <w:t>une justification détaillée de la durée de la période de prorogation demandée, y compris le détail de la nature et de l'importance du retard pris jusqu'à présent, le retard supplémentaire prévu par le fournisseur de services de lancement, et toute éventualité prévue</w:t>
      </w:r>
      <w:bookmarkEnd w:id="17"/>
      <w:r w:rsidRPr="00E554DE">
        <w:t>;</w:t>
      </w:r>
    </w:p>
    <w:p w14:paraId="25EFFDCE" w14:textId="77777777" w:rsidR="00C366CC" w:rsidRPr="00E554DE" w:rsidRDefault="00C366CC" w:rsidP="00906541">
      <w:pPr>
        <w:pStyle w:val="enumlev1"/>
      </w:pPr>
      <w:r w:rsidRPr="00E554DE">
        <w:t>–</w:t>
      </w:r>
      <w:r w:rsidRPr="00E554DE">
        <w:tab/>
        <w:t>tous autres renseignements et documents pertinents.</w:t>
      </w:r>
    </w:p>
    <w:p w14:paraId="02E89757" w14:textId="77777777" w:rsidR="00C366CC" w:rsidRPr="00E554DE" w:rsidRDefault="00C366CC" w:rsidP="00906541">
      <w:r w:rsidRPr="00E554DE">
        <w:t>La CMR-23 charge le Comité de faire figurer la confirmation ci</w:t>
      </w:r>
      <w:r w:rsidRPr="00E554DE">
        <w:noBreakHyphen/>
        <w:t>dessus dans les Règles de procédure relatives à la prorogation du délai réglementaire applicable à la mise en service des assignations de fréquence à un satellite.»</w:t>
      </w:r>
    </w:p>
    <w:p w14:paraId="30028D5E" w14:textId="77777777" w:rsidR="00C366CC" w:rsidRPr="00E554DE" w:rsidRDefault="00C366CC" w:rsidP="00906541">
      <w:r w:rsidRPr="00E554DE">
        <w:t>13.7</w:t>
      </w:r>
      <w:r w:rsidRPr="00E554DE">
        <w:tab/>
        <w:t xml:space="preserve">Il en est ainsi </w:t>
      </w:r>
      <w:r w:rsidRPr="00E554DE">
        <w:rPr>
          <w:b/>
          <w:bCs/>
        </w:rPr>
        <w:t>décidé</w:t>
      </w:r>
      <w:r w:rsidRPr="00E554DE">
        <w:t>.</w:t>
      </w:r>
    </w:p>
    <w:p w14:paraId="6CF621CB" w14:textId="77777777" w:rsidR="00C366CC" w:rsidRPr="00E554DE" w:rsidRDefault="00C366CC" w:rsidP="00906541">
      <w:pPr>
        <w:keepNext/>
        <w:keepLines/>
      </w:pPr>
      <w:r w:rsidRPr="00E554DE">
        <w:t>13.8</w:t>
      </w:r>
      <w:r w:rsidRPr="00E554DE">
        <w:tab/>
        <w:t xml:space="preserve">Concernant les demandes de prorogation des délais soumises par des pays en développement qui ne remplissent pas les conditions requises pour être considérées comme un cas de force majeure ou un cas de retard dû à l'embarquement d'un autre satellite sur le même lanceur, </w:t>
      </w:r>
      <w:r w:rsidRPr="00E554DE">
        <w:rPr>
          <w:bCs/>
        </w:rPr>
        <w:t xml:space="preserve">il est proposé que </w:t>
      </w:r>
      <w:r w:rsidRPr="00E554DE">
        <w:t>le texte suivant soit approuvé et inclus dans le procès-verbal de la plénière:</w:t>
      </w:r>
    </w:p>
    <w:p w14:paraId="397B6700" w14:textId="77777777" w:rsidR="00C366CC" w:rsidRPr="00E554DE" w:rsidRDefault="00C366CC" w:rsidP="00906541">
      <w:r w:rsidRPr="00E554DE">
        <w:t>«La CMR-23 invite à nouveau l'UIT-R à étudier la question des demandes de prorogation des délais réglementaires présentées par des pays en développement ne remplissant pas les conditions requises pour être considérées comme un cas de force majeure ou un cas de retard dû à l'embarquement d'un autre satellite sur le même lanceur, et à élaborer les critères et les conditions particuliers sur la base desquels le Comité pourrait envisager d'octroyer une prorogation du délai réglementaire à un pays en développement, pour examen par une future CMR compétente.»</w:t>
      </w:r>
    </w:p>
    <w:p w14:paraId="4E2B4763" w14:textId="77777777" w:rsidR="00C366CC" w:rsidRPr="00E554DE" w:rsidRDefault="00C366CC" w:rsidP="00906541">
      <w:r w:rsidRPr="00E554DE">
        <w:t>13.9</w:t>
      </w:r>
      <w:r w:rsidRPr="00E554DE">
        <w:tab/>
        <w:t xml:space="preserve">Il en est ainsi </w:t>
      </w:r>
      <w:r w:rsidRPr="00E554DE">
        <w:rPr>
          <w:b/>
          <w:bCs/>
        </w:rPr>
        <w:t>décidé</w:t>
      </w:r>
      <w:r w:rsidRPr="00E554DE">
        <w:t>.</w:t>
      </w:r>
    </w:p>
    <w:p w14:paraId="6D5E7961" w14:textId="77777777" w:rsidR="00C366CC" w:rsidRPr="00E554DE" w:rsidRDefault="00C366CC" w:rsidP="00906541">
      <w:pPr>
        <w:pStyle w:val="Headingi"/>
        <w:rPr>
          <w:rFonts w:eastAsia="Times New Roman"/>
          <w:b/>
          <w:bCs/>
          <w:iCs/>
        </w:rPr>
      </w:pPr>
      <w:r w:rsidRPr="00E554DE">
        <w:rPr>
          <w:rFonts w:eastAsia="Times New Roman"/>
          <w:b/>
          <w:bCs/>
          <w:iCs/>
        </w:rPr>
        <w:t>Questions relatives aux Plans des Appendices 30/30A/30B</w:t>
      </w:r>
    </w:p>
    <w:p w14:paraId="5C6364F7" w14:textId="77777777" w:rsidR="00C366CC" w:rsidRPr="00E554DE" w:rsidRDefault="00C366CC" w:rsidP="00906541">
      <w:r w:rsidRPr="00E554DE">
        <w:t>13.10</w:t>
      </w:r>
      <w:r w:rsidRPr="00E554DE">
        <w:tab/>
        <w:t xml:space="preserve">En ce qui concerne les questions relatives à la procédure de l'Article 7 de l'Appendice 30B, </w:t>
      </w:r>
      <w:r w:rsidRPr="00E554DE">
        <w:rPr>
          <w:bCs/>
        </w:rPr>
        <w:t xml:space="preserve">il est proposé que </w:t>
      </w:r>
      <w:r w:rsidRPr="00E554DE">
        <w:t>le texte suivant soit approuvé et inclus dans le procès-verbal de la plénière:</w:t>
      </w:r>
    </w:p>
    <w:p w14:paraId="6C2532C4" w14:textId="77777777" w:rsidR="00C366CC" w:rsidRPr="00E554DE" w:rsidRDefault="00C366CC" w:rsidP="00906541">
      <w:pPr>
        <w:rPr>
          <w:szCs w:val="24"/>
        </w:rPr>
      </w:pPr>
      <w:r w:rsidRPr="00E554DE">
        <w:t>«</w:t>
      </w:r>
      <w:r w:rsidRPr="00E554DE">
        <w:rPr>
          <w:szCs w:val="24"/>
        </w:rPr>
        <w:t>La CMR-23 exhorte les administrations dont des soumissions pour publication dans la Partie A de l'Appendice </w:t>
      </w:r>
      <w:r w:rsidRPr="00E554DE">
        <w:rPr>
          <w:b/>
          <w:szCs w:val="24"/>
        </w:rPr>
        <w:t>30B</w:t>
      </w:r>
      <w:r w:rsidRPr="00E554DE">
        <w:rPr>
          <w:szCs w:val="24"/>
        </w:rPr>
        <w:t xml:space="preserve"> ont été reçues avant le 12 mars 2020 à faire tout ce qui est en leur pouvoir pour prendre en considération les soumissions au titre de l'Article 7 des autres administrations, et à tenir compte des résultats des analyses du Bureau ainsi que des mesures prises en vue d'éviter une nouvelle dégradation des niveaux du rapport </w:t>
      </w:r>
      <w:r w:rsidRPr="00E554DE">
        <w:rPr>
          <w:i/>
          <w:iCs/>
          <w:szCs w:val="24"/>
        </w:rPr>
        <w:t>C</w:t>
      </w:r>
      <w:r w:rsidRPr="00E554DE">
        <w:rPr>
          <w:szCs w:val="24"/>
        </w:rPr>
        <w:t>/</w:t>
      </w:r>
      <w:r w:rsidRPr="00E554DE">
        <w:rPr>
          <w:i/>
          <w:iCs/>
          <w:szCs w:val="24"/>
        </w:rPr>
        <w:t>I</w:t>
      </w:r>
      <w:r w:rsidRPr="00E554DE">
        <w:rPr>
          <w:szCs w:val="24"/>
        </w:rPr>
        <w:t xml:space="preserve"> lors de l'élaboration de leurs soumissions pour publication dans la Partie B.</w:t>
      </w:r>
    </w:p>
    <w:p w14:paraId="6A197DA4" w14:textId="77777777" w:rsidR="00C366CC" w:rsidRPr="00E554DE" w:rsidRDefault="00C366CC" w:rsidP="00906541">
      <w:pPr>
        <w:rPr>
          <w:szCs w:val="24"/>
        </w:rPr>
      </w:pPr>
      <w:r w:rsidRPr="00E554DE">
        <w:rPr>
          <w:szCs w:val="24"/>
        </w:rPr>
        <w:t>La CMR-23 a chargé le Bureau de contacter les sept pays supplémentaires (Érythrée, Estonie, Lettonie, Sainte-Lucie, Tadjikistan, Timor-Leste (Rép. dém. du) et Turkménistan) et l'État de Palestine qui n'ont toujours pas d'allotissement dans le Plan de l'Appendice</w:t>
      </w:r>
      <w:r w:rsidRPr="00E554DE">
        <w:rPr>
          <w:b/>
          <w:bCs/>
          <w:szCs w:val="24"/>
        </w:rPr>
        <w:t xml:space="preserve"> 30B </w:t>
      </w:r>
      <w:r w:rsidRPr="00E554DE">
        <w:rPr>
          <w:szCs w:val="24"/>
        </w:rPr>
        <w:t>et d'identifier des ressources orbitales s'ils souhaitent engager le processus au titre de l'Article 7.»</w:t>
      </w:r>
    </w:p>
    <w:p w14:paraId="6EF5E0E8" w14:textId="77777777" w:rsidR="00C366CC" w:rsidRPr="00E554DE" w:rsidRDefault="00C366CC" w:rsidP="00906541">
      <w:r w:rsidRPr="00E554DE">
        <w:rPr>
          <w:szCs w:val="24"/>
        </w:rPr>
        <w:t>13.11</w:t>
      </w:r>
      <w:r w:rsidRPr="00E554DE">
        <w:rPr>
          <w:szCs w:val="24"/>
        </w:rPr>
        <w:tab/>
      </w:r>
      <w:r w:rsidRPr="00E554DE">
        <w:t xml:space="preserve">Il en est ainsi </w:t>
      </w:r>
      <w:r w:rsidRPr="00E554DE">
        <w:rPr>
          <w:b/>
          <w:bCs/>
        </w:rPr>
        <w:t>décidé</w:t>
      </w:r>
      <w:r w:rsidRPr="00E554DE">
        <w:t>.</w:t>
      </w:r>
    </w:p>
    <w:p w14:paraId="69C2066F" w14:textId="77777777" w:rsidR="00C366CC" w:rsidRPr="00E554DE" w:rsidRDefault="00C366CC" w:rsidP="00906541">
      <w:r w:rsidRPr="00E554DE">
        <w:t>13.12</w:t>
      </w:r>
      <w:r w:rsidRPr="00E554DE">
        <w:tab/>
        <w:t xml:space="preserve">Concernant la protection à long terme des Plans, </w:t>
      </w:r>
      <w:r w:rsidRPr="00E554DE">
        <w:rPr>
          <w:bCs/>
        </w:rPr>
        <w:t xml:space="preserve">il est proposé que </w:t>
      </w:r>
      <w:r w:rsidRPr="00E554DE">
        <w:t>le texte suivant soit approuvé et inclus dans le procès-verbal de la plénière:</w:t>
      </w:r>
    </w:p>
    <w:p w14:paraId="537DCEBA" w14:textId="77777777" w:rsidR="00C366CC" w:rsidRPr="00E554DE" w:rsidRDefault="00C366CC" w:rsidP="00906541">
      <w:r w:rsidRPr="00E554DE">
        <w:t xml:space="preserve">«Si certaines des questions soulevées dans le paragraphe 4.6.3 du rapport du RRB (Document 50) ont été examinées par la CMR-23, la CMR-23 charge l'UIT-R de poursuivre ces études au titre du point permanent 7 de l'ordre du jour de la CMR, et faire rapport à la CMR-27 sur toutes les mesures requises pour renforcer la protection des Appendices </w:t>
      </w:r>
      <w:r w:rsidRPr="00E554DE">
        <w:rPr>
          <w:b/>
          <w:bCs/>
        </w:rPr>
        <w:t>30</w:t>
      </w:r>
      <w:r w:rsidRPr="00E554DE">
        <w:t>/</w:t>
      </w:r>
      <w:r w:rsidRPr="00E554DE">
        <w:rPr>
          <w:b/>
          <w:bCs/>
        </w:rPr>
        <w:t>30A</w:t>
      </w:r>
      <w:r w:rsidRPr="00E554DE">
        <w:t xml:space="preserve"> dans les Régions 1 et 3 ainsi que la protection à long terme de l'Appendice </w:t>
      </w:r>
      <w:r w:rsidRPr="00E554DE">
        <w:rPr>
          <w:b/>
          <w:bCs/>
        </w:rPr>
        <w:t>30B</w:t>
      </w:r>
      <w:r w:rsidRPr="00E554DE">
        <w:t>, tout en tenant compte des possibilités d'utilisation et d'accès pour les pays en développement dans les bandes de fréquences associées.</w:t>
      </w:r>
      <w:r w:rsidRPr="00E554DE">
        <w:rPr>
          <w:szCs w:val="24"/>
        </w:rPr>
        <w:t>»</w:t>
      </w:r>
    </w:p>
    <w:p w14:paraId="1C709FD2" w14:textId="77777777" w:rsidR="00C366CC" w:rsidRPr="00E554DE" w:rsidRDefault="00C366CC" w:rsidP="00906541">
      <w:r w:rsidRPr="00E554DE">
        <w:t>13.13</w:t>
      </w:r>
      <w:r w:rsidRPr="00E554DE">
        <w:tab/>
        <w:t xml:space="preserve">Il en est ainsi </w:t>
      </w:r>
      <w:r w:rsidRPr="00E554DE">
        <w:rPr>
          <w:b/>
          <w:bCs/>
        </w:rPr>
        <w:t>décidé</w:t>
      </w:r>
      <w:r w:rsidRPr="00E554DE">
        <w:t>.</w:t>
      </w:r>
    </w:p>
    <w:p w14:paraId="27B0047F" w14:textId="77777777" w:rsidR="00C366CC" w:rsidRPr="00E554DE" w:rsidRDefault="00C366CC" w:rsidP="00906541">
      <w:pPr>
        <w:pStyle w:val="Headingi"/>
        <w:rPr>
          <w:rFonts w:eastAsia="Times New Roman"/>
          <w:b/>
          <w:bCs/>
          <w:iCs/>
        </w:rPr>
      </w:pPr>
      <w:r w:rsidRPr="00E554DE">
        <w:rPr>
          <w:rFonts w:eastAsia="Times New Roman"/>
          <w:b/>
          <w:bCs/>
          <w:iCs/>
        </w:rPr>
        <w:lastRenderedPageBreak/>
        <w:t>Questions relatives à la Résolution 40</w:t>
      </w:r>
    </w:p>
    <w:p w14:paraId="26A9415F" w14:textId="77777777" w:rsidR="00C366CC" w:rsidRPr="00E554DE" w:rsidRDefault="00C366CC" w:rsidP="00906541">
      <w:r w:rsidRPr="00E554DE">
        <w:rPr>
          <w:szCs w:val="24"/>
        </w:rPr>
        <w:t>13.14</w:t>
      </w:r>
      <w:r w:rsidRPr="00E554DE">
        <w:rPr>
          <w:szCs w:val="24"/>
        </w:rPr>
        <w:tab/>
        <w:t xml:space="preserve">Concernant les questions relatives à la Résolution 40 (CMR-19), </w:t>
      </w:r>
      <w:r w:rsidRPr="00E554DE">
        <w:rPr>
          <w:bCs/>
        </w:rPr>
        <w:t xml:space="preserve">il est proposé que </w:t>
      </w:r>
      <w:r w:rsidRPr="00E554DE">
        <w:t>le texte suivant soit approuvé et inclus dans le procès-verbal de la plénière:</w:t>
      </w:r>
    </w:p>
    <w:p w14:paraId="463DAD0F" w14:textId="3FB391C7" w:rsidR="00C366CC" w:rsidRPr="00E554DE" w:rsidRDefault="00C366CC" w:rsidP="00906541">
      <w:pPr>
        <w:rPr>
          <w:lang w:eastAsia="zh-CN"/>
        </w:rPr>
      </w:pPr>
      <w:r w:rsidRPr="00E554DE">
        <w:rPr>
          <w:szCs w:val="24"/>
        </w:rPr>
        <w:t>«</w:t>
      </w:r>
      <w:r w:rsidRPr="00E554DE">
        <w:t>La CMR-23 charge l'UIT-R d'étudier, pour examen par une future CMR compétente, les mesures qui pourraient être prises pour restreindre l'utilisation du même satellite ou de satellites différents pour mettre en service et remettre en service à plusieurs reprises les mêmes assignations de fréquence d'un réseau à satellite ou d'un système à satellites pendant une courte période seulement</w:t>
      </w:r>
      <w:r w:rsidRPr="00E554DE">
        <w:rPr>
          <w:lang w:eastAsia="zh-CN"/>
        </w:rPr>
        <w:t>. Il a été reconnu que cette étude et les questions connexes, notamment la question de la capacité visée au numéro </w:t>
      </w:r>
      <w:r w:rsidRPr="00E554DE">
        <w:rPr>
          <w:b/>
          <w:bCs/>
          <w:lang w:eastAsia="zh-CN"/>
        </w:rPr>
        <w:t>11.44B</w:t>
      </w:r>
      <w:r w:rsidRPr="00E554DE">
        <w:rPr>
          <w:lang w:eastAsia="zh-CN"/>
        </w:rPr>
        <w:t xml:space="preserve"> du RR et soulevée au cours de la CMR-23, pourraient être menées et traitées au titre du point permanent 7 de l'ordre du jour de la CMR.»</w:t>
      </w:r>
    </w:p>
    <w:p w14:paraId="4724E03B" w14:textId="77777777" w:rsidR="00C366CC" w:rsidRPr="00E554DE" w:rsidRDefault="00C366CC" w:rsidP="00906541">
      <w:r w:rsidRPr="00E554DE">
        <w:rPr>
          <w:szCs w:val="24"/>
        </w:rPr>
        <w:t>13.15</w:t>
      </w:r>
      <w:r w:rsidRPr="00E554DE">
        <w:rPr>
          <w:szCs w:val="24"/>
        </w:rPr>
        <w:tab/>
      </w:r>
      <w:r w:rsidRPr="00E554DE">
        <w:t xml:space="preserve">Il en est ainsi </w:t>
      </w:r>
      <w:r w:rsidRPr="00E554DE">
        <w:rPr>
          <w:b/>
          <w:bCs/>
        </w:rPr>
        <w:t>décidé</w:t>
      </w:r>
      <w:r w:rsidRPr="00E554DE">
        <w:t>.</w:t>
      </w:r>
    </w:p>
    <w:p w14:paraId="6CBB11B8" w14:textId="77777777" w:rsidR="00C366CC" w:rsidRPr="00E554DE" w:rsidRDefault="00C366CC" w:rsidP="00906541">
      <w:pPr>
        <w:pStyle w:val="Headingi"/>
        <w:rPr>
          <w:rFonts w:eastAsia="Times New Roman"/>
          <w:b/>
          <w:bCs/>
          <w:iCs/>
        </w:rPr>
      </w:pPr>
      <w:r w:rsidRPr="00E554DE">
        <w:rPr>
          <w:rFonts w:eastAsia="Times New Roman"/>
          <w:b/>
          <w:bCs/>
          <w:iCs/>
        </w:rPr>
        <w:t>Questions relatives à la mise en service des réseaux à satellite non géostationnaire</w:t>
      </w:r>
    </w:p>
    <w:p w14:paraId="5FA3BB53" w14:textId="77777777" w:rsidR="00C366CC" w:rsidRPr="00E554DE" w:rsidRDefault="00C366CC" w:rsidP="00906541">
      <w:pPr>
        <w:rPr>
          <w:szCs w:val="24"/>
        </w:rPr>
      </w:pPr>
      <w:r w:rsidRPr="00E554DE">
        <w:rPr>
          <w:szCs w:val="24"/>
        </w:rPr>
        <w:t>13.16</w:t>
      </w:r>
      <w:r w:rsidRPr="00E554DE">
        <w:rPr>
          <w:szCs w:val="24"/>
        </w:rPr>
        <w:tab/>
        <w:t xml:space="preserve">Concernant les questions relatives à la mise en service des réseaux à satellite non géostationnaire, </w:t>
      </w:r>
      <w:r w:rsidRPr="00E554DE">
        <w:rPr>
          <w:bCs/>
        </w:rPr>
        <w:t xml:space="preserve">il est proposé que </w:t>
      </w:r>
      <w:r w:rsidRPr="00E554DE">
        <w:t>le texte suivant soit approuvé et inclus dans le procès-verbal de la plénière:</w:t>
      </w:r>
    </w:p>
    <w:p w14:paraId="2756462E" w14:textId="77777777" w:rsidR="00C366CC" w:rsidRPr="00E554DE" w:rsidRDefault="00C366CC" w:rsidP="00906541">
      <w:r w:rsidRPr="00E554DE">
        <w:rPr>
          <w:szCs w:val="24"/>
        </w:rPr>
        <w:t>«</w:t>
      </w:r>
      <w:r w:rsidRPr="00E554DE">
        <w:t>La CMR-23 charge l'UIT-R d'étudier les mesures qui pourraient être prises pour limiter la pratique consistant à ajouter un plan orbital complètement différent, qu'il n'est pas prévu d'exiger pour l'exploitation de la constellation, afin de satisfaire aux prescriptions relatives à la mise en service ou à la remise en service des assignations de fréquence, tout en reconnaissant dans le même temps que cette question est liée au point 7 de l'ordre du jour, Question A, qui est traité par la présente CMR.»</w:t>
      </w:r>
    </w:p>
    <w:p w14:paraId="33CF232F" w14:textId="77777777" w:rsidR="00C366CC" w:rsidRPr="00E554DE" w:rsidRDefault="00C366CC" w:rsidP="00906541">
      <w:r w:rsidRPr="00E554DE">
        <w:t>13.17</w:t>
      </w:r>
      <w:r w:rsidRPr="00E554DE">
        <w:tab/>
        <w:t xml:space="preserve">Il en est ainsi </w:t>
      </w:r>
      <w:r w:rsidRPr="00E554DE">
        <w:rPr>
          <w:b/>
          <w:bCs/>
        </w:rPr>
        <w:t>décidé</w:t>
      </w:r>
      <w:r w:rsidRPr="00E554DE">
        <w:t>.</w:t>
      </w:r>
    </w:p>
    <w:p w14:paraId="2C859F10" w14:textId="77777777" w:rsidR="00C366CC" w:rsidRPr="00E554DE" w:rsidRDefault="00C366CC" w:rsidP="00906541">
      <w:pPr>
        <w:pStyle w:val="Headingi"/>
        <w:rPr>
          <w:rFonts w:eastAsia="Times New Roman"/>
          <w:b/>
          <w:bCs/>
          <w:iCs/>
        </w:rPr>
      </w:pPr>
      <w:r w:rsidRPr="00E554DE">
        <w:rPr>
          <w:rFonts w:eastAsia="Times New Roman"/>
          <w:b/>
          <w:bCs/>
          <w:iCs/>
        </w:rPr>
        <w:t xml:space="preserve">Viabilité </w:t>
      </w:r>
      <w:bookmarkStart w:id="18" w:name="_Hlk156833744"/>
      <w:r w:rsidRPr="00E554DE">
        <w:rPr>
          <w:rFonts w:eastAsia="Times New Roman"/>
          <w:b/>
          <w:bCs/>
          <w:iCs/>
        </w:rPr>
        <w:t>à long terme des ressources que sont le spectre et l'orbite non OSG, accès équitable à ces ressources et leur utilisation rationnelle</w:t>
      </w:r>
      <w:bookmarkEnd w:id="18"/>
    </w:p>
    <w:p w14:paraId="1D33EC40" w14:textId="77777777" w:rsidR="00C366CC" w:rsidRPr="00E554DE" w:rsidRDefault="00C366CC" w:rsidP="00906541">
      <w:pPr>
        <w:rPr>
          <w:szCs w:val="24"/>
        </w:rPr>
      </w:pPr>
      <w:r w:rsidRPr="00E554DE">
        <w:rPr>
          <w:szCs w:val="24"/>
        </w:rPr>
        <w:t>13.18</w:t>
      </w:r>
      <w:r w:rsidRPr="00E554DE">
        <w:rPr>
          <w:szCs w:val="24"/>
        </w:rPr>
        <w:tab/>
        <w:t xml:space="preserve">Concernant les questions relatives à la viabilité à long terme des ressources que sont le spectre et l'orbite non OSG, à l'accès équitable à ces ressources et à leur utilisation rationnelle, </w:t>
      </w:r>
      <w:r w:rsidRPr="00E554DE">
        <w:rPr>
          <w:bCs/>
        </w:rPr>
        <w:t xml:space="preserve">il est proposé que </w:t>
      </w:r>
      <w:r w:rsidRPr="00E554DE">
        <w:t>le texte suivant soit approuvé et inclus dans le procès-verbal de la plénière:</w:t>
      </w:r>
    </w:p>
    <w:p w14:paraId="6BFB1902" w14:textId="77777777" w:rsidR="00C366CC" w:rsidRPr="00E554DE" w:rsidRDefault="00C366CC" w:rsidP="00906541">
      <w:r w:rsidRPr="00E554DE">
        <w:t>«En ce qui concerne la teneur du § 4.13 du rapport du Comité intitulé «Viabilité à long terme des ressources que sont le spectre et l'orbite non OSG, accès équitable à ces ressources et leur utilisation rationnelle», la CMR-23 a reconnu la pertinence des questions soulevées par le RRB, et a également pris acte d'une décision récente de l'Assemblée des radiocommunications de 2023 (AR-23), qui a approuvé la nouvelle Résolution UIT-R 74 intitulée «Activités relatives à l'utilisation durable des ressources que sont le spectre des fréquences radioélectriques et les orbites de satellites associées utilisées par les services spatiaux».</w:t>
      </w:r>
    </w:p>
    <w:p w14:paraId="1AFB3FB0" w14:textId="77777777" w:rsidR="00C366CC" w:rsidRPr="00E554DE" w:rsidRDefault="00C366CC" w:rsidP="00906541">
      <w:r w:rsidRPr="00E554DE">
        <w:t>À cet égard, la CMR-23 a reconnu la décision de l'AR-23 concernant l'approbation de la Résolution UIT-R 74, et la nécessité d'obtenir d'urgence les résultats de l'UIT R attendus au titre de cette Résolution.»</w:t>
      </w:r>
    </w:p>
    <w:p w14:paraId="33C71463" w14:textId="77777777" w:rsidR="00C366CC" w:rsidRPr="00E554DE" w:rsidRDefault="00C366CC" w:rsidP="00906541">
      <w:r w:rsidRPr="00E554DE">
        <w:t>13.19</w:t>
      </w:r>
      <w:r w:rsidRPr="00E554DE">
        <w:tab/>
        <w:t xml:space="preserve">Il en est ainsi </w:t>
      </w:r>
      <w:r w:rsidRPr="00E554DE">
        <w:rPr>
          <w:b/>
          <w:bCs/>
        </w:rPr>
        <w:t>décidé</w:t>
      </w:r>
      <w:r w:rsidRPr="00E554DE">
        <w:t>.</w:t>
      </w:r>
    </w:p>
    <w:p w14:paraId="7765DE72" w14:textId="77777777" w:rsidR="00C366CC" w:rsidRPr="00E554DE" w:rsidRDefault="00C366CC" w:rsidP="00906541">
      <w:pPr>
        <w:pStyle w:val="Headingi"/>
        <w:rPr>
          <w:rFonts w:eastAsia="Times New Roman"/>
          <w:b/>
          <w:bCs/>
          <w:iCs/>
        </w:rPr>
      </w:pPr>
      <w:r w:rsidRPr="00E554DE">
        <w:rPr>
          <w:rFonts w:eastAsia="Times New Roman"/>
          <w:b/>
          <w:bCs/>
          <w:iCs/>
        </w:rPr>
        <w:t>Inscription des assignations de fréquence des réseaux à satellite ou des systèmes à satellites au titre du numéro 4.4</w:t>
      </w:r>
    </w:p>
    <w:p w14:paraId="1A13BC5E" w14:textId="77777777" w:rsidR="00C366CC" w:rsidRPr="00E554DE" w:rsidRDefault="00C366CC" w:rsidP="00906541">
      <w:r w:rsidRPr="00E554DE">
        <w:t>13.20</w:t>
      </w:r>
      <w:r w:rsidRPr="00E554DE">
        <w:tab/>
        <w:t xml:space="preserve">Concernant les questions relatives à l'inscription des assignations de fréquence des réseaux à satellite ou des systèmes à satellites au titre du numéro 4.4, </w:t>
      </w:r>
      <w:r w:rsidRPr="00E554DE">
        <w:rPr>
          <w:bCs/>
        </w:rPr>
        <w:t xml:space="preserve">il est proposé que </w:t>
      </w:r>
      <w:r w:rsidRPr="00E554DE">
        <w:t>le texte suivant soit approuvé et inclus dans le procès-verbal de la plénière:</w:t>
      </w:r>
    </w:p>
    <w:p w14:paraId="022E2CDB" w14:textId="77777777" w:rsidR="00C366CC" w:rsidRPr="00E554DE" w:rsidRDefault="00C366CC" w:rsidP="00906541">
      <w:pPr>
        <w:rPr>
          <w:rFonts w:eastAsia="Calibri"/>
        </w:rPr>
      </w:pPr>
      <w:r w:rsidRPr="00E554DE">
        <w:lastRenderedPageBreak/>
        <w:t>«</w:t>
      </w:r>
      <w:r w:rsidRPr="00E554DE">
        <w:rPr>
          <w:rFonts w:eastAsia="Calibri"/>
        </w:rPr>
        <w:t xml:space="preserve">La CMR-23 a examiné l'utilisation du numéro </w:t>
      </w:r>
      <w:r w:rsidRPr="00E554DE">
        <w:rPr>
          <w:rFonts w:eastAsia="Calibri"/>
          <w:b/>
          <w:bCs/>
        </w:rPr>
        <w:t>4.4</w:t>
      </w:r>
      <w:r w:rsidRPr="00E554DE">
        <w:rPr>
          <w:rFonts w:eastAsia="Calibri"/>
        </w:rPr>
        <w:t xml:space="preserve"> du RR évoquée dans le paragraphe 4.14 du rapport, intitulé «Inscription des assignations de fréquence des réseaux à satellite ou des systèmes à satellites au titre du numéro </w:t>
      </w:r>
      <w:r w:rsidRPr="00E554DE">
        <w:rPr>
          <w:rFonts w:eastAsia="Calibri"/>
          <w:b/>
          <w:bCs/>
        </w:rPr>
        <w:t>4.4</w:t>
      </w:r>
      <w:r w:rsidRPr="00E554DE">
        <w:rPr>
          <w:rFonts w:eastAsia="Calibri"/>
        </w:rPr>
        <w:t xml:space="preserve">» et a confirmé que les assignations de fréquence inscrites au titre du numéro </w:t>
      </w:r>
      <w:r w:rsidRPr="00E554DE">
        <w:rPr>
          <w:rFonts w:eastAsia="Calibri"/>
          <w:b/>
          <w:bCs/>
        </w:rPr>
        <w:t>4.4</w:t>
      </w:r>
      <w:r w:rsidRPr="00E554DE">
        <w:rPr>
          <w:rFonts w:eastAsia="Calibri"/>
        </w:rPr>
        <w:t xml:space="preserve"> du RR n'ont pas droit à une protection contre les brouillages préjudiciables causés par d'autres assignations de fréquence inscrites au titre du numéro </w:t>
      </w:r>
      <w:r w:rsidRPr="00E554DE">
        <w:rPr>
          <w:rFonts w:eastAsia="Calibri"/>
          <w:b/>
          <w:bCs/>
        </w:rPr>
        <w:t xml:space="preserve">4.4 </w:t>
      </w:r>
      <w:r w:rsidRPr="00E554DE">
        <w:rPr>
          <w:rFonts w:eastAsia="Calibri"/>
          <w:bCs/>
        </w:rPr>
        <w:t>du RR</w:t>
      </w:r>
      <w:r w:rsidRPr="00E554DE">
        <w:rPr>
          <w:rFonts w:eastAsia="Calibri"/>
        </w:rPr>
        <w:t>.»</w:t>
      </w:r>
    </w:p>
    <w:p w14:paraId="407B84B5" w14:textId="77777777" w:rsidR="00C366CC" w:rsidRPr="00E554DE" w:rsidRDefault="00C366CC" w:rsidP="00906541">
      <w:pPr>
        <w:rPr>
          <w:rFonts w:eastAsia="Calibri"/>
        </w:rPr>
      </w:pPr>
      <w:r w:rsidRPr="00E554DE">
        <w:rPr>
          <w:rFonts w:eastAsia="Calibri"/>
        </w:rPr>
        <w:t xml:space="preserve">Les droits et obligations des administrations au niveau international pour ce qui est de leurs propres assignations de fréquence ou celles d'autres administrations sont définis dans l'Article </w:t>
      </w:r>
      <w:r w:rsidRPr="00E554DE">
        <w:rPr>
          <w:rFonts w:eastAsia="Calibri"/>
          <w:b/>
          <w:bCs/>
        </w:rPr>
        <w:t>8</w:t>
      </w:r>
      <w:r w:rsidRPr="00E554DE">
        <w:rPr>
          <w:rFonts w:eastAsia="Calibri"/>
        </w:rPr>
        <w:t xml:space="preserve"> ainsi que dans d'autres dispositions du RR. Voir également l'Article </w:t>
      </w:r>
      <w:r w:rsidRPr="00E554DE">
        <w:rPr>
          <w:rFonts w:eastAsia="Calibri"/>
          <w:b/>
          <w:bCs/>
        </w:rPr>
        <w:t>8</w:t>
      </w:r>
      <w:r w:rsidRPr="00E554DE">
        <w:rPr>
          <w:rFonts w:eastAsia="Calibri"/>
        </w:rPr>
        <w:t xml:space="preserve"> du RR.</w:t>
      </w:r>
    </w:p>
    <w:p w14:paraId="5D9EE19B" w14:textId="77777777" w:rsidR="00C366CC" w:rsidRPr="00E554DE" w:rsidRDefault="00C366CC" w:rsidP="00906541">
      <w:pPr>
        <w:rPr>
          <w:rFonts w:eastAsia="Calibri"/>
        </w:rPr>
      </w:pPr>
      <w:r w:rsidRPr="00E554DE">
        <w:rPr>
          <w:rFonts w:eastAsia="Calibri"/>
        </w:rPr>
        <w:t>Dans un souci de transparence accrue, la CMR-23 charge le Bureau d'insérer une indication de la soumission de l'assignation de fréquence au titre du numéro </w:t>
      </w:r>
      <w:r w:rsidRPr="00E554DE">
        <w:rPr>
          <w:rFonts w:eastAsia="Calibri"/>
          <w:b/>
          <w:bCs/>
        </w:rPr>
        <w:t>4.4</w:t>
      </w:r>
      <w:r w:rsidRPr="00E554DE">
        <w:rPr>
          <w:rFonts w:eastAsia="Calibri"/>
        </w:rPr>
        <w:t xml:space="preserve"> du RR dans le Tableau récapitulatif de la Section spéciale ou de la Partie. En outre, la CMR-23 charge le Bureau des radiocommunications (BR) de mettre à disposition, sous une forme aisément accessible, les informations dont il pourra disposer concernant la notification et la mise en service d'assignations de fréquence au titre du numéro </w:t>
      </w:r>
      <w:r w:rsidRPr="00E554DE">
        <w:rPr>
          <w:rFonts w:eastAsia="Calibri"/>
          <w:b/>
          <w:bCs/>
        </w:rPr>
        <w:t xml:space="preserve">4.4 </w:t>
      </w:r>
      <w:r w:rsidRPr="00E554DE">
        <w:rPr>
          <w:rFonts w:eastAsia="Calibri"/>
          <w:bCs/>
        </w:rPr>
        <w:t>du RR</w:t>
      </w:r>
      <w:r w:rsidRPr="00E554DE">
        <w:rPr>
          <w:rFonts w:eastAsia="Calibri"/>
        </w:rPr>
        <w:t xml:space="preserve">, par exemple en les publiant sur le site web du BR et en mettant en œuvre une nouvelle option de filtrage dans l'outil d'analyse de données de l'UIT. Les informations ainsi communiquées pourraient comprendre une liste des fiches de notification qui utilisent le numéro </w:t>
      </w:r>
      <w:r w:rsidRPr="00E554DE">
        <w:rPr>
          <w:rFonts w:eastAsia="Calibri"/>
          <w:b/>
          <w:bCs/>
        </w:rPr>
        <w:t xml:space="preserve">4.4 </w:t>
      </w:r>
      <w:r w:rsidRPr="00E554DE">
        <w:rPr>
          <w:rFonts w:eastAsia="Calibri"/>
          <w:bCs/>
        </w:rPr>
        <w:t>du RR</w:t>
      </w:r>
      <w:r w:rsidRPr="00E554DE">
        <w:rPr>
          <w:rFonts w:eastAsia="Calibri"/>
        </w:rPr>
        <w:t>, ainsi que des données historiques, y compris la date de réception de ces assignations. En outre, le BR est également chargé d'informer périodiquement les administrations des informations actualisées sur la notification et la mise en service des assignations de fréquence au titre du numéro </w:t>
      </w:r>
      <w:r w:rsidRPr="00E554DE">
        <w:rPr>
          <w:rFonts w:eastAsia="Calibri"/>
          <w:b/>
          <w:bCs/>
        </w:rPr>
        <w:t>4.4</w:t>
      </w:r>
      <w:r w:rsidRPr="00E554DE">
        <w:rPr>
          <w:rFonts w:eastAsia="Calibri"/>
        </w:rPr>
        <w:t xml:space="preserve"> </w:t>
      </w:r>
      <w:r w:rsidRPr="00E554DE">
        <w:rPr>
          <w:rFonts w:eastAsia="Calibri"/>
          <w:bCs/>
        </w:rPr>
        <w:t>du RR</w:t>
      </w:r>
      <w:r w:rsidRPr="00E554DE">
        <w:rPr>
          <w:rFonts w:eastAsia="Calibri"/>
        </w:rPr>
        <w:t xml:space="preserve"> mises à disposition par le BR sur son site web, et d'inviter les administrations notificatrices à prendre des mesures pour supprimer les assignations au titre du numéro </w:t>
      </w:r>
      <w:r w:rsidRPr="00E554DE">
        <w:rPr>
          <w:rFonts w:eastAsia="Calibri"/>
          <w:b/>
          <w:bCs/>
        </w:rPr>
        <w:t>4.4</w:t>
      </w:r>
      <w:r w:rsidRPr="00E554DE">
        <w:rPr>
          <w:rFonts w:eastAsia="Calibri"/>
        </w:rPr>
        <w:t xml:space="preserve"> </w:t>
      </w:r>
      <w:r w:rsidRPr="00E554DE">
        <w:rPr>
          <w:rFonts w:eastAsia="Calibri"/>
          <w:bCs/>
        </w:rPr>
        <w:t>du RR</w:t>
      </w:r>
      <w:r w:rsidRPr="00E554DE">
        <w:rPr>
          <w:rFonts w:eastAsia="Calibri"/>
        </w:rPr>
        <w:t xml:space="preserve"> qui ne sont plus utilisées.</w:t>
      </w:r>
    </w:p>
    <w:p w14:paraId="3341DD96" w14:textId="77777777" w:rsidR="00C366CC" w:rsidRPr="00E554DE" w:rsidRDefault="00C366CC" w:rsidP="00906541">
      <w:r w:rsidRPr="00E554DE">
        <w:t xml:space="preserve">La CMR-23 prie instamment les administrations, lorsqu'elles utilisent des assignations de fréquence au titre du numéro </w:t>
      </w:r>
      <w:r w:rsidRPr="00E554DE">
        <w:rPr>
          <w:b/>
          <w:bCs/>
        </w:rPr>
        <w:t>4.4</w:t>
      </w:r>
      <w:r w:rsidRPr="00E554DE">
        <w:t xml:space="preserve"> du RR, de se conformer pleinement aux objectifs et à l'objet de cette disposition, y compris la Règle de procédure relative au numéro </w:t>
      </w:r>
      <w:r w:rsidRPr="00E554DE">
        <w:rPr>
          <w:b/>
          <w:bCs/>
        </w:rPr>
        <w:t>4.4</w:t>
      </w:r>
      <w:r w:rsidRPr="00E554DE">
        <w:t xml:space="preserve"> du RR.»</w:t>
      </w:r>
    </w:p>
    <w:p w14:paraId="00DE9B03" w14:textId="77777777" w:rsidR="00C366CC" w:rsidRPr="00E554DE" w:rsidRDefault="00C366CC" w:rsidP="00906541">
      <w:r w:rsidRPr="00E554DE">
        <w:t>13.21</w:t>
      </w:r>
      <w:r w:rsidRPr="00E554DE">
        <w:tab/>
        <w:t xml:space="preserve">Il en est ainsi </w:t>
      </w:r>
      <w:r w:rsidRPr="00E554DE">
        <w:rPr>
          <w:b/>
          <w:bCs/>
        </w:rPr>
        <w:t>décidé</w:t>
      </w:r>
      <w:r w:rsidRPr="00E554DE">
        <w:t>.</w:t>
      </w:r>
    </w:p>
    <w:p w14:paraId="76ED7B8F" w14:textId="694CFAD6" w:rsidR="00C366CC" w:rsidRPr="00E554DE" w:rsidRDefault="00C366CC" w:rsidP="00906541">
      <w:r w:rsidRPr="00E554DE">
        <w:t>13.22</w:t>
      </w:r>
      <w:r w:rsidRPr="00E554DE">
        <w:tab/>
        <w:t xml:space="preserve">Le </w:t>
      </w:r>
      <w:r w:rsidRPr="00E554DE">
        <w:rPr>
          <w:b/>
          <w:bCs/>
        </w:rPr>
        <w:t>délégué de la Fédération de Russie</w:t>
      </w:r>
      <w:r w:rsidRPr="00E554DE">
        <w:t xml:space="preserve"> prononce la déclaration suivante concernant le Document</w:t>
      </w:r>
      <w:r w:rsidR="004A6946" w:rsidRPr="00E554DE">
        <w:t> </w:t>
      </w:r>
      <w:r w:rsidRPr="00E554DE">
        <w:t>494:</w:t>
      </w:r>
    </w:p>
    <w:p w14:paraId="0FAA0302" w14:textId="77777777" w:rsidR="00C366CC" w:rsidRPr="00E554DE" w:rsidRDefault="00C366CC" w:rsidP="00906541">
      <w:r w:rsidRPr="00E554DE">
        <w:t xml:space="preserve">«L'Administration de la Fédération de Russie fait part de ses inquiétudes concernant l'utilisation intensive des bandes de fréquences par des systèmes à satellites au titre du numéro </w:t>
      </w:r>
      <w:r w:rsidRPr="00E554DE">
        <w:rPr>
          <w:b/>
          <w:bCs/>
        </w:rPr>
        <w:t>4.4</w:t>
      </w:r>
      <w:r w:rsidRPr="00E554DE">
        <w:t>. Le numéro </w:t>
      </w:r>
      <w:r w:rsidRPr="00E554DE">
        <w:rPr>
          <w:b/>
          <w:bCs/>
        </w:rPr>
        <w:t>4.4</w:t>
      </w:r>
      <w:r w:rsidRPr="00E554DE">
        <w:t xml:space="preserve"> visait à introduire une dérogation au Tableau d'attribution des bandes de fréquences ou à d'autres dispositions applicables du Règlement des radiocommunication et ne doit s'appliquer que dans des cas exceptionnels. Depuis peu, il semble que des administrations voient l'utilisation du numéro </w:t>
      </w:r>
      <w:r w:rsidRPr="00E554DE">
        <w:rPr>
          <w:b/>
          <w:bCs/>
        </w:rPr>
        <w:t>4.4</w:t>
      </w:r>
      <w:r w:rsidRPr="00E554DE">
        <w:t xml:space="preserve"> du RR comme un moyen de se soustraire à l'obligation qui leur incombe de se conformer aux limites techniques, aux prescriptions en matière de coordination et à l'examen réglementaire. Cela enfreint les principes fondamentaux et les objectifs énoncés dans le Règlement des radiocommunication visant à éviter les brouillages préjudiciables.</w:t>
      </w:r>
    </w:p>
    <w:p w14:paraId="08420B84" w14:textId="77777777" w:rsidR="00C366CC" w:rsidRPr="00E554DE" w:rsidRDefault="00C366CC" w:rsidP="00906541">
      <w:r w:rsidRPr="00E554DE">
        <w:t xml:space="preserve">L'Administration de la Fédération de Russie exhorte les administrations à s'abstenir de recourir au numéro </w:t>
      </w:r>
      <w:r w:rsidRPr="00E554DE">
        <w:rPr>
          <w:b/>
          <w:bCs/>
        </w:rPr>
        <w:t>4.4</w:t>
      </w:r>
      <w:r w:rsidRPr="00E554DE">
        <w:t xml:space="preserve"> du Règlement des radiocommunications pour les systèmes à satellites dont la zone de service est en dehors de leur territoire national. L'utilisation de bandes de fréquences par des systèmes à satellites sur le territoire d'autres pays au titre du numéro </w:t>
      </w:r>
      <w:r w:rsidRPr="00E554DE">
        <w:rPr>
          <w:b/>
          <w:bCs/>
        </w:rPr>
        <w:t>4.4</w:t>
      </w:r>
      <w:r w:rsidRPr="00E554DE">
        <w:t xml:space="preserve"> n'est possible que si l'accord exprès de ces pays a été obtenu.</w:t>
      </w:r>
    </w:p>
    <w:p w14:paraId="68C08BBC" w14:textId="77777777" w:rsidR="00C366CC" w:rsidRPr="00E554DE" w:rsidRDefault="00C366CC" w:rsidP="00906541">
      <w:r w:rsidRPr="00E554DE">
        <w:t xml:space="preserve">L'Administration de la Fédération de Russie note que les droits à une reconnaissance et à une protection au niveau international d'assignations de fréquence découlent de l'inscription desdites assignations dans le Fichier de référence international des fréquences et sont assujettis aux dispositions du Règlement des radiocommunications. La notification auprès de l'UIT des assignations de fréquence au titre du numéro </w:t>
      </w:r>
      <w:r w:rsidRPr="00E554DE">
        <w:rPr>
          <w:b/>
          <w:bCs/>
        </w:rPr>
        <w:t>4.4</w:t>
      </w:r>
      <w:r w:rsidRPr="00E554DE">
        <w:t xml:space="preserve"> du RR n'est faite qu'à titre d'information et ne </w:t>
      </w:r>
      <w:r w:rsidRPr="00E554DE">
        <w:lastRenderedPageBreak/>
        <w:t>donne pas le droit à une reconnaissance internationale de l'utilisation de ces assignations de fréquence. L'utilisation de ces assignations ne doit pas causer de brouillages préjudiciables aux stations fonctionnant conformément aux dispositions de la Constitution, de la Convention et du Règlement, et ne doit pas donner lieu à une demande de protection contre les brouillages préjudiciables causés par ces stations.»</w:t>
      </w:r>
    </w:p>
    <w:p w14:paraId="3DBDA1C2" w14:textId="77777777" w:rsidR="00C366CC" w:rsidRPr="00E554DE" w:rsidRDefault="00C366CC" w:rsidP="00906541">
      <w:r w:rsidRPr="00E554DE">
        <w:t>13.23</w:t>
      </w:r>
      <w:r w:rsidRPr="00E554DE">
        <w:tab/>
        <w:t xml:space="preserve">Le </w:t>
      </w:r>
      <w:r w:rsidRPr="00E554DE">
        <w:rPr>
          <w:b/>
          <w:bCs/>
        </w:rPr>
        <w:t xml:space="preserve">délégué de la République islamique d'Iran </w:t>
      </w:r>
      <w:r w:rsidRPr="00E554DE">
        <w:t>fait remarquer que cette question a déjà été longuement examinée. Pour remédier au problème soulevé, on a inséré à la toute fin du texte figurant dans le procès-verbal une mention pour prier instamment les administrations, lorsqu'elles utilisent des assignations de fréquence au titre du numéro 4.4 du RR, de se conformer pleinement aux objectifs et à l'objet de cette disposition. Rien dans le document n'empêchera de mener des études sur cette question dans l'avenir.</w:t>
      </w:r>
    </w:p>
    <w:p w14:paraId="4E614A6D" w14:textId="77777777" w:rsidR="00FC1349" w:rsidRPr="00E554DE" w:rsidRDefault="00FC1349" w:rsidP="00906541">
      <w:r w:rsidRPr="00E554DE">
        <w:t>13.24</w:t>
      </w:r>
      <w:r w:rsidRPr="00E554DE">
        <w:tab/>
        <w:t xml:space="preserve">Le </w:t>
      </w:r>
      <w:r w:rsidRPr="00E554DE">
        <w:rPr>
          <w:b/>
          <w:bCs/>
        </w:rPr>
        <w:t xml:space="preserve">délégué de la Slovaquie </w:t>
      </w:r>
      <w:r w:rsidRPr="00E554DE">
        <w:t>formule la déclaration suivante en ce qui concerne le Document 494:</w:t>
      </w:r>
    </w:p>
    <w:p w14:paraId="0571066D" w14:textId="13715005" w:rsidR="00FC1349" w:rsidRPr="00E554DE" w:rsidRDefault="00FC1349" w:rsidP="00906541">
      <w:r w:rsidRPr="00E554DE">
        <w:t xml:space="preserve">«L'Administration slovaque croit comprendre que, dans le cas où le numéro 4.4 du RR est appliqué, les droits et obligations d'une administration sont régis par la Constitution et la Convention de l'UIT, en particulier les </w:t>
      </w:r>
      <w:r w:rsidR="006E7F41" w:rsidRPr="00E554DE">
        <w:t>a</w:t>
      </w:r>
      <w:r w:rsidRPr="00E554DE">
        <w:t>rticles 44 et 45, et par les dispositions de l'Article 8 du Règlement des radiocommunications et la Règle de procédure pertinente relative au numéro 4.4. Pas moins, mais pas plus non plus.»</w:t>
      </w:r>
    </w:p>
    <w:p w14:paraId="5C103A5E" w14:textId="77777777" w:rsidR="00FC1349" w:rsidRPr="00E554DE" w:rsidRDefault="00FC1349" w:rsidP="00906541">
      <w:r w:rsidRPr="00E554DE">
        <w:t>13.25</w:t>
      </w:r>
      <w:r w:rsidRPr="00E554DE">
        <w:tab/>
        <w:t xml:space="preserve">La </w:t>
      </w:r>
      <w:r w:rsidRPr="00E554DE">
        <w:rPr>
          <w:b/>
          <w:bCs/>
        </w:rPr>
        <w:t xml:space="preserve">déléguée de la Slovénie </w:t>
      </w:r>
      <w:r w:rsidRPr="00E554DE">
        <w:t>appuie cette déclaration.</w:t>
      </w:r>
    </w:p>
    <w:p w14:paraId="759C1FE2" w14:textId="77777777" w:rsidR="00FC1349" w:rsidRPr="00E554DE" w:rsidRDefault="00FC1349" w:rsidP="00906541">
      <w:r w:rsidRPr="00E554DE">
        <w:t>13.26</w:t>
      </w:r>
      <w:r w:rsidRPr="00E554DE">
        <w:tab/>
        <w:t xml:space="preserve">Le Document 494, dans son ensemble, est </w:t>
      </w:r>
      <w:r w:rsidRPr="00E554DE">
        <w:rPr>
          <w:b/>
          <w:bCs/>
        </w:rPr>
        <w:t>approuvé</w:t>
      </w:r>
      <w:r w:rsidRPr="00E554DE">
        <w:rPr>
          <w:bCs/>
        </w:rPr>
        <w:t>.</w:t>
      </w:r>
    </w:p>
    <w:p w14:paraId="018004FC" w14:textId="77777777" w:rsidR="00FC1349" w:rsidRPr="00E554DE" w:rsidRDefault="00FC1349" w:rsidP="00906541">
      <w:pPr>
        <w:pStyle w:val="Heading1"/>
      </w:pPr>
      <w:r w:rsidRPr="00E554DE">
        <w:t>14</w:t>
      </w:r>
      <w:r w:rsidRPr="00E554DE">
        <w:tab/>
        <w:t>Sixième rapport de la Commission 5 à la plénière (Document 495)</w:t>
      </w:r>
    </w:p>
    <w:p w14:paraId="274BEFF8" w14:textId="77777777" w:rsidR="00FC1349" w:rsidRPr="00E554DE" w:rsidRDefault="00FC1349" w:rsidP="00906541">
      <w:r w:rsidRPr="00E554DE">
        <w:t>14.1</w:t>
      </w:r>
      <w:r w:rsidRPr="00E554DE">
        <w:rPr>
          <w:b/>
          <w:bCs/>
        </w:rPr>
        <w:tab/>
      </w:r>
      <w:r w:rsidRPr="00E554DE">
        <w:t xml:space="preserve">Le </w:t>
      </w:r>
      <w:r w:rsidRPr="00E554DE">
        <w:rPr>
          <w:b/>
          <w:bCs/>
        </w:rPr>
        <w:t>Vice-Président de la Commission 5</w:t>
      </w:r>
      <w:r w:rsidRPr="00E554DE">
        <w:t xml:space="preserve"> présente le sixième rapport de la Commission 5 à la plénière, reproduit dans le Document 495. Au titre du point 9.2 de l'ordre du jour, la Commission 5 a examiné le rapport du Directeur sur les difficultés rencontrées ou les incohérences constatées dans l'application du Règlement des radiocommunications. La plénière est invitée à approuver le rapport de la Commission et à faire figurer dans le procès-verbal de la plénière deux textes contenus dans ce rapport.</w:t>
      </w:r>
    </w:p>
    <w:p w14:paraId="2741CE52" w14:textId="09C7096A" w:rsidR="00FC1349" w:rsidRPr="00E554DE" w:rsidRDefault="00FC1349" w:rsidP="00906541">
      <w:r w:rsidRPr="00E554DE">
        <w:t>14.2</w:t>
      </w:r>
      <w:r w:rsidRPr="00E554DE">
        <w:tab/>
        <w:t>Aux fins de l'application de l'Article 21 du Règlement des radiocommunications, en ce qui concerne le facteur d'échelle de puissance surfacique à appliquer aux constellations du SFS non</w:t>
      </w:r>
      <w:r w:rsidR="006E7F41" w:rsidRPr="00E554DE">
        <w:t> </w:t>
      </w:r>
      <w:r w:rsidRPr="00E554DE">
        <w:t>OSG comportant au moins 1 000 stations spatiales fonctionnant dans la bande de fréquences 17,7-19,3 GHz, il est proposé que le texte suivant soit approuvé et inclus dans le procès-verbal de la plénière:</w:t>
      </w:r>
    </w:p>
    <w:p w14:paraId="2294DADF" w14:textId="77777777" w:rsidR="00FC1349" w:rsidRPr="00E554DE" w:rsidRDefault="00FC1349" w:rsidP="00906541">
      <w:r w:rsidRPr="00E554DE">
        <w:t xml:space="preserve">«La CMR-23 a révisé le numéro </w:t>
      </w:r>
      <w:r w:rsidRPr="00E554DE">
        <w:rPr>
          <w:b/>
        </w:rPr>
        <w:t>21.16.6</w:t>
      </w:r>
      <w:r w:rsidRPr="00E554DE">
        <w:t xml:space="preserve"> du RR et charge le Bureau de formuler des conclusions favorables conditionnelles au titre des numéros </w:t>
      </w:r>
      <w:r w:rsidRPr="00E554DE">
        <w:rPr>
          <w:b/>
          <w:bCs/>
        </w:rPr>
        <w:t>9.35</w:t>
      </w:r>
      <w:r w:rsidRPr="00E554DE">
        <w:t>/</w:t>
      </w:r>
      <w:r w:rsidRPr="00E554DE">
        <w:rPr>
          <w:b/>
          <w:bCs/>
        </w:rPr>
        <w:t>11.31</w:t>
      </w:r>
      <w:r w:rsidRPr="00E554DE">
        <w:t xml:space="preserve"> du RR, lorsqu'il examine si les assignations de fréquence aux systèmes à satellites non OSG du SFS respectent les limites de puissance surfacique de l'Article </w:t>
      </w:r>
      <w:r w:rsidRPr="00E554DE">
        <w:rPr>
          <w:b/>
          <w:bCs/>
        </w:rPr>
        <w:t>21</w:t>
      </w:r>
      <w:r w:rsidRPr="00E554DE">
        <w:t xml:space="preserve"> du RR applicables dans la bande de fréquences 17,7-19,3 GHz, si l'administration notificatrice soumet une demande en ce sens. La CMR-23 a décidé que cette pratique s'appliquerait également aux systèmes à satellites non OSG du SFS pour lesquels des demandes de coordination ont été reçues entre le 16 décembre 2023 et l'entrée en vigueur des Actes finals de la CMR-23. La CMR-23 charge également le Bureau d'examiner lesdites conclusions, ainsi que les conclusions formulées entre le 23 novembre 2019 et le dernier jour de la CMR-23, une fois que le logiciel d'examen de la puissance surfacique aura intégré la décision de la CMR-23 relative au numéro </w:t>
      </w:r>
      <w:r w:rsidRPr="00E554DE">
        <w:rPr>
          <w:b/>
        </w:rPr>
        <w:t>21.16.6</w:t>
      </w:r>
      <w:r w:rsidRPr="00E554DE">
        <w:t>. Voir également le Document 420.»</w:t>
      </w:r>
    </w:p>
    <w:p w14:paraId="439D6C40" w14:textId="77777777" w:rsidR="00FC1349" w:rsidRPr="00E554DE" w:rsidRDefault="00FC1349" w:rsidP="00906541">
      <w:r w:rsidRPr="00E554DE">
        <w:t>14.3</w:t>
      </w:r>
      <w:r w:rsidRPr="00E554DE">
        <w:tab/>
        <w:t xml:space="preserve">Il en est ainsi </w:t>
      </w:r>
      <w:r w:rsidRPr="00E554DE">
        <w:rPr>
          <w:b/>
          <w:bCs/>
        </w:rPr>
        <w:t>décidé</w:t>
      </w:r>
      <w:r w:rsidRPr="00E554DE">
        <w:t>.</w:t>
      </w:r>
    </w:p>
    <w:p w14:paraId="094E9D2C" w14:textId="77777777" w:rsidR="00FC1349" w:rsidRPr="00E554DE" w:rsidRDefault="00FC1349" w:rsidP="00906541">
      <w:r w:rsidRPr="00E554DE">
        <w:lastRenderedPageBreak/>
        <w:t>14.4</w:t>
      </w:r>
      <w:r w:rsidRPr="00E554DE">
        <w:tab/>
        <w:t>Aux fins de l'application de la Résolution 35 (CMR-19), il est proposé que le texte suivant soit approuvé et inclus dans le procès-verbal de la plénière:</w:t>
      </w:r>
    </w:p>
    <w:p w14:paraId="27F0488C" w14:textId="77777777" w:rsidR="00FC1349" w:rsidRPr="00E554DE" w:rsidRDefault="00FC1349" w:rsidP="00906541">
      <w:r w:rsidRPr="00E554DE">
        <w:t xml:space="preserve">«La CMR-23 a examiné le paragraphe 3.3.3 du rapport, intitulé Résolution </w:t>
      </w:r>
      <w:r w:rsidRPr="00E554DE">
        <w:rPr>
          <w:b/>
        </w:rPr>
        <w:t>35 (CMR-19)</w:t>
      </w:r>
      <w:r w:rsidRPr="00E554DE">
        <w:t>, ainsi que les sous-paragraphes associés du rapport et a décidé de procéder comme suit pour les questions soulevées:</w:t>
      </w:r>
    </w:p>
    <w:p w14:paraId="481BF91A" w14:textId="07FCCE77" w:rsidR="00FC1349" w:rsidRPr="00E554DE" w:rsidRDefault="00FC1349" w:rsidP="00906541">
      <w:pPr>
        <w:keepLines/>
      </w:pPr>
      <w:r w:rsidRPr="00E554DE">
        <w:t xml:space="preserve">En ce qui concerne le sous-paragraphe 3.3.3.2 et le point 11 du </w:t>
      </w:r>
      <w:r w:rsidRPr="00E554DE">
        <w:rPr>
          <w:i/>
          <w:iCs/>
        </w:rPr>
        <w:t>décide</w:t>
      </w:r>
      <w:r w:rsidRPr="00E554DE">
        <w:t xml:space="preserve"> de la Résolution </w:t>
      </w:r>
      <w:r w:rsidRPr="00E554DE">
        <w:rPr>
          <w:b/>
          <w:bCs/>
        </w:rPr>
        <w:t>35 (CMR</w:t>
      </w:r>
      <w:r w:rsidR="006E7F41" w:rsidRPr="00E554DE">
        <w:rPr>
          <w:b/>
          <w:bCs/>
        </w:rPr>
        <w:noBreakHyphen/>
      </w:r>
      <w:r w:rsidRPr="00E554DE">
        <w:rPr>
          <w:b/>
          <w:bCs/>
        </w:rPr>
        <w:t>19)</w:t>
      </w:r>
      <w:r w:rsidRPr="00E554DE">
        <w:t xml:space="preserve">, la CMR-23 charge le Bureau de faire figurer dans une Règle de procédure cet aspect de la mise en œuvre du point 11 du </w:t>
      </w:r>
      <w:r w:rsidRPr="00E554DE">
        <w:rPr>
          <w:i/>
          <w:iCs/>
        </w:rPr>
        <w:t>décide</w:t>
      </w:r>
      <w:r w:rsidRPr="00E554DE">
        <w:t xml:space="preserve"> de la Résolution </w:t>
      </w:r>
      <w:r w:rsidRPr="00E554DE">
        <w:rPr>
          <w:b/>
          <w:bCs/>
        </w:rPr>
        <w:t xml:space="preserve">35 (CMR-19) </w:t>
      </w:r>
      <w:r w:rsidRPr="00E554DE">
        <w:t>décrit dans ce paragraphe du rapport, en vue d'inclure cette question dans le rapport du Directeur à la CMR-27.</w:t>
      </w:r>
    </w:p>
    <w:p w14:paraId="743036E7" w14:textId="77777777" w:rsidR="00FC1349" w:rsidRPr="00E554DE" w:rsidRDefault="00FC1349" w:rsidP="00906541">
      <w:r w:rsidRPr="00E554DE">
        <w:t xml:space="preserve">En ce qui concerne le sous-paragraphe 3.3.3.3, s'agissant des modifications apportées aux paramètres orbitaux conformément au point 14 du </w:t>
      </w:r>
      <w:r w:rsidRPr="00E554DE">
        <w:rPr>
          <w:i/>
          <w:iCs/>
        </w:rPr>
        <w:t>décide</w:t>
      </w:r>
      <w:r w:rsidRPr="00E554DE">
        <w:t>, la CMR-23 a décidé que des études complémentaires concernant les questions soulevées étaient nécessaires avant de pouvoir apporter les précisions demandées dans le rapport.</w:t>
      </w:r>
    </w:p>
    <w:p w14:paraId="78B741A9" w14:textId="77777777" w:rsidR="00FC1349" w:rsidRPr="00E554DE" w:rsidRDefault="00FC1349" w:rsidP="00906541">
      <w:r w:rsidRPr="00E554DE">
        <w:t xml:space="preserve">En ce qui concerne le sous-paragraphe 3.3.3.4 et le point 17 </w:t>
      </w:r>
      <w:r w:rsidRPr="00E554DE">
        <w:rPr>
          <w:i/>
          <w:iCs/>
        </w:rPr>
        <w:t>b)</w:t>
      </w:r>
      <w:r w:rsidRPr="00E554DE">
        <w:t xml:space="preserve"> du </w:t>
      </w:r>
      <w:r w:rsidRPr="00E554DE">
        <w:rPr>
          <w:i/>
          <w:iCs/>
        </w:rPr>
        <w:t>décide</w:t>
      </w:r>
      <w:r w:rsidRPr="00E554DE">
        <w:t xml:space="preserve"> de la Résolution </w:t>
      </w:r>
      <w:r w:rsidRPr="00E554DE">
        <w:rPr>
          <w:b/>
          <w:bCs/>
        </w:rPr>
        <w:t>35 (CMR-19)</w:t>
      </w:r>
      <w:r w:rsidRPr="00E554DE">
        <w:t xml:space="preserve">, la CMR-23 a pris note de la manière de procéder appliquée par le Bureau en ce qui concerne la mise en œuvre du point 17 du </w:t>
      </w:r>
      <w:r w:rsidRPr="00E554DE">
        <w:rPr>
          <w:i/>
          <w:iCs/>
        </w:rPr>
        <w:t>décide</w:t>
      </w:r>
      <w:r w:rsidRPr="00E554DE">
        <w:t xml:space="preserve"> de la Résolution </w:t>
      </w:r>
      <w:r w:rsidRPr="00E554DE">
        <w:rPr>
          <w:b/>
          <w:bCs/>
        </w:rPr>
        <w:t>35 (CMR-19)</w:t>
      </w:r>
      <w:r w:rsidRPr="00E554DE">
        <w:t xml:space="preserve"> et demande que des études soient menées sur la question soulevée dans ce paragraphe.</w:t>
      </w:r>
    </w:p>
    <w:p w14:paraId="295EF971" w14:textId="77777777" w:rsidR="00FC1349" w:rsidRPr="00E554DE" w:rsidRDefault="00FC1349" w:rsidP="00906541">
      <w:r w:rsidRPr="00E554DE">
        <w:t xml:space="preserve">Outre ce qui précède, la CMR-23 a décidé d'apporter des modifications précises à la Résolution </w:t>
      </w:r>
      <w:r w:rsidRPr="00E554DE">
        <w:rPr>
          <w:b/>
          <w:bCs/>
        </w:rPr>
        <w:t>35 (CMR-19)</w:t>
      </w:r>
      <w:r w:rsidRPr="00E554DE">
        <w:t>. Voir également le Document 422.»</w:t>
      </w:r>
    </w:p>
    <w:p w14:paraId="3B942012" w14:textId="77777777" w:rsidR="00FC1349" w:rsidRPr="00E554DE" w:rsidRDefault="00FC1349" w:rsidP="00906541">
      <w:r w:rsidRPr="00E554DE">
        <w:t>14.5</w:t>
      </w:r>
      <w:r w:rsidRPr="00E554DE">
        <w:tab/>
        <w:t xml:space="preserve">Il en est ainsi </w:t>
      </w:r>
      <w:r w:rsidRPr="00E554DE">
        <w:rPr>
          <w:b/>
          <w:bCs/>
        </w:rPr>
        <w:t>décidé</w:t>
      </w:r>
      <w:r w:rsidRPr="00E554DE">
        <w:t>.</w:t>
      </w:r>
    </w:p>
    <w:p w14:paraId="3C9F18F9" w14:textId="77777777" w:rsidR="00FC1349" w:rsidRPr="00E554DE" w:rsidRDefault="00FC1349" w:rsidP="00906541">
      <w:r w:rsidRPr="00E554DE">
        <w:t>14.6</w:t>
      </w:r>
      <w:r w:rsidRPr="00E554DE">
        <w:tab/>
        <w:t xml:space="preserve">Le Document 495, dans son ensemble, est </w:t>
      </w:r>
      <w:r w:rsidRPr="00E554DE">
        <w:rPr>
          <w:b/>
        </w:rPr>
        <w:t>approuvé</w:t>
      </w:r>
      <w:r w:rsidRPr="00E554DE">
        <w:t>.</w:t>
      </w:r>
    </w:p>
    <w:p w14:paraId="3E8DD868" w14:textId="77777777" w:rsidR="00FC1349" w:rsidRPr="00E554DE" w:rsidRDefault="00FC1349" w:rsidP="00906541">
      <w:pPr>
        <w:pStyle w:val="Heading1"/>
      </w:pPr>
      <w:r w:rsidRPr="00E554DE">
        <w:t>15</w:t>
      </w:r>
      <w:r w:rsidRPr="00E554DE">
        <w:tab/>
        <w:t>Septième rapport de la Commission 5 à la plénière (Document 496)</w:t>
      </w:r>
    </w:p>
    <w:p w14:paraId="62B3E05A" w14:textId="77777777" w:rsidR="00FC1349" w:rsidRPr="00E554DE" w:rsidRDefault="00FC1349" w:rsidP="00906541">
      <w:r w:rsidRPr="00E554DE">
        <w:t>15.1</w:t>
      </w:r>
      <w:r w:rsidRPr="00E554DE">
        <w:tab/>
        <w:t xml:space="preserve">Le </w:t>
      </w:r>
      <w:r w:rsidRPr="00E554DE">
        <w:rPr>
          <w:b/>
        </w:rPr>
        <w:t>Vice-Président de la Commission 5</w:t>
      </w:r>
      <w:r w:rsidRPr="00E554DE">
        <w:t xml:space="preserve"> présente le septième rapport de la Commission 5 à la plénière, qui figure dans le Document 496. Il est proposé que les textes suivants concernant le point 9.2 de l'ordre du jour soient approuvés et figurent dans le procès-verbal de la plénière:</w:t>
      </w:r>
    </w:p>
    <w:p w14:paraId="29B2BCFB" w14:textId="77777777" w:rsidR="00FC1349" w:rsidRPr="00E554DE" w:rsidRDefault="00FC1349" w:rsidP="00906541">
      <w:pPr>
        <w:pStyle w:val="Headingi"/>
        <w:rPr>
          <w:rFonts w:eastAsia="Times New Roman"/>
          <w:b/>
          <w:bCs/>
          <w:iCs/>
        </w:rPr>
      </w:pPr>
      <w:r w:rsidRPr="00E554DE">
        <w:rPr>
          <w:rFonts w:eastAsia="Times New Roman"/>
          <w:b/>
          <w:bCs/>
          <w:iCs/>
        </w:rPr>
        <w:t>Retards pris dans l'application des procédures d'assistance au titre des Appendices 30/30A ou de l'Appendice 30B en raison des difficultés de communication avec certaines administrations</w:t>
      </w:r>
    </w:p>
    <w:p w14:paraId="4908AC52" w14:textId="3060A392" w:rsidR="00FC1349" w:rsidRPr="00E554DE" w:rsidRDefault="00FC1349" w:rsidP="00906541">
      <w:r w:rsidRPr="00E554DE">
        <w:t>«La CMR-23 charge le Bureau de suivre la même procédure que celle adoptée par la CMR-23 pour traiter la Question H du point 7 de l'ordre du jour, en ce qui concerne les administrations qui ne sont pas «officiellement joignables» visées au paragraphe 3.2.4.2 de l'Addendum 2 du Document 4 (Partie</w:t>
      </w:r>
      <w:r w:rsidR="00EC0760" w:rsidRPr="00E554DE">
        <w:t> </w:t>
      </w:r>
      <w:r w:rsidRPr="00E554DE">
        <w:t>II du rapport du Directeur à la CMR-23).»</w:t>
      </w:r>
    </w:p>
    <w:p w14:paraId="6CC79609" w14:textId="231A7A87" w:rsidR="00FC1349" w:rsidRPr="00E554DE" w:rsidRDefault="00FC1349" w:rsidP="00906541">
      <w:r w:rsidRPr="00E554DE">
        <w:t>«En ce qui concerne les administrations dont certaines assignations figurant dans les Plans des Appendices</w:t>
      </w:r>
      <w:r w:rsidR="00EC0760" w:rsidRPr="00E554DE">
        <w:t> </w:t>
      </w:r>
      <w:r w:rsidRPr="00E554DE">
        <w:rPr>
          <w:b/>
          <w:bCs/>
        </w:rPr>
        <w:t>30</w:t>
      </w:r>
      <w:r w:rsidRPr="00E554DE">
        <w:t xml:space="preserve"> et </w:t>
      </w:r>
      <w:r w:rsidRPr="00E554DE">
        <w:rPr>
          <w:b/>
          <w:bCs/>
        </w:rPr>
        <w:t>30A</w:t>
      </w:r>
      <w:r w:rsidRPr="00E554DE">
        <w:t xml:space="preserve"> ou certains allotissements figurant dans le Plan de l'Appendice </w:t>
      </w:r>
      <w:r w:rsidRPr="00E554DE">
        <w:rPr>
          <w:b/>
          <w:bCs/>
        </w:rPr>
        <w:t>30B</w:t>
      </w:r>
      <w:r w:rsidRPr="00E554DE">
        <w:t xml:space="preserve"> sont affectés et qui n'ont pas répondu au second rappel du Bureau prévu au § 4.1.10c des Appendices </w:t>
      </w:r>
      <w:r w:rsidRPr="00E554DE">
        <w:rPr>
          <w:b/>
          <w:bCs/>
        </w:rPr>
        <w:t>30</w:t>
      </w:r>
      <w:r w:rsidRPr="00E554DE">
        <w:t xml:space="preserve"> et</w:t>
      </w:r>
      <w:r w:rsidR="00EC0760" w:rsidRPr="00E554DE">
        <w:t> </w:t>
      </w:r>
      <w:r w:rsidRPr="00E554DE">
        <w:rPr>
          <w:b/>
          <w:bCs/>
        </w:rPr>
        <w:t>30A</w:t>
      </w:r>
      <w:r w:rsidRPr="00E554DE">
        <w:t xml:space="preserve"> ou dans le § 6.14</w:t>
      </w:r>
      <w:r w:rsidRPr="00E554DE">
        <w:rPr>
          <w:i/>
          <w:iCs/>
        </w:rPr>
        <w:t>bis</w:t>
      </w:r>
      <w:r w:rsidRPr="00E554DE">
        <w:t xml:space="preserve"> de l'Appendice </w:t>
      </w:r>
      <w:r w:rsidRPr="00E554DE">
        <w:rPr>
          <w:b/>
          <w:bCs/>
        </w:rPr>
        <w:t>30B</w:t>
      </w:r>
      <w:r w:rsidRPr="00E554DE">
        <w:t xml:space="preserve">, selon le cas, la CMR-23 exhorte les administrations notificatrices de soumissions au titre de la Partie B, avec l'assistance du Bureau, à faire tout ce qui est en leur pouvoir pour éviter toute dégradation de la situation de référence des assignations/allotissements concernés figurant dans les Plans des Appendices </w:t>
      </w:r>
      <w:r w:rsidRPr="00E554DE">
        <w:rPr>
          <w:b/>
          <w:bCs/>
        </w:rPr>
        <w:t>30</w:t>
      </w:r>
      <w:r w:rsidRPr="00E554DE">
        <w:t xml:space="preserve"> et </w:t>
      </w:r>
      <w:r w:rsidRPr="00E554DE">
        <w:rPr>
          <w:b/>
          <w:bCs/>
        </w:rPr>
        <w:t>30A</w:t>
      </w:r>
      <w:r w:rsidRPr="00E554DE">
        <w:t xml:space="preserve"> et dans le Plan de l'Appendice </w:t>
      </w:r>
      <w:r w:rsidRPr="00E554DE">
        <w:rPr>
          <w:b/>
          <w:bCs/>
        </w:rPr>
        <w:t>30B</w:t>
      </w:r>
      <w:r w:rsidRPr="00E554DE">
        <w:t>, en modifiant les caractéristiques techniques au stade de la publication dans la Partie B.»</w:t>
      </w:r>
    </w:p>
    <w:p w14:paraId="3FD3C5B7" w14:textId="77777777" w:rsidR="00FC1349" w:rsidRPr="00E554DE" w:rsidRDefault="00FC1349" w:rsidP="00906541">
      <w:pPr>
        <w:pStyle w:val="Headingi"/>
        <w:rPr>
          <w:rFonts w:eastAsia="Times New Roman"/>
          <w:b/>
          <w:bCs/>
          <w:iCs/>
        </w:rPr>
      </w:pPr>
      <w:r w:rsidRPr="00E554DE">
        <w:rPr>
          <w:rFonts w:eastAsia="Times New Roman"/>
          <w:b/>
          <w:bCs/>
          <w:iCs/>
        </w:rPr>
        <w:lastRenderedPageBreak/>
        <w:t>Question 7F et Résolution 170 (CMR-19) concernant la création d'une zone minimale de couverture</w:t>
      </w:r>
    </w:p>
    <w:p w14:paraId="3A54CD6E" w14:textId="7CA5B035" w:rsidR="00FC1349" w:rsidRPr="00E554DE" w:rsidRDefault="00FC1349" w:rsidP="00906541">
      <w:r w:rsidRPr="00E554DE">
        <w:t>«La CMR-23 charge également le Bureau d'aligner la Règle de procédure relative à la Résolution </w:t>
      </w:r>
      <w:r w:rsidRPr="00E554DE">
        <w:rPr>
          <w:b/>
          <w:bCs/>
        </w:rPr>
        <w:t>170 (CMR-19)</w:t>
      </w:r>
      <w:r w:rsidRPr="00E554DE">
        <w:t xml:space="preserve"> sur les décisions pertinentes de la Conférence concernant les modifications des Appendices </w:t>
      </w:r>
      <w:r w:rsidRPr="00E554DE">
        <w:rPr>
          <w:b/>
          <w:bCs/>
        </w:rPr>
        <w:t>30A</w:t>
      </w:r>
      <w:r w:rsidRPr="00E554DE">
        <w:t xml:space="preserve"> et </w:t>
      </w:r>
      <w:r w:rsidRPr="00E554DE">
        <w:rPr>
          <w:b/>
          <w:bCs/>
        </w:rPr>
        <w:t>30B</w:t>
      </w:r>
      <w:r w:rsidRPr="00E554DE">
        <w:t xml:space="preserve"> adoptées pour traiter le point 7 de l'ordre du jour, Question</w:t>
      </w:r>
      <w:r w:rsidR="00EC0760" w:rsidRPr="00E554DE">
        <w:t> </w:t>
      </w:r>
      <w:r w:rsidRPr="00E554DE">
        <w:t>F.»</w:t>
      </w:r>
    </w:p>
    <w:p w14:paraId="6259C788" w14:textId="77777777" w:rsidR="00FC1349" w:rsidRPr="00E554DE" w:rsidRDefault="00FC1349" w:rsidP="00906541">
      <w:pPr>
        <w:pStyle w:val="Headingi"/>
        <w:rPr>
          <w:rFonts w:eastAsia="Times New Roman"/>
          <w:b/>
          <w:bCs/>
          <w:iCs/>
        </w:rPr>
      </w:pPr>
      <w:r w:rsidRPr="00E554DE">
        <w:rPr>
          <w:rFonts w:eastAsia="Times New Roman"/>
          <w:b/>
          <w:bCs/>
          <w:iCs/>
        </w:rPr>
        <w:t>Mise en œuvre des modifications apportées aux Appendices 30A et 30B concernant la Question 7F</w:t>
      </w:r>
    </w:p>
    <w:p w14:paraId="29488CB1" w14:textId="0859880A" w:rsidR="00FC1349" w:rsidRPr="00E554DE" w:rsidRDefault="00FC1349" w:rsidP="00906541">
      <w:r w:rsidRPr="00E554DE">
        <w:t>«La CMR-23 charge le Bureau, lorsqu'il reçoit une demande d'assistance de la part d'administrations notificatrices de systèmes nationaux ou régionaux concernant la coordination des fréquences avec les administrations affectées:</w:t>
      </w:r>
    </w:p>
    <w:p w14:paraId="5F4A256F" w14:textId="77777777" w:rsidR="00FC1349" w:rsidRPr="00E554DE" w:rsidRDefault="00FC1349" w:rsidP="00906541">
      <w:pPr>
        <w:pStyle w:val="enumlev1"/>
      </w:pPr>
      <w:r w:rsidRPr="00E554DE">
        <w:t>–</w:t>
      </w:r>
      <w:r w:rsidRPr="00E554DE">
        <w:tab/>
        <w:t>de les aider à élaborer les documents nécessaires, notamment en ce qui concerne le calcul des rapports</w:t>
      </w:r>
      <w:r w:rsidRPr="00E554DE">
        <w:rPr>
          <w:i/>
          <w:iCs/>
        </w:rPr>
        <w:t xml:space="preserve"> C</w:t>
      </w:r>
      <w:r w:rsidRPr="00E554DE">
        <w:t>/</w:t>
      </w:r>
      <w:r w:rsidRPr="00E554DE">
        <w:rPr>
          <w:i/>
          <w:iCs/>
        </w:rPr>
        <w:t>I</w:t>
      </w:r>
      <w:r w:rsidRPr="00E554DE">
        <w:t>, l'analyse des brouillages et le calcul des bilans de liaison;</w:t>
      </w:r>
    </w:p>
    <w:p w14:paraId="3A8B09F0" w14:textId="77777777" w:rsidR="00FC1349" w:rsidRPr="00E554DE" w:rsidRDefault="00FC1349" w:rsidP="00906541">
      <w:pPr>
        <w:pStyle w:val="enumlev1"/>
      </w:pPr>
      <w:r w:rsidRPr="00E554DE">
        <w:t>–</w:t>
      </w:r>
      <w:r w:rsidRPr="00E554DE">
        <w:tab/>
        <w:t>de participer à ces réunions de coordination afin d'apporter un appui et de faciliter les discussions/négociations à caractère technique.»</w:t>
      </w:r>
    </w:p>
    <w:p w14:paraId="03090446" w14:textId="77777777" w:rsidR="00FC1349" w:rsidRPr="00E554DE" w:rsidRDefault="00FC1349" w:rsidP="00906541">
      <w:r w:rsidRPr="00E554DE">
        <w:t>15.2</w:t>
      </w:r>
      <w:r w:rsidRPr="00E554DE">
        <w:tab/>
        <w:t xml:space="preserve">Il en est ainsi </w:t>
      </w:r>
      <w:r w:rsidRPr="00E554DE">
        <w:rPr>
          <w:b/>
        </w:rPr>
        <w:t>décidé</w:t>
      </w:r>
      <w:r w:rsidRPr="00E554DE">
        <w:t xml:space="preserve">, et le Document 496 est </w:t>
      </w:r>
      <w:r w:rsidRPr="00E554DE">
        <w:rPr>
          <w:b/>
        </w:rPr>
        <w:t>approuvé</w:t>
      </w:r>
      <w:r w:rsidRPr="00E554DE">
        <w:t>.</w:t>
      </w:r>
    </w:p>
    <w:p w14:paraId="0BF59ADE" w14:textId="77777777" w:rsidR="00FC1349" w:rsidRPr="00E554DE" w:rsidRDefault="00FC1349" w:rsidP="00906541">
      <w:pPr>
        <w:pStyle w:val="Heading1"/>
      </w:pPr>
      <w:r w:rsidRPr="00E554DE">
        <w:t>16</w:t>
      </w:r>
      <w:r w:rsidRPr="00E554DE">
        <w:tab/>
        <w:t>Cinquante-deuxième série de textes soumis par la Commission de rédaction en première lecture (B52) (Document 508)</w:t>
      </w:r>
    </w:p>
    <w:p w14:paraId="6842FB48" w14:textId="77777777" w:rsidR="00FC1349" w:rsidRPr="00E554DE" w:rsidRDefault="00FC1349" w:rsidP="00906541">
      <w:r w:rsidRPr="00E554DE">
        <w:t>16.1</w:t>
      </w:r>
      <w:r w:rsidRPr="00E554DE">
        <w:tab/>
        <w:t xml:space="preserve">Le </w:t>
      </w:r>
      <w:r w:rsidRPr="00E554DE">
        <w:rPr>
          <w:b/>
        </w:rPr>
        <w:t>Président de la Commission de rédaction</w:t>
      </w:r>
      <w:r w:rsidRPr="00E554DE">
        <w:t xml:space="preserve"> présente le Document 508, qui rassemble toutes les propositions relatives à l'Appendice 4, conformément à l'approche convenue lors de la cinquième séance plénière.</w:t>
      </w:r>
    </w:p>
    <w:p w14:paraId="6CAEF8AC" w14:textId="77777777" w:rsidR="00FC1349" w:rsidRPr="00E554DE" w:rsidRDefault="00FC1349" w:rsidP="00906541">
      <w:r w:rsidRPr="00E554DE">
        <w:t>16.2</w:t>
      </w:r>
      <w:r w:rsidRPr="00E554DE">
        <w:tab/>
        <w:t xml:space="preserve">Le </w:t>
      </w:r>
      <w:r w:rsidRPr="00E554DE">
        <w:rPr>
          <w:b/>
        </w:rPr>
        <w:t>Président</w:t>
      </w:r>
      <w:r w:rsidRPr="00E554DE">
        <w:t xml:space="preserve"> invite les participants à examiner le Document 508.</w:t>
      </w:r>
    </w:p>
    <w:p w14:paraId="0F86D540" w14:textId="77777777" w:rsidR="00FC1349" w:rsidRPr="00E554DE" w:rsidRDefault="00FC1349" w:rsidP="00906541">
      <w:pPr>
        <w:rPr>
          <w:b/>
          <w:bCs/>
        </w:rPr>
      </w:pPr>
      <w:bookmarkStart w:id="19" w:name="lt_pId663"/>
      <w:r w:rsidRPr="00E554DE">
        <w:rPr>
          <w:b/>
          <w:bCs/>
        </w:rPr>
        <w:t>Appendice 4 (MOD Tableau A, MOD Tableau B, MOD Tableau C, MOD Tableau D)</w:t>
      </w:r>
      <w:bookmarkEnd w:id="19"/>
    </w:p>
    <w:p w14:paraId="42AFA7FB" w14:textId="77777777" w:rsidR="00FC1349" w:rsidRPr="00E554DE" w:rsidRDefault="00FC1349" w:rsidP="00906541">
      <w:r w:rsidRPr="00E554DE">
        <w:t>16.3</w:t>
      </w:r>
      <w:r w:rsidRPr="00E554DE">
        <w:tab/>
      </w:r>
      <w:r w:rsidRPr="00E554DE">
        <w:rPr>
          <w:b/>
          <w:bCs/>
        </w:rPr>
        <w:t>Approuvés</w:t>
      </w:r>
      <w:r w:rsidRPr="00E554DE">
        <w:t>.</w:t>
      </w:r>
    </w:p>
    <w:p w14:paraId="67CC16B5" w14:textId="77777777" w:rsidR="00FC1349" w:rsidRPr="00E554DE" w:rsidRDefault="00FC1349" w:rsidP="00906541">
      <w:r w:rsidRPr="00E554DE">
        <w:t>16.4</w:t>
      </w:r>
      <w:r w:rsidRPr="00E554DE">
        <w:tab/>
        <w:t xml:space="preserve">La cinquante-deuxième série de textes soumis par la Commission de rédaction en première lecture (B52) (Document 508) est </w:t>
      </w:r>
      <w:r w:rsidRPr="00E554DE">
        <w:rPr>
          <w:b/>
          <w:bCs/>
        </w:rPr>
        <w:t>approuvée</w:t>
      </w:r>
      <w:r w:rsidRPr="00E554DE">
        <w:t>.</w:t>
      </w:r>
    </w:p>
    <w:p w14:paraId="1B900562" w14:textId="77777777" w:rsidR="00FC1349" w:rsidRPr="00E554DE" w:rsidRDefault="00FC1349" w:rsidP="00906541">
      <w:pPr>
        <w:pStyle w:val="Heading1"/>
      </w:pPr>
      <w:r w:rsidRPr="00E554DE">
        <w:t>17</w:t>
      </w:r>
      <w:r w:rsidRPr="00E554DE">
        <w:tab/>
        <w:t>Cinquante-deuxième série de textes soumis par la Commission de rédaction (B52) – deuxième lecture (Document 508)</w:t>
      </w:r>
    </w:p>
    <w:p w14:paraId="7F2B3C17" w14:textId="77777777" w:rsidR="00FC1349" w:rsidRPr="00E554DE" w:rsidRDefault="00FC1349" w:rsidP="00906541">
      <w:r w:rsidRPr="00E554DE">
        <w:t>17.1</w:t>
      </w:r>
      <w:r w:rsidRPr="00E554DE">
        <w:tab/>
        <w:t xml:space="preserve">La cinquante-deuxième série de textes soumis par la Commission de rédaction (B52) (Document 508) est </w:t>
      </w:r>
      <w:r w:rsidRPr="00E554DE">
        <w:rPr>
          <w:b/>
          <w:bCs/>
        </w:rPr>
        <w:t>approuvée</w:t>
      </w:r>
      <w:r w:rsidRPr="00E554DE">
        <w:t xml:space="preserve"> en deuxième lecture.</w:t>
      </w:r>
    </w:p>
    <w:p w14:paraId="38AD471A" w14:textId="088284DE" w:rsidR="00FC1349" w:rsidRPr="00E554DE" w:rsidRDefault="00FC1349" w:rsidP="00906541">
      <w:pPr>
        <w:pStyle w:val="Heading1"/>
      </w:pPr>
      <w:r w:rsidRPr="00E554DE">
        <w:t>18</w:t>
      </w:r>
      <w:r w:rsidRPr="00E554DE">
        <w:tab/>
        <w:t>Note du groupe ad hoc de la Commission 4 à la plénière (Document</w:t>
      </w:r>
      <w:r w:rsidR="006E7F41" w:rsidRPr="00E554DE">
        <w:t> </w:t>
      </w:r>
      <w:r w:rsidRPr="00E554DE">
        <w:t>516(Rév.1))</w:t>
      </w:r>
    </w:p>
    <w:p w14:paraId="6A8D76F3" w14:textId="122FDB7E" w:rsidR="00FC1349" w:rsidRPr="00E554DE" w:rsidRDefault="00FC1349" w:rsidP="00906541">
      <w:r w:rsidRPr="00E554DE">
        <w:t>18.1</w:t>
      </w:r>
      <w:r w:rsidRPr="00E554DE">
        <w:tab/>
        <w:t xml:space="preserve">Le </w:t>
      </w:r>
      <w:r w:rsidRPr="00E554DE">
        <w:rPr>
          <w:b/>
        </w:rPr>
        <w:t>Président de la Commission 4</w:t>
      </w:r>
      <w:r w:rsidRPr="00E554DE">
        <w:t xml:space="preserve"> présente le Document 516(Rév.1), qui contient une note à la plénière sur le texte concernant le point 1.5 de l'ordre du jour. La première version du Document 516 était fondée sur les résultats des consultations informelles tenues entre les parties concernées la veille au soir. Les parties se sont réunies une nouvelle fois dans la matinée pour résoudre les questions en suspens; les résultats de ces discussions sont pris en compte dans le Document 516(Rév.1), qui constitue un document propre sans crochets. Le Document 516(Rév.1) contient plusieurs renvois pour différentes gammes de fréquences et conditions d'exploitation, ainsi qu'une proposition de nouveau point à inscrire à l'ordre du jour de la CMR-31 et des propositions de modification de la Résolution 235 (CMR-15) associée.</w:t>
      </w:r>
    </w:p>
    <w:p w14:paraId="5019458F" w14:textId="77777777" w:rsidR="00FC1349" w:rsidRPr="00E554DE" w:rsidRDefault="00FC1349" w:rsidP="00906541">
      <w:r w:rsidRPr="00E554DE">
        <w:lastRenderedPageBreak/>
        <w:t>18.2</w:t>
      </w:r>
      <w:r w:rsidRPr="00E554DE">
        <w:tab/>
        <w:t xml:space="preserve">Le </w:t>
      </w:r>
      <w:r w:rsidRPr="00E554DE">
        <w:rPr>
          <w:b/>
        </w:rPr>
        <w:t>Président</w:t>
      </w:r>
      <w:r w:rsidRPr="00E554DE">
        <w:t xml:space="preserve"> invite les participants à examiner le Document 516(Rév.1).</w:t>
      </w:r>
    </w:p>
    <w:p w14:paraId="748E4D65" w14:textId="32AFFC63" w:rsidR="00FC1349" w:rsidRPr="00E554DE" w:rsidRDefault="00FC1349" w:rsidP="00906541">
      <w:r w:rsidRPr="00E554DE">
        <w:t>18.3</w:t>
      </w:r>
      <w:r w:rsidRPr="00E554DE">
        <w:tab/>
        <w:t xml:space="preserve">Le </w:t>
      </w:r>
      <w:r w:rsidRPr="00E554DE">
        <w:rPr>
          <w:b/>
        </w:rPr>
        <w:t>délégué de l'Italie</w:t>
      </w:r>
      <w:r w:rsidRPr="00E554DE">
        <w:t xml:space="preserve"> indique que le nom de son pays a été supprimé du numéro</w:t>
      </w:r>
      <w:r w:rsidR="006E7F41" w:rsidRPr="00E554DE">
        <w:t> </w:t>
      </w:r>
      <w:r w:rsidRPr="00E554DE">
        <w:rPr>
          <w:rFonts w:asciiTheme="majorBidi" w:hAnsiTheme="majorBidi" w:cstheme="majorBidi"/>
        </w:rPr>
        <w:t>ADD</w:t>
      </w:r>
      <w:r w:rsidR="006E7F41" w:rsidRPr="00E554DE">
        <w:rPr>
          <w:rFonts w:asciiTheme="majorBidi" w:hAnsiTheme="majorBidi" w:cstheme="majorBidi"/>
        </w:rPr>
        <w:t> </w:t>
      </w:r>
      <w:r w:rsidRPr="00E554DE">
        <w:rPr>
          <w:rFonts w:asciiTheme="majorBidi" w:hAnsiTheme="majorBidi" w:cstheme="majorBidi"/>
        </w:rPr>
        <w:t>5.15A sans son accord. Néanmoins, même si le nouveau renvoi proposé prévoit déjà toutes les garanties nécessaires contre les brouillages préjudiciables, afin de tenir compte de</w:t>
      </w:r>
      <w:r w:rsidR="00E554DE" w:rsidRPr="00E554DE">
        <w:rPr>
          <w:rFonts w:asciiTheme="majorBidi" w:hAnsiTheme="majorBidi" w:cstheme="majorBidi"/>
        </w:rPr>
        <w:t xml:space="preserve"> </w:t>
      </w:r>
      <w:r w:rsidRPr="00E554DE">
        <w:rPr>
          <w:rFonts w:asciiTheme="majorBidi" w:hAnsiTheme="majorBidi" w:cstheme="majorBidi"/>
        </w:rPr>
        <w:t>l'indication donnée précédemment par le Président, sa délégation est disposée à examiner cette question plus avant avec les autres parties en vue de régler les problèmes susceptibles de se poser pendant le prochain cycle d'études et de permettre l'inclusion du nom de son pays dans le renvoi proposé lors de la prochaine conférence.</w:t>
      </w:r>
    </w:p>
    <w:p w14:paraId="123C22B7" w14:textId="77777777" w:rsidR="00FC1349" w:rsidRPr="00E554DE" w:rsidRDefault="00FC1349" w:rsidP="00906541">
      <w:r w:rsidRPr="00E554DE">
        <w:t>18.4</w:t>
      </w:r>
      <w:r w:rsidRPr="00E554DE">
        <w:tab/>
        <w:t xml:space="preserve">Le </w:t>
      </w:r>
      <w:r w:rsidRPr="00E554DE">
        <w:rPr>
          <w:b/>
        </w:rPr>
        <w:t>délégué de l'Espagne</w:t>
      </w:r>
      <w:r w:rsidRPr="00E554DE">
        <w:t xml:space="preserve"> déclare que le nom de son pays n'a pas été inscrit dans le numéro ADD 5.15A, contrairement à ce qu'il souhaitait, et sans justification, compte tenu des mesures de protection prévues dans le nouveau renvoi proposé. Si le nom de son pays ne peut être inscrit dans le numéro ADD 5.15A, sa délégation étudiera cette question avec les pays concernés en vue de garantir son inscription dans ce renvoi lors de la prochaine conférence.</w:t>
      </w:r>
    </w:p>
    <w:p w14:paraId="280C863F" w14:textId="0F3359F3" w:rsidR="00FC1349" w:rsidRPr="00E554DE" w:rsidRDefault="00FC1349" w:rsidP="00906541">
      <w:r w:rsidRPr="00E554DE">
        <w:t>18.5</w:t>
      </w:r>
      <w:r w:rsidRPr="00E554DE">
        <w:tab/>
        <w:t xml:space="preserve">Après que le </w:t>
      </w:r>
      <w:r w:rsidRPr="00E554DE">
        <w:rPr>
          <w:b/>
        </w:rPr>
        <w:t>délégué de la République islamique d'Iran</w:t>
      </w:r>
      <w:r w:rsidRPr="00E554DE">
        <w:t xml:space="preserve"> a proposé de remplacer, dans le numéro ADD 5.15B, le membre de phrase </w:t>
      </w:r>
      <w:r w:rsidR="006E7F41" w:rsidRPr="00E554DE">
        <w:t>«</w:t>
      </w:r>
      <w:r w:rsidRPr="00E554DE">
        <w:t>fonctionnant conformément</w:t>
      </w:r>
      <w:r w:rsidR="006E7F41" w:rsidRPr="00E554DE">
        <w:t>»</w:t>
      </w:r>
      <w:r w:rsidRPr="00E554DE">
        <w:t xml:space="preserve"> par </w:t>
      </w:r>
      <w:r w:rsidR="006E7F41" w:rsidRPr="00E554DE">
        <w:t>«</w:t>
      </w:r>
      <w:r w:rsidRPr="00E554DE">
        <w:t>qui sont conformes</w:t>
      </w:r>
      <w:r w:rsidR="006E7F41" w:rsidRPr="00E554DE">
        <w:t>»</w:t>
      </w:r>
      <w:r w:rsidRPr="00E554DE">
        <w:t xml:space="preserve">, étant donné qu'il est fait référence à des stations futures, le </w:t>
      </w:r>
      <w:r w:rsidRPr="00E554DE">
        <w:rPr>
          <w:b/>
          <w:bCs/>
        </w:rPr>
        <w:t>Président</w:t>
      </w:r>
      <w:r w:rsidRPr="00E554DE">
        <w:t xml:space="preserve"> exhorte les participants à ne pas s'attarder sur des améliorations d'ordre rédactionnel ou examiner l'inclusion de noms de pays dans des renvois en plénière, puisque ces questions nécessiteront une coordination supplémentaire. Il encourage les participants à convenir de transmettre le Document 516(Rév.1) à la Commission 7 tel quel.</w:t>
      </w:r>
    </w:p>
    <w:p w14:paraId="0386E878" w14:textId="56DD219A" w:rsidR="00FC1349" w:rsidRPr="00E554DE" w:rsidRDefault="00FC1349" w:rsidP="00906541">
      <w:r w:rsidRPr="00E554DE">
        <w:t>18.6</w:t>
      </w:r>
      <w:r w:rsidRPr="00E554DE">
        <w:tab/>
        <w:t xml:space="preserve">Le </w:t>
      </w:r>
      <w:r w:rsidRPr="00E554DE">
        <w:rPr>
          <w:b/>
        </w:rPr>
        <w:t>délégué de la Türkiye</w:t>
      </w:r>
      <w:r w:rsidRPr="00E554DE">
        <w:t xml:space="preserve"> indique que le nom de son pays a été supprimé du numéro</w:t>
      </w:r>
      <w:r w:rsidR="006E7F41" w:rsidRPr="00E554DE">
        <w:t> </w:t>
      </w:r>
      <w:r w:rsidRPr="00E554DE">
        <w:t>ADD 5.15A contre sa volonté. La Türkiye souhaite que la bande de fréquences 470</w:t>
      </w:r>
      <w:r w:rsidR="006E7F41" w:rsidRPr="00E554DE">
        <w:noBreakHyphen/>
      </w:r>
      <w:r w:rsidRPr="00E554DE">
        <w:t>614 MHz soit attribuée au service mobile à titre secondaire sur son territoire, et que la bande de fréquences 614-694 MHz soit attribuée à titre primaire, comme c'est le cas dans les pays voisins de la Türkiye.</w:t>
      </w:r>
    </w:p>
    <w:p w14:paraId="6991054E" w14:textId="513DC8CA" w:rsidR="00FC1349" w:rsidRPr="00E554DE" w:rsidRDefault="00FC1349" w:rsidP="00906541">
      <w:r w:rsidRPr="00E554DE">
        <w:t>18.7</w:t>
      </w:r>
      <w:r w:rsidRPr="00E554DE">
        <w:tab/>
        <w:t xml:space="preserve">Le </w:t>
      </w:r>
      <w:r w:rsidRPr="00E554DE">
        <w:rPr>
          <w:b/>
        </w:rPr>
        <w:t>délégué de la Libye</w:t>
      </w:r>
      <w:r w:rsidRPr="00E554DE">
        <w:t xml:space="preserve"> affirme que le nom de son pays a été supprimé du numéro</w:t>
      </w:r>
      <w:r w:rsidR="006E7F41" w:rsidRPr="00E554DE">
        <w:t> </w:t>
      </w:r>
      <w:r w:rsidRPr="00E554DE">
        <w:t>ADD 5.15B sans que sa délégation ait été consultée. Bien que la Libye se soit coordonnée avec les représentants des pays voisins, certains pays africains se sont opposés à son inclusion dans le nouveau renvoi proposé. Son pays se réserve le droit d'utiliser la bande de fréquences 614</w:t>
      </w:r>
      <w:r w:rsidR="006E7F41" w:rsidRPr="00E554DE">
        <w:noBreakHyphen/>
      </w:r>
      <w:r w:rsidRPr="00E554DE">
        <w:t>694 MHz à titre primaire sur son territoire.</w:t>
      </w:r>
    </w:p>
    <w:p w14:paraId="7B8566A3" w14:textId="4A4CBF94" w:rsidR="00FC1349" w:rsidRPr="00E554DE" w:rsidRDefault="00FC1349" w:rsidP="00906541">
      <w:r w:rsidRPr="00E554DE">
        <w:t>18.8</w:t>
      </w:r>
      <w:r w:rsidRPr="00E554DE">
        <w:tab/>
        <w:t xml:space="preserve">Le </w:t>
      </w:r>
      <w:r w:rsidRPr="00E554DE">
        <w:rPr>
          <w:b/>
        </w:rPr>
        <w:t>Président</w:t>
      </w:r>
      <w:r w:rsidRPr="00E554DE">
        <w:t xml:space="preserve"> rappelle que la plénière n'est pas en mesure de discuter de l'inscription de noms de pays dans les renvois à ce stade</w:t>
      </w:r>
      <w:r w:rsidR="006E7F41" w:rsidRPr="00E554DE">
        <w:t xml:space="preserve"> </w:t>
      </w:r>
      <w:r w:rsidRPr="00E554DE">
        <w:t>avancé de la Conférence. Il encourage toutes les administrations concernées à soulever de nouveau la question lors de la prochaine conférence.</w:t>
      </w:r>
    </w:p>
    <w:p w14:paraId="47BF6B3C" w14:textId="77777777" w:rsidR="00FC1349" w:rsidRPr="00E554DE" w:rsidRDefault="00FC1349" w:rsidP="00906541">
      <w:r w:rsidRPr="00E554DE">
        <w:t>18.9</w:t>
      </w:r>
      <w:r w:rsidRPr="00E554DE">
        <w:tab/>
        <w:t xml:space="preserve">Le </w:t>
      </w:r>
      <w:r w:rsidRPr="00E554DE">
        <w:rPr>
          <w:b/>
        </w:rPr>
        <w:t>délégué de la Türkiye</w:t>
      </w:r>
      <w:r w:rsidRPr="00E554DE">
        <w:t xml:space="preserve"> fait remarquer que, étant donné que sa délégation n'a pas pris part aux réunions informelles lors desquelles il a été décidé de supprimer le nom de son pays du numéro ADD 5.15A, cette décision n'est pas conforme à l'esprit de la Convention de l'UIT. Le nom de la Türkiye devrait être réintégré dans la proposition de renvoi concernant l'attribution à titre secondaire. À défaut, son pays souhaite que son nom soit ajouté dans la proposition de renvoi concernant l'attribution à titre primaire. Son pays a le droit d'obtenir l'inclusion de son nom dans un nouveau renvoi élaboré lors de la présente Conférence, afin que ses préoccupations concernant la compatibilité avec les pays voisins soient prises en compte.</w:t>
      </w:r>
    </w:p>
    <w:p w14:paraId="1581A58E" w14:textId="2BAADCC8" w:rsidR="00FC1349" w:rsidRPr="00E554DE" w:rsidRDefault="00FC1349" w:rsidP="00906541">
      <w:r w:rsidRPr="00E554DE">
        <w:t>18.10</w:t>
      </w:r>
      <w:r w:rsidRPr="00E554DE">
        <w:tab/>
        <w:t xml:space="preserve">En réponse à une demande d'éclaircissements formulée par le </w:t>
      </w:r>
      <w:r w:rsidRPr="00E554DE">
        <w:rPr>
          <w:b/>
        </w:rPr>
        <w:t>Président</w:t>
      </w:r>
      <w:r w:rsidRPr="00E554DE">
        <w:t xml:space="preserve">, le </w:t>
      </w:r>
      <w:r w:rsidRPr="00E554DE">
        <w:rPr>
          <w:b/>
        </w:rPr>
        <w:t>délégué des Émirats arabes unis</w:t>
      </w:r>
      <w:r w:rsidRPr="00E554DE">
        <w:t xml:space="preserve">, en tant que coordonnateur des discussions informelles, déclare que, lors des réunions informelles sur ce sujet, certains pays se sont opposés à l'inscription du nom de certains pays dans les renvois. Les participants aux réunions informelles ont tenté de trouver des délégués des pays concernés pour discuter de cette question avec eux, en vain. Bien que l'orateur compatisse avec ces pays, il explique que les propositions de nouveau renvoi figurant dans le </w:t>
      </w:r>
      <w:r w:rsidRPr="00E554DE">
        <w:lastRenderedPageBreak/>
        <w:t>Document</w:t>
      </w:r>
      <w:r w:rsidR="006E7F41" w:rsidRPr="00E554DE">
        <w:t> </w:t>
      </w:r>
      <w:r w:rsidRPr="00E554DE">
        <w:t>516(Rév.1) constituent un compromis délicat. Il rappelle aux pays concernés qu'ils peuvent formuler des réserves et les encourage à procéder de la même façon que l'Italie et l'Espagne.</w:t>
      </w:r>
    </w:p>
    <w:p w14:paraId="29B8FA60" w14:textId="08F9C29F" w:rsidR="00FC1349" w:rsidRPr="00E554DE" w:rsidRDefault="00FC1349" w:rsidP="00906541">
      <w:r w:rsidRPr="00E554DE">
        <w:t>18.11</w:t>
      </w:r>
      <w:r w:rsidRPr="00E554DE">
        <w:tab/>
        <w:t xml:space="preserve">Le </w:t>
      </w:r>
      <w:r w:rsidRPr="00E554DE">
        <w:rPr>
          <w:b/>
        </w:rPr>
        <w:t>délégué de la Türkiye</w:t>
      </w:r>
      <w:r w:rsidRPr="00E554DE">
        <w:t xml:space="preserve"> répond que sa délégation n'a pas été invitée à participer à la réunion informelle des chefs des groupes régionaux et n'a donc pas pu participer à une réunion lors de laquelle il a été décidé de supprimer le nom de son pays du numéro ADD 5.15A. Il remet en cause le caractère valide d'une réunion à laquelle un pays ne peut pas s'exprimer ou demander que son nom soit ajouté dans une proposition de nouveau renvoi. Dans ce cas, les noms des pays voisins devraient également être supprimés de la proposition de renvoi pour assurer un traitement équitable. La Türkiye se conformera à toutes les conditions techniques ét</w:t>
      </w:r>
      <w:r w:rsidR="00251EDC" w:rsidRPr="00E554DE">
        <w:t>ablies dans le numéro ADD 5.15B</w:t>
      </w:r>
      <w:r w:rsidRPr="00E554DE">
        <w:t xml:space="preserve"> et se tient prête à discuter avec les pays qui se sont opposés à son inclusion et à prendre les engagements nécessaires si l'occasion lui en est donnée.</w:t>
      </w:r>
    </w:p>
    <w:p w14:paraId="3869FAC9" w14:textId="77777777" w:rsidR="00FC1349" w:rsidRPr="00E554DE" w:rsidRDefault="00FC1349" w:rsidP="00906541">
      <w:r w:rsidRPr="00E554DE">
        <w:t>18.12</w:t>
      </w:r>
      <w:r w:rsidRPr="00E554DE">
        <w:tab/>
        <w:t xml:space="preserve">À la demande du </w:t>
      </w:r>
      <w:r w:rsidRPr="00E554DE">
        <w:rPr>
          <w:b/>
        </w:rPr>
        <w:t>Président</w:t>
      </w:r>
      <w:r w:rsidRPr="00E554DE">
        <w:t xml:space="preserve">, le </w:t>
      </w:r>
      <w:r w:rsidRPr="00E554DE">
        <w:rPr>
          <w:b/>
        </w:rPr>
        <w:t>délégué des Émirats arabes unis</w:t>
      </w:r>
      <w:r w:rsidRPr="00E554DE">
        <w:t xml:space="preserve"> s'engage à ce que les discussions se poursuivent de manière informelle afin de revenir à la plénière avec une solution.</w:t>
      </w:r>
    </w:p>
    <w:p w14:paraId="54C6B68D" w14:textId="64B7F377" w:rsidR="00FC1349" w:rsidRPr="00E554DE" w:rsidRDefault="00FC1349" w:rsidP="00906541">
      <w:pPr>
        <w:rPr>
          <w:b/>
          <w:bCs/>
        </w:rPr>
      </w:pPr>
      <w:r w:rsidRPr="00E554DE">
        <w:rPr>
          <w:b/>
          <w:bCs/>
        </w:rPr>
        <w:t>La séance est suspendue à 11 h 50 et reprend à 13 h 50.</w:t>
      </w:r>
    </w:p>
    <w:p w14:paraId="66562EA4" w14:textId="4C05736E" w:rsidR="00FC1349" w:rsidRPr="00E554DE" w:rsidRDefault="00FC1349" w:rsidP="00906541">
      <w:pPr>
        <w:pStyle w:val="Heading1"/>
      </w:pPr>
      <w:r w:rsidRPr="00E554DE">
        <w:t>19</w:t>
      </w:r>
      <w:r w:rsidRPr="00E554DE">
        <w:tab/>
        <w:t>Quarante</w:t>
      </w:r>
      <w:r w:rsidR="00785CCD" w:rsidRPr="00E554DE">
        <w:t xml:space="preserve"> </w:t>
      </w:r>
      <w:r w:rsidRPr="00E554DE">
        <w:t>et</w:t>
      </w:r>
      <w:r w:rsidR="00785CCD" w:rsidRPr="00E554DE">
        <w:t xml:space="preserve"> </w:t>
      </w:r>
      <w:r w:rsidRPr="00E554DE">
        <w:t>unième série de textes soumis par la Commission de rédaction en première lecture (B41) (Document 481)</w:t>
      </w:r>
    </w:p>
    <w:p w14:paraId="1348273E" w14:textId="77777777" w:rsidR="00FC1349" w:rsidRPr="00E554DE" w:rsidRDefault="00FC1349" w:rsidP="00906541">
      <w:r w:rsidRPr="00E554DE">
        <w:t>19.1</w:t>
      </w:r>
      <w:r w:rsidRPr="00E554DE">
        <w:tab/>
        <w:t xml:space="preserve">Le </w:t>
      </w:r>
      <w:r w:rsidRPr="00E554DE">
        <w:rPr>
          <w:b/>
        </w:rPr>
        <w:t>Président de la Commission 7</w:t>
      </w:r>
      <w:r w:rsidRPr="00E554DE">
        <w:t xml:space="preserve"> présente le Document 481, qui contient les modifications qu'il est d'usage d'apporter à l'Article 59 et à la Résolution 99 (Rév.CMR-19), qui portent sur l'entrée en vigueur et l'application provisoire du Règlement des radiocommunications et l'abrogation des résolutions. Les crochets restants dans le document, qui concernent des textes en attente d'approbation, seront supprimés dès que la Conférence aura achevé ses travaux.</w:t>
      </w:r>
    </w:p>
    <w:p w14:paraId="52162AF2" w14:textId="77777777" w:rsidR="00FC1349" w:rsidRPr="00E554DE" w:rsidRDefault="00FC1349" w:rsidP="00906541">
      <w:r w:rsidRPr="00E554DE">
        <w:t>19.2</w:t>
      </w:r>
      <w:r w:rsidRPr="00E554DE">
        <w:tab/>
        <w:t xml:space="preserve">Le </w:t>
      </w:r>
      <w:r w:rsidRPr="00E554DE">
        <w:rPr>
          <w:b/>
        </w:rPr>
        <w:t>Président</w:t>
      </w:r>
      <w:r w:rsidRPr="00E554DE">
        <w:t xml:space="preserve"> invite les participants à examiner le Document 481.</w:t>
      </w:r>
    </w:p>
    <w:p w14:paraId="377A734F" w14:textId="77777777" w:rsidR="00FC1349" w:rsidRPr="00E554DE" w:rsidRDefault="00FC1349" w:rsidP="00906541">
      <w:pPr>
        <w:rPr>
          <w:b/>
          <w:bCs/>
        </w:rPr>
      </w:pPr>
      <w:bookmarkStart w:id="20" w:name="lt_pId725"/>
      <w:r w:rsidRPr="00E554DE">
        <w:rPr>
          <w:b/>
          <w:bCs/>
        </w:rPr>
        <w:t>Article 59 (MOD 5.9.1, ADD 59.17, ADD 59.18); MOD Résolution 99 (Rév.CMR-19)</w:t>
      </w:r>
      <w:bookmarkEnd w:id="20"/>
    </w:p>
    <w:p w14:paraId="6FA67F07" w14:textId="6F30AE49" w:rsidR="00FC1349" w:rsidRPr="00E554DE" w:rsidRDefault="00FC1349" w:rsidP="00906541">
      <w:r w:rsidRPr="00E554DE">
        <w:t>19.3</w:t>
      </w:r>
      <w:r w:rsidRPr="00E554DE">
        <w:tab/>
        <w:t xml:space="preserve">Le </w:t>
      </w:r>
      <w:r w:rsidRPr="00E554DE">
        <w:rPr>
          <w:b/>
        </w:rPr>
        <w:t>délégué des États-Unis</w:t>
      </w:r>
      <w:r w:rsidRPr="00E554DE">
        <w:t xml:space="preserve"> attire l'attention de la plénière sur une erreur relevée dans le </w:t>
      </w:r>
      <w:r w:rsidRPr="00E554DE">
        <w:rPr>
          <w:i/>
        </w:rPr>
        <w:t>décide</w:t>
      </w:r>
      <w:r w:rsidRPr="00E554DE">
        <w:t xml:space="preserve"> du MOD Résolution 99 (Rév.CMR-19): la référence aux </w:t>
      </w:r>
      <w:r w:rsidR="0092796E" w:rsidRPr="00E554DE">
        <w:t>«</w:t>
      </w:r>
      <w:r w:rsidRPr="00E554DE">
        <w:t>bandes de fréquences 1 615,28</w:t>
      </w:r>
      <w:r w:rsidR="0092796E" w:rsidRPr="00E554DE">
        <w:noBreakHyphen/>
      </w:r>
      <w:r w:rsidRPr="00E554DE">
        <w:t>1 621,35 MHz</w:t>
      </w:r>
      <w:r w:rsidR="0092796E" w:rsidRPr="00E554DE">
        <w:t>»</w:t>
      </w:r>
      <w:r w:rsidRPr="00E554DE">
        <w:t xml:space="preserve"> doit être remplacée par </w:t>
      </w:r>
      <w:r w:rsidR="0092796E" w:rsidRPr="00E554DE">
        <w:t>«</w:t>
      </w:r>
      <w:r w:rsidRPr="00E554DE">
        <w:t>bandes de fréquences 1614,4225-1 618,725 MHz ou 1 616,3-1 620,38 MHz</w:t>
      </w:r>
      <w:r w:rsidR="0092796E" w:rsidRPr="00E554DE">
        <w:t>»</w:t>
      </w:r>
      <w:r w:rsidRPr="00E554DE">
        <w:t xml:space="preserve"> à la troisième ligne de l'anglais, comme cela a été fait à la deuxième</w:t>
      </w:r>
      <w:r w:rsidR="0092796E" w:rsidRPr="00E554DE">
        <w:t> </w:t>
      </w:r>
      <w:r w:rsidRPr="00E554DE">
        <w:t xml:space="preserve">ligne. Cette correction est confirmée par le </w:t>
      </w:r>
      <w:r w:rsidRPr="00E554DE">
        <w:rPr>
          <w:b/>
        </w:rPr>
        <w:t>Président de la Commission 4</w:t>
      </w:r>
      <w:r w:rsidRPr="00E554DE">
        <w:t>.</w:t>
      </w:r>
    </w:p>
    <w:p w14:paraId="61642DDF" w14:textId="77777777" w:rsidR="00FC1349" w:rsidRPr="00E554DE" w:rsidRDefault="00FC1349" w:rsidP="00906541">
      <w:r w:rsidRPr="00E554DE">
        <w:t>19.4</w:t>
      </w:r>
      <w:r w:rsidRPr="00E554DE">
        <w:tab/>
        <w:t xml:space="preserve">Il en est ainsi </w:t>
      </w:r>
      <w:r w:rsidRPr="00E554DE">
        <w:rPr>
          <w:b/>
          <w:bCs/>
        </w:rPr>
        <w:t>décidé</w:t>
      </w:r>
      <w:r w:rsidRPr="00E554DE">
        <w:t>.</w:t>
      </w:r>
    </w:p>
    <w:p w14:paraId="5B40A771" w14:textId="799E49D0" w:rsidR="00FC1349" w:rsidRPr="00E554DE" w:rsidRDefault="00FC1349" w:rsidP="00906541">
      <w:r w:rsidRPr="00E554DE">
        <w:t>19.5</w:t>
      </w:r>
      <w:r w:rsidRPr="00E554DE">
        <w:tab/>
        <w:t xml:space="preserve">Le </w:t>
      </w:r>
      <w:r w:rsidRPr="00E554DE">
        <w:rPr>
          <w:b/>
        </w:rPr>
        <w:t>Secrétaire de la Commission 5</w:t>
      </w:r>
      <w:r w:rsidRPr="00E554DE">
        <w:t>, rappelant la décision consignée plus tôt lors de la séance selon laquelle certaines dispositions du Règlement des radiocommunications entreront en vigueur le 16 décembre 2023, indique que les dispositions en question sont les § 4.1.10.d, 4.1.13</w:t>
      </w:r>
      <w:r w:rsidRPr="00E554DE">
        <w:rPr>
          <w:i/>
          <w:iCs/>
        </w:rPr>
        <w:t>bis</w:t>
      </w:r>
      <w:r w:rsidRPr="00E554DE">
        <w:t>, 4.1.13</w:t>
      </w:r>
      <w:r w:rsidRPr="00E554DE">
        <w:rPr>
          <w:i/>
          <w:iCs/>
        </w:rPr>
        <w:t>ter</w:t>
      </w:r>
      <w:r w:rsidRPr="00E554DE">
        <w:t>, 4.1.30, 4.1.31, 4.1.32 et 5.1.6</w:t>
      </w:r>
      <w:r w:rsidRPr="00E554DE">
        <w:rPr>
          <w:i/>
          <w:iCs/>
        </w:rPr>
        <w:t xml:space="preserve">bis </w:t>
      </w:r>
      <w:r w:rsidRPr="00E554DE">
        <w:t>de l'Appendice 30, les § 4.1.10.d, 4.1.13</w:t>
      </w:r>
      <w:r w:rsidRPr="00E554DE">
        <w:rPr>
          <w:i/>
          <w:iCs/>
        </w:rPr>
        <w:t>bis</w:t>
      </w:r>
      <w:r w:rsidRPr="00E554DE">
        <w:t>, 4.1.13</w:t>
      </w:r>
      <w:r w:rsidRPr="00E554DE">
        <w:rPr>
          <w:i/>
          <w:iCs/>
        </w:rPr>
        <w:t>ter</w:t>
      </w:r>
      <w:r w:rsidRPr="00E554DE">
        <w:t>, 4.1.34, 4.1.35, 4.1.36 et 5.1.10</w:t>
      </w:r>
      <w:r w:rsidRPr="00E554DE">
        <w:rPr>
          <w:i/>
          <w:iCs/>
        </w:rPr>
        <w:t xml:space="preserve">bis </w:t>
      </w:r>
      <w:r w:rsidRPr="00E554DE">
        <w:t>de l'Appendice 30A, et les § 6.4</w:t>
      </w:r>
      <w:r w:rsidRPr="00E554DE">
        <w:rPr>
          <w:i/>
          <w:iCs/>
        </w:rPr>
        <w:t>bis</w:t>
      </w:r>
      <w:r w:rsidRPr="00E554DE">
        <w:t>, 6.15, 6.15</w:t>
      </w:r>
      <w:r w:rsidRPr="00E554DE">
        <w:rPr>
          <w:i/>
          <w:iCs/>
        </w:rPr>
        <w:t>quat</w:t>
      </w:r>
      <w:r w:rsidRPr="00E554DE">
        <w:t>, 6.15</w:t>
      </w:r>
      <w:r w:rsidRPr="00E554DE">
        <w:rPr>
          <w:i/>
          <w:iCs/>
        </w:rPr>
        <w:t>quin</w:t>
      </w:r>
      <w:r w:rsidRPr="00E554DE">
        <w:t>, 6.27</w:t>
      </w:r>
      <w:r w:rsidRPr="00E554DE">
        <w:rPr>
          <w:i/>
          <w:iCs/>
        </w:rPr>
        <w:t>bis</w:t>
      </w:r>
      <w:r w:rsidRPr="00E554DE">
        <w:t>, 6.29</w:t>
      </w:r>
      <w:r w:rsidRPr="00E554DE">
        <w:rPr>
          <w:i/>
          <w:iCs/>
        </w:rPr>
        <w:t>bis</w:t>
      </w:r>
      <w:r w:rsidRPr="00E554DE">
        <w:t>, 6.29</w:t>
      </w:r>
      <w:r w:rsidRPr="00E554DE">
        <w:rPr>
          <w:i/>
          <w:iCs/>
        </w:rPr>
        <w:t>ter</w:t>
      </w:r>
      <w:r w:rsidRPr="00E554DE">
        <w:t>, 8.10</w:t>
      </w:r>
      <w:r w:rsidRPr="00E554DE">
        <w:rPr>
          <w:i/>
          <w:iCs/>
        </w:rPr>
        <w:t>bis</w:t>
      </w:r>
      <w:r w:rsidRPr="00E554DE">
        <w:t xml:space="preserve"> et 8.10</w:t>
      </w:r>
      <w:r w:rsidRPr="00E554DE">
        <w:rPr>
          <w:i/>
          <w:iCs/>
        </w:rPr>
        <w:t xml:space="preserve">ter </w:t>
      </w:r>
      <w:r w:rsidRPr="00E554DE">
        <w:t>de l'Appendice 30B.</w:t>
      </w:r>
    </w:p>
    <w:p w14:paraId="5A647550" w14:textId="0DEA90D5" w:rsidR="00FC1349" w:rsidRPr="00E554DE" w:rsidRDefault="00FC1349" w:rsidP="00906541">
      <w:r w:rsidRPr="00E554DE">
        <w:t>19.6</w:t>
      </w:r>
      <w:r w:rsidRPr="00E554DE">
        <w:tab/>
        <w:t xml:space="preserve">En réponse à une question de la </w:t>
      </w:r>
      <w:r w:rsidRPr="00E554DE">
        <w:rPr>
          <w:b/>
        </w:rPr>
        <w:t>Secrétaire de la plénière</w:t>
      </w:r>
      <w:r w:rsidRPr="00E554DE">
        <w:t xml:space="preserve">, le </w:t>
      </w:r>
      <w:r w:rsidRPr="00E554DE">
        <w:rPr>
          <w:b/>
        </w:rPr>
        <w:t>Président de la Commission 7</w:t>
      </w:r>
      <w:r w:rsidRPr="00E554DE">
        <w:t xml:space="preserve"> indique que, si la plénière y est favorable, la Commission de rédaction peut traiter ces modifications apportées au Document 481 sans présenter une nouvelle fois le document en première et deuxième lecture en raison des contraintes de temps.</w:t>
      </w:r>
    </w:p>
    <w:p w14:paraId="5AF5610B" w14:textId="7AC2F1EC" w:rsidR="00FC1349" w:rsidRPr="00E554DE" w:rsidRDefault="00FC1349" w:rsidP="00E554DE">
      <w:pPr>
        <w:keepLines/>
      </w:pPr>
      <w:r w:rsidRPr="00E554DE">
        <w:lastRenderedPageBreak/>
        <w:t>19.7</w:t>
      </w:r>
      <w:r w:rsidRPr="00E554DE">
        <w:tab/>
        <w:t xml:space="preserve">Le </w:t>
      </w:r>
      <w:r w:rsidRPr="00E554DE">
        <w:rPr>
          <w:b/>
        </w:rPr>
        <w:t>délégué de la République islamique d'Iran</w:t>
      </w:r>
      <w:r w:rsidRPr="00E554DE">
        <w:t xml:space="preserve"> souligne que les paragraphes énumérés par le </w:t>
      </w:r>
      <w:r w:rsidRPr="00E554DE">
        <w:rPr>
          <w:b/>
        </w:rPr>
        <w:t>Secrétaire de la Commission 5</w:t>
      </w:r>
      <w:r w:rsidRPr="00E554DE">
        <w:t xml:space="preserve"> sont des éléments fondamentaux des appendices et que toute modification relative à leur entrée en vigueur ne sauraient donc être purement rédactionnelles. Cela</w:t>
      </w:r>
      <w:r w:rsidR="0092796E" w:rsidRPr="00E554DE">
        <w:t xml:space="preserve"> </w:t>
      </w:r>
      <w:r w:rsidRPr="00E554DE">
        <w:t>étant, pour les raisons invoquées par le Président de la Commission 7, il n'a pas d'objection à ce que la plénière autorise la Commission de rédaction à apporter les modifications pour tenir compte sa décision.</w:t>
      </w:r>
    </w:p>
    <w:p w14:paraId="1298BAD1" w14:textId="77777777" w:rsidR="00FC1349" w:rsidRPr="00E554DE" w:rsidRDefault="00FC1349" w:rsidP="00906541">
      <w:r w:rsidRPr="00E554DE">
        <w:t>19.8</w:t>
      </w:r>
      <w:r w:rsidRPr="00E554DE">
        <w:tab/>
        <w:t xml:space="preserve">Le </w:t>
      </w:r>
      <w:r w:rsidRPr="00E554DE">
        <w:rPr>
          <w:b/>
        </w:rPr>
        <w:t>Président</w:t>
      </w:r>
      <w:r w:rsidRPr="00E554DE">
        <w:t xml:space="preserve"> propose que la plénière autorise la Commission 7 à apporter les modifications nécessaires pour indiquer les dates d'entrée en vigueur convenues et toute autre modification rédactionnelle nécessaire qui en découle.</w:t>
      </w:r>
    </w:p>
    <w:p w14:paraId="084392E9" w14:textId="77777777" w:rsidR="00FC1349" w:rsidRPr="00E554DE" w:rsidRDefault="00FC1349" w:rsidP="00906541">
      <w:r w:rsidRPr="00E554DE">
        <w:t>19.9</w:t>
      </w:r>
      <w:r w:rsidRPr="00E554DE">
        <w:tab/>
        <w:t xml:space="preserve">Il en est ainsi </w:t>
      </w:r>
      <w:r w:rsidRPr="00E554DE">
        <w:rPr>
          <w:b/>
        </w:rPr>
        <w:t>décidé</w:t>
      </w:r>
      <w:r w:rsidRPr="00E554DE">
        <w:t>.</w:t>
      </w:r>
    </w:p>
    <w:p w14:paraId="2367A3DA" w14:textId="4238430D" w:rsidR="00FC1349" w:rsidRPr="00E554DE" w:rsidRDefault="00FC1349" w:rsidP="00906541">
      <w:r w:rsidRPr="00E554DE">
        <w:t>19.10</w:t>
      </w:r>
      <w:r w:rsidRPr="00E554DE">
        <w:tab/>
        <w:t>Compte tenu de ce qui précède, la quarante</w:t>
      </w:r>
      <w:r w:rsidR="00785CCD" w:rsidRPr="00E554DE">
        <w:t xml:space="preserve"> </w:t>
      </w:r>
      <w:r w:rsidRPr="00E554DE">
        <w:t>et</w:t>
      </w:r>
      <w:r w:rsidR="00785CCD" w:rsidRPr="00E554DE">
        <w:t xml:space="preserve"> </w:t>
      </w:r>
      <w:r w:rsidRPr="00E554DE">
        <w:t xml:space="preserve">unième série de textes soumis par la Commission de rédaction en première lecture (B41) (Document 481), ainsi modifiée, est </w:t>
      </w:r>
      <w:r w:rsidRPr="00E554DE">
        <w:rPr>
          <w:b/>
        </w:rPr>
        <w:t>approuvée</w:t>
      </w:r>
      <w:r w:rsidRPr="00E554DE">
        <w:t>.</w:t>
      </w:r>
    </w:p>
    <w:p w14:paraId="5A05A64E" w14:textId="579FD03E" w:rsidR="00FC1349" w:rsidRPr="00E554DE" w:rsidRDefault="00FC1349" w:rsidP="00906541">
      <w:pPr>
        <w:pStyle w:val="Heading1"/>
      </w:pPr>
      <w:r w:rsidRPr="00E554DE">
        <w:t>20</w:t>
      </w:r>
      <w:r w:rsidRPr="00E554DE">
        <w:tab/>
        <w:t>Quarante</w:t>
      </w:r>
      <w:r w:rsidR="00785CCD" w:rsidRPr="00E554DE">
        <w:t xml:space="preserve"> </w:t>
      </w:r>
      <w:r w:rsidRPr="00E554DE">
        <w:t>et</w:t>
      </w:r>
      <w:r w:rsidR="00785CCD" w:rsidRPr="00E554DE">
        <w:t xml:space="preserve"> </w:t>
      </w:r>
      <w:r w:rsidRPr="00E554DE">
        <w:t>unième série de textes soumis par la Commission de rédaction (B41) – deuxième lecture (Document 481)</w:t>
      </w:r>
    </w:p>
    <w:p w14:paraId="25C9DC73" w14:textId="578081B6" w:rsidR="00FC1349" w:rsidRPr="00E554DE" w:rsidRDefault="00FC1349" w:rsidP="00906541">
      <w:r w:rsidRPr="00E554DE">
        <w:t>20.1</w:t>
      </w:r>
      <w:r w:rsidRPr="00E554DE">
        <w:tab/>
        <w:t>La quarante</w:t>
      </w:r>
      <w:r w:rsidR="00785CCD" w:rsidRPr="00E554DE">
        <w:t xml:space="preserve"> </w:t>
      </w:r>
      <w:r w:rsidRPr="00E554DE">
        <w:t>et</w:t>
      </w:r>
      <w:r w:rsidR="00785CCD" w:rsidRPr="00E554DE">
        <w:t xml:space="preserve"> </w:t>
      </w:r>
      <w:r w:rsidRPr="00E554DE">
        <w:t xml:space="preserve">unième série de textes soumis par la Commission de rédaction (B41) (Document 481), telle que modifiée en première lecture, est </w:t>
      </w:r>
      <w:r w:rsidRPr="00E554DE">
        <w:rPr>
          <w:b/>
        </w:rPr>
        <w:t>approuvée</w:t>
      </w:r>
      <w:r w:rsidRPr="00E554DE">
        <w:t xml:space="preserve"> en deuxième lecture.</w:t>
      </w:r>
    </w:p>
    <w:p w14:paraId="4C1AE0A6" w14:textId="2227AF09" w:rsidR="00FC1349" w:rsidRPr="00E554DE" w:rsidRDefault="00FC1349" w:rsidP="00906541">
      <w:pPr>
        <w:pStyle w:val="Heading1"/>
      </w:pPr>
      <w:r w:rsidRPr="00E554DE">
        <w:t>21</w:t>
      </w:r>
      <w:r w:rsidRPr="00E554DE">
        <w:tab/>
        <w:t>Note du groupe ad hoc de la Commission 4 à la plénière (Document</w:t>
      </w:r>
      <w:r w:rsidR="000472EE" w:rsidRPr="00E554DE">
        <w:t> </w:t>
      </w:r>
      <w:r w:rsidRPr="00E554DE">
        <w:t>517)</w:t>
      </w:r>
    </w:p>
    <w:p w14:paraId="3E2914F9" w14:textId="77777777" w:rsidR="00FC1349" w:rsidRPr="00E554DE" w:rsidRDefault="00FC1349" w:rsidP="00906541">
      <w:r w:rsidRPr="00E554DE">
        <w:t>21.1</w:t>
      </w:r>
      <w:r w:rsidRPr="00E554DE">
        <w:tab/>
        <w:t xml:space="preserve">Le </w:t>
      </w:r>
      <w:r w:rsidRPr="00E554DE">
        <w:rPr>
          <w:b/>
        </w:rPr>
        <w:t>Président de la Commission 4</w:t>
      </w:r>
      <w:r w:rsidRPr="00E554DE">
        <w:t xml:space="preserve"> présente le Document 517, qui contient une note du groupe ad hoc de la Commission 4 à la plénière concernant la bande de fréquences des 6 GHz au titre du point 1.2 de l'ordre du jour.</w:t>
      </w:r>
    </w:p>
    <w:p w14:paraId="49167809" w14:textId="6F2633E4" w:rsidR="00FC1349" w:rsidRPr="00E554DE" w:rsidRDefault="00FC1349" w:rsidP="00906541">
      <w:r w:rsidRPr="00E554DE">
        <w:t>21.2</w:t>
      </w:r>
      <w:r w:rsidRPr="00E554DE">
        <w:tab/>
        <w:t xml:space="preserve">Le groupe ad hoc a formulé deux propositions concernant les résultats des travaux pour la bande de fréquences des 6 GHz: «Identification pour les IMT» et «Aucun changement». Il a été décidé de soumettre la proposition d'identification pour les IMT dans la dix-huitième série de textes soumis par la Commission 4 à la Commission 7 (Document 514), en vue de trouver un accord sur cette proposition, l'option «Aucun changement» n'étant conservée que jusqu'à ce qu'un accord soit trouvé en plénière sur l'identification pour les IMT. Compte tenu des contraintes en termes de délai et de format pour le traitement des documents, seule l'option </w:t>
      </w:r>
      <w:r w:rsidR="000472EE" w:rsidRPr="00E554DE">
        <w:t>«</w:t>
      </w:r>
      <w:r w:rsidRPr="00E554DE">
        <w:t>Aucun changement</w:t>
      </w:r>
      <w:r w:rsidR="000472EE" w:rsidRPr="00E554DE">
        <w:t>»</w:t>
      </w:r>
      <w:r w:rsidRPr="00E554DE">
        <w:t xml:space="preserve"> est reproduite dans l'Annexe du Document 517. L'orateur croit comprendre que le groupe ad hoc de la Commission 4 est maintenant prêt à se mettre d'accord sur l'approche </w:t>
      </w:r>
      <w:r w:rsidR="000472EE" w:rsidRPr="00E554DE">
        <w:t>«</w:t>
      </w:r>
      <w:r w:rsidRPr="00E554DE">
        <w:t>Identification pour les IMT</w:t>
      </w:r>
      <w:r w:rsidR="000472EE" w:rsidRPr="00E554DE">
        <w:t>»</w:t>
      </w:r>
      <w:r w:rsidRPr="00E554DE">
        <w:t xml:space="preserve"> dans la bande de fréquences, comme indiqué dans le Document 515 soumis à la plénière par la Commission 7.</w:t>
      </w:r>
    </w:p>
    <w:p w14:paraId="7E07DA77" w14:textId="568EA0B9" w:rsidR="00FC1349" w:rsidRPr="00E554DE" w:rsidRDefault="00FC1349" w:rsidP="00906541">
      <w:r w:rsidRPr="00E554DE">
        <w:t>21.3</w:t>
      </w:r>
      <w:r w:rsidRPr="00E554DE">
        <w:tab/>
        <w:t>En outre, le Document 514 contient également des éléments de texte dans lesquels figurent des informations générales sur le nouveau point qu'il est proposé d'inscrire à l'ordre du jour de la CMR-27 «envisager des attributions possibles à titre primaire dans toutes les Régions au service d'exploration de la Terre par satellite (passive) dans les bandes de fréquences 4</w:t>
      </w:r>
      <w:r w:rsidR="000472EE" w:rsidRPr="00E554DE">
        <w:t> </w:t>
      </w:r>
      <w:r w:rsidRPr="00E554DE">
        <w:t>200</w:t>
      </w:r>
      <w:r w:rsidR="000472EE" w:rsidRPr="00E554DE">
        <w:noBreakHyphen/>
      </w:r>
      <w:r w:rsidRPr="00E554DE">
        <w:t>4</w:t>
      </w:r>
      <w:r w:rsidR="000472EE" w:rsidRPr="00E554DE">
        <w:t> </w:t>
      </w:r>
      <w:r w:rsidRPr="00E554DE">
        <w:t>400</w:t>
      </w:r>
      <w:r w:rsidR="000472EE" w:rsidRPr="00E554DE">
        <w:t> </w:t>
      </w:r>
      <w:r w:rsidRPr="00E554DE">
        <w:t xml:space="preserve">MHz et 8 400-8 500 MHz». Ces éléments ont également été reproduits dans le Document 515 avec l'inclusion du </w:t>
      </w:r>
      <w:r w:rsidRPr="00E554DE">
        <w:rPr>
          <w:rFonts w:eastAsia="MS Mincho"/>
        </w:rPr>
        <w:t>ADD Résolution COM4/8.</w:t>
      </w:r>
    </w:p>
    <w:p w14:paraId="0E550856" w14:textId="77777777" w:rsidR="00FC1349" w:rsidRPr="00E554DE" w:rsidRDefault="00FC1349" w:rsidP="00906541">
      <w:r w:rsidRPr="00E554DE">
        <w:t>21.4</w:t>
      </w:r>
      <w:r w:rsidRPr="00E554DE">
        <w:tab/>
        <w:t>Le contenu du Document 517, en particulier le point qu'il est proposé d'inscrire à l'ordre du jour de la CMR-27, est à examiner conjointement avec l'approbation du Document 515.</w:t>
      </w:r>
    </w:p>
    <w:p w14:paraId="6F2D7D84" w14:textId="77777777" w:rsidR="00FC1349" w:rsidRPr="00E554DE" w:rsidRDefault="00FC1349" w:rsidP="00906541">
      <w:pPr>
        <w:pStyle w:val="Heading1"/>
      </w:pPr>
      <w:r w:rsidRPr="00E554DE">
        <w:lastRenderedPageBreak/>
        <w:t>22</w:t>
      </w:r>
      <w:r w:rsidRPr="00E554DE">
        <w:tab/>
        <w:t>Cinquante-sixième série de textes soumis par la Commission de rédaction en première lecture (B56) (Document 515)</w:t>
      </w:r>
    </w:p>
    <w:p w14:paraId="3F352C96" w14:textId="77777777" w:rsidR="00FC1349" w:rsidRPr="00E554DE" w:rsidRDefault="00FC1349" w:rsidP="00906541">
      <w:r w:rsidRPr="00E554DE">
        <w:t>22.1</w:t>
      </w:r>
      <w:r w:rsidRPr="00E554DE">
        <w:tab/>
        <w:t xml:space="preserve">Le </w:t>
      </w:r>
      <w:r w:rsidRPr="00E554DE">
        <w:rPr>
          <w:b/>
          <w:bCs/>
        </w:rPr>
        <w:t>Président de la Commission 7</w:t>
      </w:r>
      <w:r w:rsidRPr="00E554DE">
        <w:t xml:space="preserve"> présente le Document 515.</w:t>
      </w:r>
    </w:p>
    <w:p w14:paraId="75FC453D" w14:textId="77777777" w:rsidR="00FC1349" w:rsidRPr="00E554DE" w:rsidRDefault="00FC1349" w:rsidP="00906541">
      <w:r w:rsidRPr="00E554DE">
        <w:t>22.2</w:t>
      </w:r>
      <w:r w:rsidRPr="00E554DE">
        <w:tab/>
        <w:t xml:space="preserve">Le </w:t>
      </w:r>
      <w:r w:rsidRPr="00E554DE">
        <w:rPr>
          <w:b/>
          <w:bCs/>
        </w:rPr>
        <w:t>Président</w:t>
      </w:r>
      <w:r w:rsidRPr="00E554DE">
        <w:t xml:space="preserve"> invite les participants à examiner le Document 515.</w:t>
      </w:r>
    </w:p>
    <w:p w14:paraId="69F931B0" w14:textId="77777777" w:rsidR="00FC1349" w:rsidRPr="00E554DE" w:rsidRDefault="00FC1349" w:rsidP="00906541">
      <w:pPr>
        <w:rPr>
          <w:b/>
          <w:bCs/>
        </w:rPr>
      </w:pPr>
      <w:bookmarkStart w:id="21" w:name="_Hlk155649669"/>
      <w:bookmarkStart w:id="22" w:name="lt_pId768"/>
      <w:r w:rsidRPr="00E554DE">
        <w:rPr>
          <w:b/>
          <w:bCs/>
        </w:rPr>
        <w:t>Article 5 (</w:t>
      </w:r>
      <w:bookmarkEnd w:id="21"/>
      <w:r w:rsidRPr="00E554DE">
        <w:rPr>
          <w:b/>
          <w:bCs/>
        </w:rPr>
        <w:t>MOD Tableau 5 570-6 700 MHz, ADD 5.6A12)</w:t>
      </w:r>
      <w:bookmarkEnd w:id="22"/>
    </w:p>
    <w:p w14:paraId="17F428F2" w14:textId="77777777" w:rsidR="00FC1349" w:rsidRPr="00E554DE" w:rsidRDefault="00FC1349" w:rsidP="00906541">
      <w:r w:rsidRPr="00E554DE">
        <w:t>22.3</w:t>
      </w:r>
      <w:r w:rsidRPr="00E554DE">
        <w:tab/>
      </w:r>
      <w:r w:rsidRPr="00E554DE">
        <w:rPr>
          <w:b/>
          <w:bCs/>
        </w:rPr>
        <w:t>Approuvés</w:t>
      </w:r>
      <w:r w:rsidRPr="00E554DE">
        <w:t>.</w:t>
      </w:r>
    </w:p>
    <w:p w14:paraId="0CD396FF" w14:textId="77777777" w:rsidR="00FC1349" w:rsidRPr="00E554DE" w:rsidRDefault="00FC1349" w:rsidP="00906541">
      <w:pPr>
        <w:rPr>
          <w:b/>
          <w:bCs/>
        </w:rPr>
      </w:pPr>
      <w:bookmarkStart w:id="23" w:name="lt_pId771"/>
      <w:r w:rsidRPr="00E554DE">
        <w:rPr>
          <w:b/>
          <w:bCs/>
        </w:rPr>
        <w:t>Article 5 (ADD 5.6B12)</w:t>
      </w:r>
      <w:bookmarkEnd w:id="23"/>
    </w:p>
    <w:p w14:paraId="2C546844" w14:textId="61DD8B1D" w:rsidR="00FC1349" w:rsidRPr="00E554DE" w:rsidRDefault="00FC1349" w:rsidP="00906541">
      <w:r w:rsidRPr="00E554DE">
        <w:t>22.4</w:t>
      </w:r>
      <w:r w:rsidRPr="00E554DE">
        <w:tab/>
        <w:t xml:space="preserve">Le </w:t>
      </w:r>
      <w:r w:rsidRPr="00E554DE">
        <w:rPr>
          <w:b/>
        </w:rPr>
        <w:t>délégué de l'Indonésie</w:t>
      </w:r>
      <w:r w:rsidRPr="00E554DE">
        <w:t xml:space="preserve"> déclare que des discussions constructives se sont tenues avec l'administration qui a fait part de ses préoccupations concernant l'ajout d'autres pays de la Région</w:t>
      </w:r>
      <w:r w:rsidR="00205AAC" w:rsidRPr="00E554DE">
        <w:t> </w:t>
      </w:r>
      <w:r w:rsidRPr="00E554DE">
        <w:t>3 dans le numéro 5.6B12. Il demande si d'autres pays de la région peuvent donc demander que leurs noms soient ajoutés au renvoi, à condition qu'une coordination ait été assurée avec les pays voisins pendant la Conférence et qu'aucune objection n'ait été formulée.</w:t>
      </w:r>
    </w:p>
    <w:p w14:paraId="4DD93F5A" w14:textId="00E004BE" w:rsidR="00205AAC" w:rsidRPr="00E554DE" w:rsidRDefault="00205AAC" w:rsidP="00906541">
      <w:r w:rsidRPr="00E554DE">
        <w:t>22.5</w:t>
      </w:r>
      <w:r w:rsidRPr="00E554DE">
        <w:tab/>
        <w:t xml:space="preserve">Le </w:t>
      </w:r>
      <w:r w:rsidRPr="00E554DE">
        <w:rPr>
          <w:b/>
          <w:bCs/>
        </w:rPr>
        <w:t>délégué de la Thaïlande</w:t>
      </w:r>
      <w:r w:rsidRPr="00E554DE">
        <w:t xml:space="preserve"> pose la même question et sollicite des orientations sur la marche à suivre. Sa délégation a demandé que le nom de la Thaïlande soit ajouté dans le renvoi au cours des séances du groupe ad hoc de la Commission 4, qui a pris note de cette demande et indiqué qu'elle serait portée à l'attention de la plénière. Dans l'intervalle, la délégation de la Thaïlande a engagé des discussions constructives avec les pays voisins, qui semblent ne pas avoir d'objection à sa demande.</w:t>
      </w:r>
    </w:p>
    <w:p w14:paraId="226044ED" w14:textId="1EA44482" w:rsidR="00205AAC" w:rsidRPr="00E554DE" w:rsidRDefault="00205AAC" w:rsidP="00906541">
      <w:r w:rsidRPr="00E554DE">
        <w:t>22.6</w:t>
      </w:r>
      <w:r w:rsidRPr="00E554DE">
        <w:tab/>
        <w:t xml:space="preserve">Le </w:t>
      </w:r>
      <w:r w:rsidRPr="00E554DE">
        <w:rPr>
          <w:b/>
          <w:bCs/>
        </w:rPr>
        <w:t>délégué du Viet Nam</w:t>
      </w:r>
      <w:r w:rsidRPr="00E554DE">
        <w:t xml:space="preserve"> indique qu'après avoir examiné attentivement les conditions réglementaires établies dans la Résolution COM4/7 et consulté les pays voisins, sa délégation souhaite réitérer la demande qu'elle a formulée lors de la séance du groupe ad hoc de la Commission 4, en vue d'ajouter le nom du Viet Nam dans le numéro 5.6B12.</w:t>
      </w:r>
    </w:p>
    <w:p w14:paraId="6240FAC8" w14:textId="11BBE240" w:rsidR="00205AAC" w:rsidRPr="00E554DE" w:rsidRDefault="00205AAC" w:rsidP="00906541">
      <w:r w:rsidRPr="00E554DE">
        <w:t>22.7</w:t>
      </w:r>
      <w:r w:rsidRPr="00E554DE">
        <w:tab/>
        <w:t xml:space="preserve">Le </w:t>
      </w:r>
      <w:r w:rsidRPr="00E554DE">
        <w:rPr>
          <w:b/>
          <w:bCs/>
        </w:rPr>
        <w:t xml:space="preserve">Président de la Commission 4 </w:t>
      </w:r>
      <w:r w:rsidRPr="00E554DE">
        <w:t>explique que le groupe ad hoc a reçu des demandes de plusieurs États Membres visant à ce que leur nom soit inclus dans le numéro 5.6B12. Pour le moment, le groupe ne dispose d'aucune information quant à l'état d'avancement de la coordination avec d'autres pays de la région, dont certains sont préoccupés par les brouillages que pourraient causer les stations IMT dans les pays voisins. Faute de temps pour examiner la question, le groupe ad hoc a suggéré que les pays demandant à ce que leur nom soit inclus dans le renvoi soumettent leurs proposition en ce sens après avoir consulté les pays voisins. L'orateur indique ne pas connaître le résultat de ces consultations. L'élaboration du renvoi 5.6B12 est un processus relativement délicat et l'adjonction de noms de pays supplémentaires nécessitera un examen attentif.</w:t>
      </w:r>
    </w:p>
    <w:p w14:paraId="71E1BDD1" w14:textId="32DF03C5" w:rsidR="00205AAC" w:rsidRPr="00E554DE" w:rsidRDefault="00205AAC" w:rsidP="00906541">
      <w:r w:rsidRPr="00E554DE">
        <w:t>22.8</w:t>
      </w:r>
      <w:r w:rsidRPr="00E554DE">
        <w:tab/>
        <w:t xml:space="preserve">À la demande du </w:t>
      </w:r>
      <w:r w:rsidRPr="00E554DE">
        <w:rPr>
          <w:b/>
          <w:bCs/>
        </w:rPr>
        <w:t>Président</w:t>
      </w:r>
      <w:r w:rsidRPr="00E554DE">
        <w:t xml:space="preserve">, le </w:t>
      </w:r>
      <w:r w:rsidRPr="00E554DE">
        <w:rPr>
          <w:b/>
          <w:bCs/>
        </w:rPr>
        <w:t>délégué des Émirats arabes unis</w:t>
      </w:r>
      <w:r w:rsidRPr="00E554DE">
        <w:t>, en sa qualité de coordonnateur des discussions informelles, souligne la nature délicate des débats concernant le point 1.2 de l'ordre du jour. Un certain nombre de noms de pays ont été soumis au début de la Conférence en vue de leur inclusion dans le renvoi, et d'autres l'ont été par la suite. Le groupe ad hoc a décidé de n'inclure que les noms figurant dans le renvoi tel qu'il est reproduit dans le Document 515. L'orateur indique ne pas savoir si les pays qui demandent actuellement que leur nom soit inclus dans le renvoi ont mené à bien le processus de coordination avec les pays voisins. Il demande à tous les pays de s'abstenir de demander l'adjonction de noms supplémentaires pour le moment, afin de ne pas mettre à mal le compromis qui a été trouvé au cours des deux jours précédents.</w:t>
      </w:r>
    </w:p>
    <w:p w14:paraId="7C3C0218" w14:textId="30A0598F" w:rsidR="00205AAC" w:rsidRPr="00E554DE" w:rsidRDefault="00205AAC" w:rsidP="00906541">
      <w:r w:rsidRPr="00E554DE">
        <w:t>22.9</w:t>
      </w:r>
      <w:r w:rsidRPr="00E554DE">
        <w:tab/>
        <w:t xml:space="preserve">Le </w:t>
      </w:r>
      <w:r w:rsidRPr="00E554DE">
        <w:rPr>
          <w:b/>
          <w:bCs/>
        </w:rPr>
        <w:t>délégué des Philippines</w:t>
      </w:r>
      <w:r w:rsidRPr="00E554DE">
        <w:t xml:space="preserve"> demande que le nom de son pays soit ajouté dans le renvoi, étant donné qu'il n'a pas de pays voisins.</w:t>
      </w:r>
    </w:p>
    <w:p w14:paraId="252946A3" w14:textId="1298973F" w:rsidR="00205AAC" w:rsidRPr="00E554DE" w:rsidRDefault="00205AAC" w:rsidP="00E554DE">
      <w:pPr>
        <w:keepLines/>
      </w:pPr>
      <w:r w:rsidRPr="00E554DE">
        <w:lastRenderedPageBreak/>
        <w:t>22.10</w:t>
      </w:r>
      <w:r w:rsidRPr="00E554DE">
        <w:tab/>
        <w:t xml:space="preserve">Le </w:t>
      </w:r>
      <w:r w:rsidRPr="00E554DE">
        <w:rPr>
          <w:b/>
          <w:bCs/>
        </w:rPr>
        <w:t>Président</w:t>
      </w:r>
      <w:r w:rsidRPr="00E554DE">
        <w:t xml:space="preserve"> prie instamment la plénière d'examiner le document qui lui est soumis, sans ajouter de noms de pays. Les préoccupations et les besoins des délégations qui ont pris la parole seront consignés dans le procès-verbal et ces délégations pourront poursuivre le processus de coordination et de consultation en vue de l'inclusion du nom de leur pays à la prochaine conférence. Le fait de donner la possibilité d'ajouter d'autres noms de pays à ce stade ne fera que créer d'autres problèmes.</w:t>
      </w:r>
    </w:p>
    <w:p w14:paraId="3B878EB1" w14:textId="4491A8B5" w:rsidR="00205AAC" w:rsidRPr="00E554DE" w:rsidRDefault="00205AAC" w:rsidP="00906541">
      <w:pPr>
        <w:keepNext/>
      </w:pPr>
      <w:r w:rsidRPr="00E554DE">
        <w:t>22.11</w:t>
      </w:r>
      <w:r w:rsidRPr="00E554DE">
        <w:tab/>
        <w:t xml:space="preserve">Le </w:t>
      </w:r>
      <w:r w:rsidRPr="00E554DE">
        <w:rPr>
          <w:b/>
          <w:bCs/>
        </w:rPr>
        <w:t>délégué de l'Indonésie</w:t>
      </w:r>
      <w:r w:rsidRPr="00E554DE">
        <w:t xml:space="preserve"> fait la déclaration suivante en vue de son inclusion dans le procès</w:t>
      </w:r>
      <w:r w:rsidRPr="00E554DE">
        <w:noBreakHyphen/>
        <w:t>verbal de la plénière:</w:t>
      </w:r>
    </w:p>
    <w:p w14:paraId="5A79EDF9" w14:textId="231F2287" w:rsidR="00205AAC" w:rsidRPr="00E554DE" w:rsidRDefault="00205AAC" w:rsidP="00906541">
      <w:r w:rsidRPr="00E554DE">
        <w:t>«Il a été reconnu que certains pays de la Région 3 ont demandé que leur nom soit inclus dans le numéro 5.6B12, mais n'ont pas pu obtenir satisfaction en raison des préoccupations de certaines administrations. À l'issue des discussions avec les administrations concernées, il a été précisé que ces pays de la Région 3 sont invités à solliciter l'adjonction de leur nom dans le renvoi à la CMR</w:t>
      </w:r>
      <w:r w:rsidRPr="00E554DE">
        <w:noBreakHyphen/>
        <w:t>27 plutôt qu'à la CMR-23, compte tenu du temps nécessaire au travaux préparatoires requis pour le service fixe par satellite des administrations concernées. Cette invitation est conforme au point </w:t>
      </w:r>
      <w:r w:rsidRPr="00E554DE">
        <w:rPr>
          <w:i/>
          <w:iCs/>
        </w:rPr>
        <w:t>f)</w:t>
      </w:r>
      <w:r w:rsidRPr="00E554DE">
        <w:t xml:space="preserve"> du </w:t>
      </w:r>
      <w:r w:rsidRPr="00E554DE">
        <w:rPr>
          <w:i/>
          <w:iCs/>
        </w:rPr>
        <w:t>reconnaissant</w:t>
      </w:r>
      <w:r w:rsidRPr="00E554DE">
        <w:t xml:space="preserve"> de la nouvelle Résolution COM6/26. Il est reconnu que les dispositions existantes du projet de nouvelle Résolution seront suffisantes pour protéger le SFS et permettre son utilisation continue dans le futur. Par conséquent, il n'est pas nécessaire de poursuivre les études ni de modifier les conditions techniques lorsque les noms d'autres pays de la Région 3 sont ajoutés dans le numéro 5.6B12. L'adjonction de noms de pays dans le numéro 5.6B12 à la CMR-27 serait conforme à la Résolution 26 (Rév.CMR-23).»</w:t>
      </w:r>
    </w:p>
    <w:p w14:paraId="12AB42D9" w14:textId="647B437C" w:rsidR="00205AAC" w:rsidRPr="00E554DE" w:rsidRDefault="00205AAC" w:rsidP="00906541">
      <w:r w:rsidRPr="00E554DE">
        <w:t>22.12</w:t>
      </w:r>
      <w:r w:rsidRPr="00E554DE">
        <w:tab/>
        <w:t xml:space="preserve">Le </w:t>
      </w:r>
      <w:r w:rsidRPr="00E554DE">
        <w:rPr>
          <w:b/>
          <w:bCs/>
        </w:rPr>
        <w:t>délégué de la Chine</w:t>
      </w:r>
      <w:r w:rsidRPr="00E554DE">
        <w:t xml:space="preserve"> indique qu'il souscrit au contenu du Document 515, qui est le fruit d'un compromis très délicat reflétant la sagesse et la bonne volonté de toutes les parties. Sa délégation n'a pas d'objection de principe à ce que les noms d'autres pays de l'APT soient ajoutés dans le numéro 5.6B12, mais, malheureusement, pas à la présente conférence. L'orateur exprime ses regrets et sa sympathie aux pays concernés et ajoute qu'il souhaite soumettre la déclaration suivante, à consigner au procès-verbal de la plénière:</w:t>
      </w:r>
    </w:p>
    <w:p w14:paraId="4F304D0E" w14:textId="6A5FECE4" w:rsidR="00205AAC" w:rsidRPr="00E554DE" w:rsidRDefault="00205AAC" w:rsidP="00906541">
      <w:pPr>
        <w:rPr>
          <w:lang w:eastAsia="zh-CN"/>
        </w:rPr>
      </w:pPr>
      <w:r w:rsidRPr="00E554DE">
        <w:rPr>
          <w:lang w:eastAsia="zh-CN"/>
        </w:rPr>
        <w:t>«Les bandes de fréquences 6</w:t>
      </w:r>
      <w:r w:rsidR="002F532D" w:rsidRPr="00E554DE">
        <w:rPr>
          <w:lang w:eastAsia="zh-CN"/>
        </w:rPr>
        <w:t xml:space="preserve"> </w:t>
      </w:r>
      <w:r w:rsidRPr="00E554DE">
        <w:rPr>
          <w:lang w:eastAsia="zh-CN"/>
        </w:rPr>
        <w:t>425-7</w:t>
      </w:r>
      <w:r w:rsidR="002F532D" w:rsidRPr="00E554DE">
        <w:rPr>
          <w:lang w:eastAsia="zh-CN"/>
        </w:rPr>
        <w:t xml:space="preserve"> </w:t>
      </w:r>
      <w:r w:rsidRPr="00E554DE">
        <w:rPr>
          <w:lang w:eastAsia="zh-CN"/>
        </w:rPr>
        <w:t>025</w:t>
      </w:r>
      <w:r w:rsidR="002F532D" w:rsidRPr="00E554DE">
        <w:rPr>
          <w:lang w:eastAsia="zh-CN"/>
        </w:rPr>
        <w:t xml:space="preserve"> </w:t>
      </w:r>
      <w:r w:rsidRPr="00E554DE">
        <w:rPr>
          <w:lang w:eastAsia="zh-CN"/>
        </w:rPr>
        <w:t>MHz et 7</w:t>
      </w:r>
      <w:r w:rsidR="002F532D" w:rsidRPr="00E554DE">
        <w:rPr>
          <w:lang w:eastAsia="zh-CN"/>
        </w:rPr>
        <w:t xml:space="preserve"> </w:t>
      </w:r>
      <w:r w:rsidRPr="00E554DE">
        <w:rPr>
          <w:lang w:eastAsia="zh-CN"/>
        </w:rPr>
        <w:t>025-7</w:t>
      </w:r>
      <w:r w:rsidR="002F532D" w:rsidRPr="00E554DE">
        <w:rPr>
          <w:lang w:eastAsia="zh-CN"/>
        </w:rPr>
        <w:t xml:space="preserve"> </w:t>
      </w:r>
      <w:r w:rsidRPr="00E554DE">
        <w:rPr>
          <w:lang w:eastAsia="zh-CN"/>
        </w:rPr>
        <w:t>125</w:t>
      </w:r>
      <w:r w:rsidR="002F532D" w:rsidRPr="00E554DE">
        <w:rPr>
          <w:lang w:eastAsia="zh-CN"/>
        </w:rPr>
        <w:t xml:space="preserve"> </w:t>
      </w:r>
      <w:r w:rsidRPr="00E554DE">
        <w:rPr>
          <w:lang w:eastAsia="zh-CN"/>
        </w:rPr>
        <w:t>MHz sont attribuées au service mobile à titre primaire dans le Règlement des radiocommunications. La Chine appuie leur identification pour les IMT. À la CMR-23, la Chine et six autres pays de la Région 3 ont œuvré en faveur de l'identification de la bande de fréquences 6 425-7 025 MHz pour les IMT dans ces pays moyennant un renvoi. Malheureusement, une administration s'est opposée</w:t>
      </w:r>
      <w:r w:rsidR="002F532D" w:rsidRPr="00E554DE">
        <w:rPr>
          <w:lang w:eastAsia="zh-CN"/>
        </w:rPr>
        <w:t xml:space="preserve"> à</w:t>
      </w:r>
      <w:r w:rsidRPr="00E554DE">
        <w:rPr>
          <w:lang w:eastAsia="zh-CN"/>
        </w:rPr>
        <w:t xml:space="preserve"> l'inclusion des pays voisins de son pays, dont la Chine, dans le renvoi proposé, pour des raisons que la Chine et bon nombre de pays ont des difficultés à comprendre. Dans un esprit de solidarité, de conciliation</w:t>
      </w:r>
      <w:r w:rsidRPr="00E554DE" w:rsidDel="007F10DD">
        <w:rPr>
          <w:lang w:eastAsia="zh-CN"/>
        </w:rPr>
        <w:t xml:space="preserve"> </w:t>
      </w:r>
      <w:r w:rsidRPr="00E554DE">
        <w:rPr>
          <w:lang w:eastAsia="zh-CN"/>
        </w:rPr>
        <w:t>et de coopération, la Chine a accepté le résultat de la présente Conférence.</w:t>
      </w:r>
      <w:r w:rsidRPr="00E554DE">
        <w:t>»</w:t>
      </w:r>
    </w:p>
    <w:p w14:paraId="0B090435" w14:textId="035A3990" w:rsidR="00205AAC" w:rsidRPr="00E554DE" w:rsidRDefault="00205AAC" w:rsidP="00906541">
      <w:r w:rsidRPr="00E554DE">
        <w:t>22.13</w:t>
      </w:r>
      <w:r w:rsidRPr="00E554DE">
        <w:tab/>
      </w:r>
      <w:bookmarkStart w:id="24" w:name="lt_pId819"/>
      <w:r w:rsidRPr="00E554DE">
        <w:t xml:space="preserve">Les </w:t>
      </w:r>
      <w:r w:rsidRPr="00E554DE">
        <w:rPr>
          <w:b/>
          <w:bCs/>
        </w:rPr>
        <w:t>délégués du Viet Nam</w:t>
      </w:r>
      <w:r w:rsidRPr="00E554DE">
        <w:t xml:space="preserve"> et </w:t>
      </w:r>
      <w:r w:rsidRPr="00E554DE">
        <w:rPr>
          <w:b/>
          <w:bCs/>
        </w:rPr>
        <w:t>de la Thaïlande</w:t>
      </w:r>
      <w:r w:rsidRPr="00E554DE">
        <w:t xml:space="preserve"> s'associent à la déclaration faite par le délégué de l'Indonésie et appuient la manière de procéder proposée par le Président.</w:t>
      </w:r>
    </w:p>
    <w:p w14:paraId="73F30ADD" w14:textId="12B2C815" w:rsidR="00205AAC" w:rsidRPr="00E554DE" w:rsidRDefault="00205AAC" w:rsidP="00906541">
      <w:r w:rsidRPr="00E554DE">
        <w:t>22.14</w:t>
      </w:r>
      <w:r w:rsidRPr="00E554DE">
        <w:tab/>
        <w:t xml:space="preserve">Le </w:t>
      </w:r>
      <w:r w:rsidRPr="00E554DE">
        <w:rPr>
          <w:b/>
          <w:bCs/>
        </w:rPr>
        <w:t>délégué du Japon</w:t>
      </w:r>
      <w:r w:rsidRPr="00E554DE">
        <w:t xml:space="preserve"> déclare que sa délégation n'a pas d'objection quant à la manière de procéder proposée par le Président. Le Japon souligne que les études menées en vue de l'identification de la bande de fréquences 6 425-7 025 MHz pour les IMT en Région 3 sont insuffisantes et se tient à disposition pour collaborer avec les pays voisins en vue de la réalisation d'études complémentaires visant à assurer une protection adéquate des systèmes existants.</w:t>
      </w:r>
    </w:p>
    <w:p w14:paraId="4DF4C788" w14:textId="77B1B827" w:rsidR="00205AAC" w:rsidRPr="00E554DE" w:rsidRDefault="00205AAC" w:rsidP="00906541">
      <w:r w:rsidRPr="00E554DE">
        <w:t>22.15</w:t>
      </w:r>
      <w:r w:rsidRPr="00E554DE">
        <w:tab/>
        <w:t>L</w:t>
      </w:r>
      <w:r w:rsidR="00EC0760" w:rsidRPr="00E554DE">
        <w:t xml:space="preserve">e </w:t>
      </w:r>
      <w:r w:rsidRPr="00E554DE">
        <w:t xml:space="preserve">ADD 5.6B12 est </w:t>
      </w:r>
      <w:r w:rsidRPr="00E554DE">
        <w:rPr>
          <w:b/>
          <w:bCs/>
        </w:rPr>
        <w:t>approuvé</w:t>
      </w:r>
      <w:r w:rsidRPr="00E554DE">
        <w:t>.</w:t>
      </w:r>
    </w:p>
    <w:p w14:paraId="42978100" w14:textId="77777777" w:rsidR="00205AAC" w:rsidRPr="00E554DE" w:rsidRDefault="00205AAC" w:rsidP="00906541">
      <w:pPr>
        <w:rPr>
          <w:b/>
          <w:bCs/>
        </w:rPr>
      </w:pPr>
      <w:r w:rsidRPr="00E554DE">
        <w:rPr>
          <w:b/>
          <w:bCs/>
        </w:rPr>
        <w:t>Article 5 (ADD 5.6C12, MOD Tableau 6 700-7 250 MHz)</w:t>
      </w:r>
      <w:bookmarkEnd w:id="24"/>
    </w:p>
    <w:p w14:paraId="493CB99C" w14:textId="77777777" w:rsidR="00205AAC" w:rsidRPr="00E554DE" w:rsidRDefault="00205AAC" w:rsidP="00906541">
      <w:r w:rsidRPr="00E554DE">
        <w:t>22.16</w:t>
      </w:r>
      <w:r w:rsidRPr="00E554DE">
        <w:tab/>
      </w:r>
      <w:r w:rsidRPr="00E554DE">
        <w:rPr>
          <w:b/>
          <w:bCs/>
        </w:rPr>
        <w:t>Approuvé</w:t>
      </w:r>
      <w:r w:rsidRPr="00E554DE">
        <w:t>.</w:t>
      </w:r>
    </w:p>
    <w:p w14:paraId="39A982FE" w14:textId="77777777" w:rsidR="00205AAC" w:rsidRPr="00E554DE" w:rsidRDefault="00205AAC" w:rsidP="00906541">
      <w:pPr>
        <w:rPr>
          <w:b/>
          <w:bCs/>
        </w:rPr>
      </w:pPr>
      <w:bookmarkStart w:id="25" w:name="_Hlk155649431"/>
      <w:bookmarkStart w:id="26" w:name="lt_pId822"/>
      <w:r w:rsidRPr="00E554DE">
        <w:rPr>
          <w:b/>
          <w:bCs/>
        </w:rPr>
        <w:t xml:space="preserve">ADD Résolution COM4/7 </w:t>
      </w:r>
      <w:bookmarkEnd w:id="25"/>
      <w:r w:rsidRPr="00E554DE">
        <w:rPr>
          <w:b/>
          <w:bCs/>
        </w:rPr>
        <w:t xml:space="preserve">– </w:t>
      </w:r>
      <w:bookmarkEnd w:id="26"/>
      <w:r w:rsidRPr="00E554DE">
        <w:rPr>
          <w:b/>
          <w:bCs/>
        </w:rPr>
        <w:t>Composante de Terre des Télécommunications mobiles internationales dans la bande de fréquences 6 425-7 125 MHz</w:t>
      </w:r>
    </w:p>
    <w:p w14:paraId="371324A3" w14:textId="77777777" w:rsidR="00205AAC" w:rsidRPr="00E554DE" w:rsidRDefault="00205AAC" w:rsidP="00906541">
      <w:r w:rsidRPr="00E554DE">
        <w:lastRenderedPageBreak/>
        <w:t>22.17</w:t>
      </w:r>
      <w:r w:rsidRPr="00E554DE">
        <w:tab/>
      </w:r>
      <w:bookmarkStart w:id="27" w:name="lt_pId827"/>
      <w:r w:rsidRPr="00E554DE">
        <w:t xml:space="preserve">À la demande du </w:t>
      </w:r>
      <w:r w:rsidRPr="00E554DE">
        <w:rPr>
          <w:b/>
          <w:bCs/>
        </w:rPr>
        <w:t>Président de la Commission 4</w:t>
      </w:r>
      <w:r w:rsidRPr="00E554DE">
        <w:t xml:space="preserve">, le </w:t>
      </w:r>
      <w:r w:rsidRPr="00E554DE">
        <w:rPr>
          <w:b/>
          <w:bCs/>
        </w:rPr>
        <w:t>Président</w:t>
      </w:r>
      <w:r w:rsidRPr="00E554DE">
        <w:t xml:space="preserve"> propose que plusieurs modifications d'ordre purement rédactionnel à apporter à la Résolution COM4/7 soient traitées directement avec le Président de la Commission 7.</w:t>
      </w:r>
    </w:p>
    <w:p w14:paraId="74715D4D" w14:textId="3ED9533F" w:rsidR="00205AAC" w:rsidRPr="00E554DE" w:rsidRDefault="00205AAC" w:rsidP="00906541">
      <w:r w:rsidRPr="00E554DE">
        <w:t>22.18</w:t>
      </w:r>
      <w:r w:rsidRPr="00E554DE">
        <w:tab/>
        <w:t xml:space="preserve">Il en est ainsi </w:t>
      </w:r>
      <w:r w:rsidRPr="00E554DE">
        <w:rPr>
          <w:b/>
          <w:bCs/>
        </w:rPr>
        <w:t>décidé</w:t>
      </w:r>
      <w:r w:rsidRPr="00E554DE">
        <w:t xml:space="preserve"> et l</w:t>
      </w:r>
      <w:r w:rsidR="00EC0760" w:rsidRPr="00E554DE">
        <w:t xml:space="preserve">e </w:t>
      </w:r>
      <w:r w:rsidRPr="00E554DE">
        <w:t xml:space="preserve">ADD Résolution COM4/7 est </w:t>
      </w:r>
      <w:r w:rsidRPr="00E554DE">
        <w:rPr>
          <w:b/>
          <w:bCs/>
        </w:rPr>
        <w:t>approuvé</w:t>
      </w:r>
      <w:r w:rsidRPr="00E554DE">
        <w:t xml:space="preserve"> sur cette base.</w:t>
      </w:r>
    </w:p>
    <w:p w14:paraId="3C1535E1" w14:textId="77777777" w:rsidR="00205AAC" w:rsidRPr="00E554DE" w:rsidRDefault="00205AAC" w:rsidP="00906541">
      <w:pPr>
        <w:rPr>
          <w:b/>
          <w:bCs/>
        </w:rPr>
      </w:pPr>
      <w:r w:rsidRPr="00E554DE">
        <w:rPr>
          <w:b/>
          <w:bCs/>
        </w:rPr>
        <w:t xml:space="preserve">ADD Résolution COM4/8 </w:t>
      </w:r>
      <w:bookmarkEnd w:id="27"/>
      <w:r w:rsidRPr="00E554DE">
        <w:rPr>
          <w:b/>
          <w:bCs/>
        </w:rPr>
        <w:t>– Études sur les attributions qui pourraient être faites au service d'exploration de la Terre par satellite (passive) dans les bandes de fréquences 4 200</w:t>
      </w:r>
      <w:r w:rsidRPr="00E554DE">
        <w:rPr>
          <w:b/>
          <w:bCs/>
        </w:rPr>
        <w:noBreakHyphen/>
        <w:t>4 400 MHz et 8 400-8 500 MHz</w:t>
      </w:r>
    </w:p>
    <w:p w14:paraId="14C0C997" w14:textId="77777777" w:rsidR="00205AAC" w:rsidRPr="00E554DE" w:rsidRDefault="00205AAC" w:rsidP="00906541">
      <w:r w:rsidRPr="00E554DE">
        <w:t>22.19</w:t>
      </w:r>
      <w:r w:rsidRPr="00E554DE">
        <w:tab/>
      </w:r>
      <w:r w:rsidRPr="00E554DE">
        <w:rPr>
          <w:b/>
          <w:bCs/>
        </w:rPr>
        <w:t>Approuvé</w:t>
      </w:r>
      <w:r w:rsidRPr="00E554DE">
        <w:t>.</w:t>
      </w:r>
    </w:p>
    <w:p w14:paraId="430258F5" w14:textId="3E183FC9" w:rsidR="00205AAC" w:rsidRPr="00E554DE" w:rsidRDefault="00205AAC" w:rsidP="00906541">
      <w:r w:rsidRPr="00E554DE">
        <w:t>22.20</w:t>
      </w:r>
      <w:r w:rsidRPr="00E554DE">
        <w:tab/>
        <w:t xml:space="preserve">Sous réserve des modifications d'ordre rédactionnel à apporter à la Résolution COM4/7, la cinquante-sixième série de textes soumis par la Commission de rédaction (B56) (Document 515) est </w:t>
      </w:r>
      <w:r w:rsidRPr="00E554DE">
        <w:rPr>
          <w:b/>
          <w:bCs/>
        </w:rPr>
        <w:t>approuvée</w:t>
      </w:r>
      <w:r w:rsidRPr="00E554DE">
        <w:t xml:space="preserve"> en première lecture.</w:t>
      </w:r>
    </w:p>
    <w:p w14:paraId="4C1B8432" w14:textId="77777777" w:rsidR="00205AAC" w:rsidRPr="00E554DE" w:rsidRDefault="00205AAC" w:rsidP="00906541">
      <w:pPr>
        <w:pStyle w:val="Heading1"/>
      </w:pPr>
      <w:r w:rsidRPr="00E554DE">
        <w:t>23</w:t>
      </w:r>
      <w:r w:rsidRPr="00E554DE">
        <w:tab/>
      </w:r>
      <w:bookmarkStart w:id="28" w:name="_Hlk156482713"/>
      <w:r w:rsidRPr="00E554DE">
        <w:t>Cinquante-sixième série de textes soumis par la Commission de rédaction (B56) – deuxième lecture (Document 515)</w:t>
      </w:r>
    </w:p>
    <w:bookmarkEnd w:id="28"/>
    <w:p w14:paraId="56AB6028" w14:textId="03A1F309" w:rsidR="00205AAC" w:rsidRPr="00E554DE" w:rsidRDefault="00205AAC" w:rsidP="00906541">
      <w:r w:rsidRPr="00E554DE">
        <w:t>23.1</w:t>
      </w:r>
      <w:r w:rsidRPr="00E554DE">
        <w:tab/>
        <w:t xml:space="preserve">La cinquante-sixième série de textes soumis par la Commission de rédaction (B56) (Document 515), telle que modifiée en première lecture, est </w:t>
      </w:r>
      <w:r w:rsidRPr="00E554DE">
        <w:rPr>
          <w:b/>
          <w:bCs/>
        </w:rPr>
        <w:t>approuvée</w:t>
      </w:r>
      <w:r w:rsidRPr="00E554DE">
        <w:t xml:space="preserve"> en deuxième lecture.</w:t>
      </w:r>
    </w:p>
    <w:p w14:paraId="0794D140" w14:textId="76F561E7" w:rsidR="00205AAC" w:rsidRPr="00E554DE" w:rsidRDefault="00205AAC" w:rsidP="00906541">
      <w:r w:rsidRPr="00E554DE">
        <w:t>23.2</w:t>
      </w:r>
      <w:r w:rsidRPr="00E554DE">
        <w:tab/>
        <w:t xml:space="preserve">Le </w:t>
      </w:r>
      <w:r w:rsidRPr="00E554DE">
        <w:rPr>
          <w:b/>
          <w:bCs/>
        </w:rPr>
        <w:t>Président</w:t>
      </w:r>
      <w:r w:rsidRPr="00E554DE">
        <w:t>, se référant aux informations fournies dans le Document 517, considère que le point additionnel suivant de l'ordre du jour de la CMR-27 est également approuvé en première et deuxième lecture:</w:t>
      </w:r>
    </w:p>
    <w:p w14:paraId="732C3B3F" w14:textId="00F98ADB" w:rsidR="00205AAC" w:rsidRPr="00E554DE" w:rsidRDefault="00205AAC" w:rsidP="00906541">
      <w:r w:rsidRPr="00E554DE">
        <w:t xml:space="preserve">«envisager des attributions possibles à titre primaire dans toutes les Régions au service d'exploration de la Terre par satellite (passive) dans les bandes de fréquences 4 200-4 400 MHz et 8 400-8 500 MHz, conformément à la Résolution </w:t>
      </w:r>
      <w:r w:rsidRPr="00E554DE">
        <w:rPr>
          <w:b/>
          <w:bCs/>
        </w:rPr>
        <w:t>COM4/8 (CMR-23)</w:t>
      </w:r>
      <w:r w:rsidRPr="00E554DE">
        <w:t>».</w:t>
      </w:r>
    </w:p>
    <w:p w14:paraId="02E9C62B" w14:textId="77777777" w:rsidR="00205AAC" w:rsidRPr="00E554DE" w:rsidRDefault="00205AAC" w:rsidP="00906541">
      <w:r w:rsidRPr="00E554DE">
        <w:t>23.3</w:t>
      </w:r>
      <w:r w:rsidRPr="00E554DE">
        <w:tab/>
        <w:t xml:space="preserve">Il en est ainsi </w:t>
      </w:r>
      <w:r w:rsidRPr="00E554DE">
        <w:rPr>
          <w:b/>
          <w:bCs/>
        </w:rPr>
        <w:t>décidé</w:t>
      </w:r>
      <w:r w:rsidRPr="00E554DE">
        <w:t>.</w:t>
      </w:r>
    </w:p>
    <w:p w14:paraId="5D6410D9" w14:textId="3238C987" w:rsidR="00205AAC" w:rsidRPr="00E554DE" w:rsidRDefault="00205AAC" w:rsidP="00906541">
      <w:r w:rsidRPr="00E554DE">
        <w:t>23.4</w:t>
      </w:r>
      <w:r w:rsidRPr="00E554DE">
        <w:tab/>
        <w:t xml:space="preserve">Le </w:t>
      </w:r>
      <w:r w:rsidRPr="00E554DE">
        <w:rPr>
          <w:b/>
          <w:bCs/>
        </w:rPr>
        <w:t>Président</w:t>
      </w:r>
      <w:r w:rsidRPr="00E554DE">
        <w:t xml:space="preserve"> indique que le point additionnel reproduit dans le Document 517 sera donc ajouté au projet de nouvelle Résolution COM6/23 relatif à l'ordre du jour de la CMR</w:t>
      </w:r>
      <w:r w:rsidRPr="00E554DE">
        <w:noBreakHyphen/>
        <w:t>27.</w:t>
      </w:r>
    </w:p>
    <w:p w14:paraId="62E73BA2" w14:textId="479818F1" w:rsidR="00205AAC" w:rsidRPr="00E554DE" w:rsidRDefault="00205AAC" w:rsidP="00906541">
      <w:r w:rsidRPr="00E554DE">
        <w:t>23.5</w:t>
      </w:r>
      <w:r w:rsidRPr="00E554DE">
        <w:tab/>
        <w:t xml:space="preserve">La </w:t>
      </w:r>
      <w:r w:rsidRPr="00E554DE">
        <w:rPr>
          <w:b/>
          <w:bCs/>
        </w:rPr>
        <w:t>déléguée du Mexique</w:t>
      </w:r>
      <w:r w:rsidRPr="00E554DE">
        <w:t xml:space="preserve"> exprime sa gratitude à tous ceux qui ont participé aux délibérations concernant le point 1.2 de l'ordre du jour (bande de fréquences des 6 GHz). Les administrations de la Région 2, en particulier, ont fait preuve d'une grande souplesse pour parvenir à un résultat qui reconnaît l'importance de tous les services, notamment du service d'exploration de la Terre par satellite (SETS), lorsqu'il s'agit de modifier les bandes examinées pour une identification pour les IMT.</w:t>
      </w:r>
    </w:p>
    <w:p w14:paraId="5BE7AEC9" w14:textId="575AA101" w:rsidR="00205AAC" w:rsidRPr="00E554DE" w:rsidRDefault="00205AAC" w:rsidP="00906541">
      <w:r w:rsidRPr="00E554DE">
        <w:t>23.6</w:t>
      </w:r>
      <w:r w:rsidRPr="00E554DE">
        <w:tab/>
        <w:t xml:space="preserve">Le </w:t>
      </w:r>
      <w:r w:rsidRPr="00E554DE">
        <w:rPr>
          <w:b/>
          <w:bCs/>
        </w:rPr>
        <w:t xml:space="preserve">délégué du Cambodge </w:t>
      </w:r>
      <w:r w:rsidRPr="00E554DE">
        <w:t>remercie également les modérateurs et coordonnateurs des discussions ad hoc, ainsi que tous les participants aux délibérations, en particulier les administrations qui ont accepté que leur nom ne soit pas ajouté dans le numéro 5.6B12 dans un souci de compromis. Il dit regretter que les noms des pays voisins du Cambodge dans la Région 3 ne puissent être ajoutés dans le renvoi et ne doute pas que la bande de fréquences des 6 GHz leur sera ouverte à la prochaine CMR.</w:t>
      </w:r>
    </w:p>
    <w:p w14:paraId="6229354D" w14:textId="42F47924" w:rsidR="00205AAC" w:rsidRPr="00E554DE" w:rsidRDefault="00205AAC" w:rsidP="00906541">
      <w:r w:rsidRPr="00E554DE">
        <w:t>23.7</w:t>
      </w:r>
      <w:r w:rsidRPr="00E554DE">
        <w:tab/>
        <w:t xml:space="preserve">Le </w:t>
      </w:r>
      <w:r w:rsidRPr="00E554DE">
        <w:rPr>
          <w:b/>
          <w:bCs/>
        </w:rPr>
        <w:t>délégué du Danemark</w:t>
      </w:r>
      <w:r w:rsidRPr="00E554DE">
        <w:t xml:space="preserve">, appuyé par le </w:t>
      </w:r>
      <w:r w:rsidRPr="00E554DE">
        <w:rPr>
          <w:b/>
          <w:bCs/>
        </w:rPr>
        <w:t>délégué de l'Allemagne</w:t>
      </w:r>
      <w:r w:rsidRPr="00E554DE">
        <w:t>, déclare qu'en approuvant le document, la Conférence s'est acquittée d'une double responsabilité, d'une part, vis</w:t>
      </w:r>
      <w:r w:rsidRPr="00E554DE">
        <w:noBreakHyphen/>
        <w:t>à</w:t>
      </w:r>
      <w:r w:rsidRPr="00E554DE">
        <w:noBreakHyphen/>
        <w:t>vis du monde, en ouvrant la voie à la recherche d'un cadre sûr pour le SETS (passive) pour la mesure de la température de la surface de la mer, et d'autre part, vis-à-vis des communications, en ce qui concerne les IMT. À cette fin, pour faciliter les études sur le SETS (passive) et les IMT dans les bandes adjacentes et de parvenir à une bonne décision à la CMR-27, il propose d'inclure le texte suivant dans le procès-verbal de la plénière:</w:t>
      </w:r>
    </w:p>
    <w:p w14:paraId="61EEB478" w14:textId="37D834D1" w:rsidR="00205AAC" w:rsidRPr="00E554DE" w:rsidRDefault="00205AAC" w:rsidP="00906541">
      <w:r w:rsidRPr="00E554DE">
        <w:lastRenderedPageBreak/>
        <w:t>«La CMR-23 invite l'UIT-R à tenir dûment compte de l'attribution possible, à la CMR-27, des bandes de fréquences 4 200-4 400 MHz et 8 400-8 500 MHz au service d'exploration de la Terre par satellite (passive), lorsqu'elle effectuera les études de partage et de compatibilité pour la composante de Terre des IMT dans les bandes adjacentes 4 400-4 800 MHz et 7 125-8 400 MHz.»</w:t>
      </w:r>
    </w:p>
    <w:p w14:paraId="1D8E5635" w14:textId="2E051787" w:rsidR="00205AAC" w:rsidRPr="00E554DE" w:rsidRDefault="00205AAC" w:rsidP="00906541">
      <w:r w:rsidRPr="00E554DE">
        <w:t>23.8</w:t>
      </w:r>
      <w:r w:rsidRPr="00E554DE">
        <w:tab/>
        <w:t xml:space="preserve">La </w:t>
      </w:r>
      <w:r w:rsidRPr="00E554DE">
        <w:rPr>
          <w:b/>
          <w:bCs/>
        </w:rPr>
        <w:t>déléguée de la Slovénie</w:t>
      </w:r>
      <w:r w:rsidRPr="00E554DE">
        <w:t xml:space="preserve"> et le délégué de l'</w:t>
      </w:r>
      <w:r w:rsidRPr="00E554DE">
        <w:rPr>
          <w:b/>
          <w:bCs/>
        </w:rPr>
        <w:t>Arabie Saoudite</w:t>
      </w:r>
      <w:r w:rsidRPr="00E554DE">
        <w:t xml:space="preserve"> reprennent à leur compte les remerciements exprimés par les orateurs précédents aux pays de toutes les régions pour leur travail et leur coopération en vue de parvenir à un accord sur un point de l'ordre du jour très difficile.</w:t>
      </w:r>
    </w:p>
    <w:p w14:paraId="788DF755" w14:textId="01A60DE8" w:rsidR="00205AAC" w:rsidRPr="00E554DE" w:rsidRDefault="00205AAC" w:rsidP="00906541">
      <w:r w:rsidRPr="00E554DE">
        <w:t>23.9</w:t>
      </w:r>
      <w:r w:rsidRPr="00E554DE">
        <w:tab/>
        <w:t>L'observateur de l'</w:t>
      </w:r>
      <w:r w:rsidRPr="00E554DE">
        <w:rPr>
          <w:b/>
          <w:bCs/>
        </w:rPr>
        <w:t>Organisation météorologique mondiale</w:t>
      </w:r>
      <w:r w:rsidRPr="00E554DE">
        <w:t xml:space="preserve"> exprime sa gratitude à toutes les parties qui ont joué un rôle dans la conclusion des travaux sur le point 1.2 de l'ordre du jour. L'adoption par la Conférence d'une nouvelle Résolution COM4/8 concernant une éventuelle attribution au SETS à la CMR-27 constitue un élément crucial pour la mesure des températures à la surface de la mer.</w:t>
      </w:r>
    </w:p>
    <w:p w14:paraId="79566E0A" w14:textId="1B3C88F9" w:rsidR="00205AAC" w:rsidRPr="00E554DE" w:rsidRDefault="00205AAC" w:rsidP="00906541">
      <w:r w:rsidRPr="00E554DE">
        <w:t>23.10</w:t>
      </w:r>
      <w:r w:rsidRPr="00E554DE">
        <w:tab/>
        <w:t xml:space="preserve">Le </w:t>
      </w:r>
      <w:r w:rsidRPr="00E554DE">
        <w:rPr>
          <w:b/>
          <w:bCs/>
        </w:rPr>
        <w:t>Président</w:t>
      </w:r>
      <w:r w:rsidRPr="00E554DE">
        <w:t xml:space="preserve"> remercie le Président de la Commission 4 et toutes les délégations qui ont traité le point 1.2 de l'ordre du jour pour leur travail acharné. Il se félicite particulièrement de la bonne coopération de tous les groupes régionaux et de l'appui qu'ils ont fourni.</w:t>
      </w:r>
    </w:p>
    <w:p w14:paraId="03C860B6" w14:textId="77777777" w:rsidR="00205AAC" w:rsidRPr="00E554DE" w:rsidRDefault="00205AAC" w:rsidP="00906541">
      <w:pPr>
        <w:pStyle w:val="Heading1"/>
      </w:pPr>
      <w:r w:rsidRPr="00E554DE">
        <w:t>24</w:t>
      </w:r>
      <w:r w:rsidRPr="00E554DE">
        <w:tab/>
        <w:t>Note du Groupe ad hoc de la Commission 4 à la plénière (suite) (Document 516(Rév.1))</w:t>
      </w:r>
    </w:p>
    <w:p w14:paraId="3932C8F6" w14:textId="28BF3BAB" w:rsidR="00205AAC" w:rsidRPr="00E554DE" w:rsidRDefault="00205AAC" w:rsidP="00906541">
      <w:r w:rsidRPr="00E554DE">
        <w:t>24.1</w:t>
      </w:r>
      <w:r w:rsidRPr="00E554DE">
        <w:tab/>
        <w:t xml:space="preserve">Le </w:t>
      </w:r>
      <w:r w:rsidRPr="00E554DE">
        <w:rPr>
          <w:b/>
          <w:bCs/>
        </w:rPr>
        <w:t>Président de la Commission 4</w:t>
      </w:r>
      <w:r w:rsidRPr="00E554DE">
        <w:t xml:space="preserve"> rappelle que lorsque le Document 516(Rév.1), qui concerne le point 1.5 de l'ordre du jour, a été examiné plus tôt en séance, certaines questions ont été soulevées concernant la suppression de certains noms de pays d'un renvoi particulier. Il croit comprendre qu'à la suite de consultations entre les parties concernées, les préoccupations ont été atténuées dans une certaine mesure et que la plénière peut poursuivre l'examen du document.</w:t>
      </w:r>
    </w:p>
    <w:p w14:paraId="6C544A99" w14:textId="5FA7F91B" w:rsidR="00205AAC" w:rsidRPr="00E554DE" w:rsidRDefault="00205AAC" w:rsidP="00906541">
      <w:r w:rsidRPr="00E554DE">
        <w:t>24.2</w:t>
      </w:r>
      <w:r w:rsidRPr="00E554DE">
        <w:tab/>
        <w:t xml:space="preserve">Le </w:t>
      </w:r>
      <w:r w:rsidRPr="00E554DE">
        <w:rPr>
          <w:b/>
          <w:bCs/>
        </w:rPr>
        <w:t>Président</w:t>
      </w:r>
      <w:r w:rsidRPr="00E554DE">
        <w:t xml:space="preserve"> invite les participants à reprendre l'examen du Document 516(Rév.1).</w:t>
      </w:r>
    </w:p>
    <w:p w14:paraId="78BEC97D" w14:textId="77777777" w:rsidR="00205AAC" w:rsidRPr="00E554DE" w:rsidRDefault="00205AAC" w:rsidP="00906541">
      <w:pPr>
        <w:rPr>
          <w:b/>
          <w:bCs/>
        </w:rPr>
      </w:pPr>
      <w:r w:rsidRPr="00E554DE">
        <w:rPr>
          <w:b/>
          <w:bCs/>
        </w:rPr>
        <w:t>Article 5 (MOD Tableau 460-890 MHz)</w:t>
      </w:r>
    </w:p>
    <w:p w14:paraId="4A44AEA1" w14:textId="77777777" w:rsidR="00205AAC" w:rsidRPr="00E554DE" w:rsidRDefault="00205AAC" w:rsidP="00906541">
      <w:r w:rsidRPr="00E554DE">
        <w:t>24.3</w:t>
      </w:r>
      <w:r w:rsidRPr="00E554DE">
        <w:tab/>
      </w:r>
      <w:r w:rsidRPr="00E554DE">
        <w:rPr>
          <w:b/>
          <w:bCs/>
        </w:rPr>
        <w:t>Approuvé</w:t>
      </w:r>
      <w:r w:rsidRPr="00E554DE">
        <w:t>.</w:t>
      </w:r>
    </w:p>
    <w:p w14:paraId="47EC37D2" w14:textId="77777777" w:rsidR="00205AAC" w:rsidRPr="00E554DE" w:rsidRDefault="00205AAC" w:rsidP="00906541">
      <w:pPr>
        <w:rPr>
          <w:b/>
          <w:bCs/>
        </w:rPr>
      </w:pPr>
      <w:r w:rsidRPr="00E554DE">
        <w:rPr>
          <w:b/>
          <w:bCs/>
        </w:rPr>
        <w:t>ADD 5.15A</w:t>
      </w:r>
    </w:p>
    <w:p w14:paraId="4C264B41" w14:textId="1E702655" w:rsidR="00205AAC" w:rsidRPr="00E554DE" w:rsidRDefault="00205AAC" w:rsidP="00906541">
      <w:r w:rsidRPr="00E554DE">
        <w:t>24.4</w:t>
      </w:r>
      <w:r w:rsidRPr="00E554DE">
        <w:tab/>
        <w:t xml:space="preserve">Le </w:t>
      </w:r>
      <w:r w:rsidRPr="00E554DE">
        <w:rPr>
          <w:b/>
          <w:bCs/>
        </w:rPr>
        <w:t>délégué des Émirats arabes unis</w:t>
      </w:r>
      <w:r w:rsidRPr="00E554DE">
        <w:t xml:space="preserve"> rend compte des consultations menées au titre du point 1.5 de l'ordre du jour et indique qu'un accord a été trouvé pour ajouter le nom de la Türkiye dans le numéro 5.15A. Toutefois, malgré les efforts de coordination, il n'a malheureusement pas été possible d'ajouter d'autres noms de pays. L'orateur exhorte les pays à ne pas insister, car toute nouvelle modification romprait le compromis délicat qui a été trouvé sur ce point très important de l'ordre du jour.</w:t>
      </w:r>
    </w:p>
    <w:p w14:paraId="7421DFE4" w14:textId="2F618835" w:rsidR="00205AAC" w:rsidRPr="00E554DE" w:rsidRDefault="00205AAC" w:rsidP="00906541">
      <w:r w:rsidRPr="00E554DE">
        <w:t>24.5</w:t>
      </w:r>
      <w:r w:rsidRPr="00E554DE">
        <w:tab/>
        <w:t>L</w:t>
      </w:r>
      <w:r w:rsidR="00EC0760" w:rsidRPr="00E554DE">
        <w:t xml:space="preserve">e </w:t>
      </w:r>
      <w:r w:rsidRPr="00E554DE">
        <w:t xml:space="preserve">ADD 5.15A, tel que modifié, est </w:t>
      </w:r>
      <w:r w:rsidRPr="00E554DE">
        <w:rPr>
          <w:b/>
          <w:bCs/>
        </w:rPr>
        <w:t>approuvé</w:t>
      </w:r>
      <w:r w:rsidRPr="00E554DE">
        <w:t>.</w:t>
      </w:r>
    </w:p>
    <w:p w14:paraId="52972184" w14:textId="77777777" w:rsidR="00205AAC" w:rsidRPr="00E554DE" w:rsidRDefault="00205AAC" w:rsidP="00906541">
      <w:pPr>
        <w:keepNext/>
        <w:keepLines/>
        <w:spacing w:before="280"/>
        <w:outlineLvl w:val="0"/>
        <w:rPr>
          <w:b/>
          <w:szCs w:val="24"/>
        </w:rPr>
      </w:pPr>
      <w:bookmarkStart w:id="29" w:name="lt_pId878"/>
      <w:r w:rsidRPr="00E554DE">
        <w:rPr>
          <w:b/>
          <w:szCs w:val="24"/>
        </w:rPr>
        <w:t>Article 5 (ADD 5.15 B, ADD 5.15 C, MOD 5.294, MOD 5.296, MOD 5.300, MOD 5.317A, 2.XX); MOD Résolution 224 (Rév.CMR-19); MOD Résolution 235 (Rév.CMR-15)</w:t>
      </w:r>
      <w:bookmarkEnd w:id="29"/>
    </w:p>
    <w:p w14:paraId="0AEDB02E" w14:textId="77777777" w:rsidR="00205AAC" w:rsidRPr="00E554DE" w:rsidRDefault="00205AAC" w:rsidP="00906541">
      <w:r w:rsidRPr="00E554DE">
        <w:t>24.6</w:t>
      </w:r>
      <w:r w:rsidRPr="00E554DE">
        <w:tab/>
      </w:r>
      <w:r w:rsidRPr="00E554DE">
        <w:rPr>
          <w:b/>
          <w:bCs/>
        </w:rPr>
        <w:t>Approuvés</w:t>
      </w:r>
      <w:r w:rsidRPr="00E554DE">
        <w:t>.</w:t>
      </w:r>
    </w:p>
    <w:p w14:paraId="5B8C856A" w14:textId="4F7B5C53" w:rsidR="00205AAC" w:rsidRPr="00E554DE" w:rsidRDefault="00205AAC" w:rsidP="00906541">
      <w:r w:rsidRPr="00E554DE">
        <w:t>24.7</w:t>
      </w:r>
      <w:r w:rsidRPr="00E554DE">
        <w:tab/>
        <w:t xml:space="preserve">Le Document 516(Rév.1) est </w:t>
      </w:r>
      <w:r w:rsidRPr="00E554DE">
        <w:rPr>
          <w:b/>
          <w:bCs/>
        </w:rPr>
        <w:t>approuvé</w:t>
      </w:r>
      <w:r w:rsidRPr="00E554DE">
        <w:t xml:space="preserve"> en première et deuxième lecture.</w:t>
      </w:r>
    </w:p>
    <w:p w14:paraId="38E70FE5" w14:textId="558C2596" w:rsidR="00205AAC" w:rsidRPr="00E554DE" w:rsidRDefault="00205AAC" w:rsidP="00906541">
      <w:r w:rsidRPr="00E554DE">
        <w:t>24.8</w:t>
      </w:r>
      <w:r w:rsidRPr="00E554DE">
        <w:tab/>
        <w:t xml:space="preserve">Le </w:t>
      </w:r>
      <w:r w:rsidRPr="00E554DE">
        <w:rPr>
          <w:b/>
          <w:bCs/>
        </w:rPr>
        <w:t>Président</w:t>
      </w:r>
      <w:r w:rsidRPr="00E554DE">
        <w:t xml:space="preserve"> exprime sa gratitude à tous ceux qui ont travaillé sur ce point très difficile de l'ordre du jour, en particulier les délégués des Émirats arabes unis et de la République islamique d'Iran.</w:t>
      </w:r>
    </w:p>
    <w:p w14:paraId="13599C9C" w14:textId="4F3E5C33" w:rsidR="00205AAC" w:rsidRPr="00E554DE" w:rsidRDefault="00205AAC" w:rsidP="00906541">
      <w:r w:rsidRPr="00E554DE">
        <w:lastRenderedPageBreak/>
        <w:t>24.9</w:t>
      </w:r>
      <w:r w:rsidRPr="00E554DE">
        <w:tab/>
        <w:t xml:space="preserve">Le </w:t>
      </w:r>
      <w:r w:rsidRPr="00E554DE">
        <w:rPr>
          <w:b/>
          <w:bCs/>
        </w:rPr>
        <w:t>délégué du Nigéria</w:t>
      </w:r>
      <w:r w:rsidRPr="00E554DE">
        <w:t xml:space="preserve"> se dit heureux qu'une conclusion à laquelle tous peuvent souscrire, même à titre provisoire, ait finalement été atteinte. Toutefois, la pratique qui consiste à empêcher d'autres pays d'ajouter leur nom dans des renvois sans raison technique apparente, ce qui s'est produit dans le cadre de points de l'ordre du jour autres que le point 8 de l'ordre du jour, est inacceptable et doit être traitée une fois pour toutes. L'objectif devrait être d'identifier des solutions adaptées à chaque administration, et à cette fin les méthodes de travail et les processus doivent être repensés.</w:t>
      </w:r>
    </w:p>
    <w:p w14:paraId="6FD9CD08" w14:textId="4CCAC4D4" w:rsidR="00205AAC" w:rsidRPr="00E554DE" w:rsidRDefault="00205AAC" w:rsidP="00906541">
      <w:r w:rsidRPr="00E554DE">
        <w:t>24.10</w:t>
      </w:r>
      <w:r w:rsidRPr="00E554DE">
        <w:tab/>
        <w:t>S'exprimant également au nom de la Libye, de la Mauritanie, de la Gambie, du Sénégal, du Soudan, du Tchad et de la Türkiye, l'orateur prononce la déclaration suivante:</w:t>
      </w:r>
    </w:p>
    <w:p w14:paraId="119BAD3C" w14:textId="19EDCAB1" w:rsidR="00205AAC" w:rsidRPr="00E554DE" w:rsidRDefault="00205AAC" w:rsidP="00906541">
      <w:r w:rsidRPr="00E554DE">
        <w:t>«Les administrations cosignataires ont proposé qu'une attribution soit faite au service mobile à titre primaire avec identification de la bande de fréquences 614-694 MHz pour les IMT sur leur territoire et que leurs noms soient inclus dans le numéro 5.15B à la CMR 23.</w:t>
      </w:r>
    </w:p>
    <w:p w14:paraId="1C519E0E" w14:textId="6AA4B3BD" w:rsidR="00205AAC" w:rsidRPr="00E554DE" w:rsidRDefault="00205AAC" w:rsidP="00906541">
      <w:r w:rsidRPr="00E554DE">
        <w:t>En raison de contraintes de temps et des préoccupations exprimées par certaines administrations quant à l'adjonction des noms des administrations susmentionnées au numéro 5.15B, les noms de pays ont été supprimés du numéro 5.15B prévoyant cette attribution à titre primaire ou n'y ont pas été ajoutés.</w:t>
      </w:r>
    </w:p>
    <w:p w14:paraId="02294EF7" w14:textId="3724950B" w:rsidR="00205AAC" w:rsidRPr="00E554DE" w:rsidRDefault="00205AAC" w:rsidP="00906541">
      <w:r w:rsidRPr="00E554DE">
        <w:t>Toutefois, les administrations cosignataires de cette déclaration sont très préoccupées par l'objection formulée par certains pays sans fondement technique et malgré l'adjonction, dans ce même renvoi, des noms d'autres administrations ayant des positions similaires. En outre, cette objection ne tenait pas compte des multiples conditions applicables à la protection des services de radiodiffusion dans les pays voisins qui ont été ajoutées en plus de celles figurant dans l'Accord GE06.</w:t>
      </w:r>
    </w:p>
    <w:p w14:paraId="05C6FEF9" w14:textId="79B7DD44" w:rsidR="00205AAC" w:rsidRPr="00E554DE" w:rsidRDefault="00205AAC" w:rsidP="00906541">
      <w:r w:rsidRPr="00E554DE">
        <w:t>Les administrations cosignataires ont fait part des besoins et de leur projet concernant la mise en œuvre immédiate ou sans délai des systèmes IMT dans le cadre du service mobile dans leurs pays compte tenu des conditions techniques définies dans le numéro 5.15B à la CMR-23. En outre, les administrations cosignataires ont souligné la nécessité que leur nom soit ajouté dans le renvoi correspondant relatif à l'attribution de la bande de fréquences 614-694 MHz au service mobile à titre primaire et à son identification pour les systèmes IMT à la CMR-27.»</w:t>
      </w:r>
    </w:p>
    <w:p w14:paraId="3E305480" w14:textId="174FBEE0" w:rsidR="00205AAC" w:rsidRPr="00E554DE" w:rsidRDefault="00205AAC" w:rsidP="00906541">
      <w:r w:rsidRPr="00E554DE">
        <w:t>24.11</w:t>
      </w:r>
      <w:r w:rsidRPr="00E554DE">
        <w:tab/>
        <w:t xml:space="preserve">Le </w:t>
      </w:r>
      <w:r w:rsidRPr="00E554DE">
        <w:rPr>
          <w:b/>
          <w:bCs/>
        </w:rPr>
        <w:t>délégué de la Mauritanie</w:t>
      </w:r>
      <w:r w:rsidRPr="00E554DE">
        <w:t xml:space="preserve"> déclare qu'en tant que cosignataire de la déclaration ci</w:t>
      </w:r>
      <w:r w:rsidRPr="00E554DE">
        <w:noBreakHyphen/>
        <w:t>dessus sur l'adjonction de noms de pays dans des renvois relative à une attribution faite à titre primaire pour les IMT, la Mauritanie considère que les bandes de fréquences en question constituent une occasion unique pour les pays en développement d'offrir des services de qualité sur l'ensemble de leur territoire et que les pays développés devraient faciliter l'accès à ces bandes pour que les pays moins privilégiés puissent en bénéficier.</w:t>
      </w:r>
    </w:p>
    <w:p w14:paraId="5F268C41" w14:textId="695A4D9F" w:rsidR="00205AAC" w:rsidRPr="00E554DE" w:rsidRDefault="00205AAC" w:rsidP="00906541">
      <w:r w:rsidRPr="00E554DE">
        <w:t>24.12</w:t>
      </w:r>
      <w:r w:rsidRPr="00E554DE">
        <w:tab/>
        <w:t xml:space="preserve">Le </w:t>
      </w:r>
      <w:r w:rsidRPr="00E554DE">
        <w:rPr>
          <w:b/>
          <w:bCs/>
        </w:rPr>
        <w:t>délégué de l'Italie</w:t>
      </w:r>
      <w:r w:rsidRPr="00E554DE">
        <w:t xml:space="preserve"> fait la déclaration suivante:</w:t>
      </w:r>
    </w:p>
    <w:p w14:paraId="64DF7B65" w14:textId="65DF045C" w:rsidR="00205AAC" w:rsidRPr="00E554DE" w:rsidRDefault="00205AAC" w:rsidP="00906541">
      <w:r w:rsidRPr="00E554DE">
        <w:t>«Au titre du point 1.5 de l'ordre du jour relatif à l'utilisation de la bande de fréquences 470</w:t>
      </w:r>
      <w:r w:rsidRPr="00E554DE">
        <w:noBreakHyphen/>
        <w:t>694 MHz, une proposition a été soumise en vue d'attribuer cette bande de fréquences au service mobile à titre secondaire dans un renvoi, dans lequel l'Italie a demandé que son nom soit inclus. Dans le document soumis à la plénière pour approbation, le nom de l'Italie ne figurait pas parmi ceux inclus dans le renvoi susmentionné.</w:t>
      </w:r>
    </w:p>
    <w:p w14:paraId="6C8DAD1A" w14:textId="0BB59572" w:rsidR="00205AAC" w:rsidRPr="00E554DE" w:rsidRDefault="00205AAC" w:rsidP="00906541">
      <w:r w:rsidRPr="00E554DE">
        <w:t>À la suite des indications du Président concernant la non-réouverture du débat, aucune modification n'a été autorisée et le document a été approuvé en maintenant l'exclusion de l'Italie.</w:t>
      </w:r>
    </w:p>
    <w:p w14:paraId="1236AF5E" w14:textId="4F48DEB6" w:rsidR="00205AAC" w:rsidRPr="00E554DE" w:rsidRDefault="00205AAC" w:rsidP="00906541">
      <w:r w:rsidRPr="00E554DE">
        <w:t>L'Italie regrette les mesures qui ont résulté de ces travaux, mais se dit tout à fait disposée à répondre aux préoccupations des pays opposés, afin qu'elles puissent être dissipées et que l'Italie puisse demander à ce que son nom soit inclus à une future CMR.»</w:t>
      </w:r>
    </w:p>
    <w:p w14:paraId="56F2526F" w14:textId="77777777" w:rsidR="00205AAC" w:rsidRPr="00E554DE" w:rsidRDefault="00205AAC" w:rsidP="00906541">
      <w:pPr>
        <w:pStyle w:val="Heading1"/>
      </w:pPr>
      <w:r w:rsidRPr="00E554DE">
        <w:lastRenderedPageBreak/>
        <w:t>25</w:t>
      </w:r>
      <w:r w:rsidRPr="00E554DE">
        <w:tab/>
        <w:t>Troisième rapport de la Commission 4 à la plénière (Document 465)</w:t>
      </w:r>
    </w:p>
    <w:p w14:paraId="29514963" w14:textId="1B824C1A" w:rsidR="00205AAC" w:rsidRPr="00E554DE" w:rsidRDefault="00205AAC" w:rsidP="00906541">
      <w:r w:rsidRPr="00E554DE">
        <w:t>25.1</w:t>
      </w:r>
      <w:r w:rsidRPr="00E554DE">
        <w:tab/>
        <w:t xml:space="preserve">Le </w:t>
      </w:r>
      <w:r w:rsidRPr="00E554DE">
        <w:rPr>
          <w:b/>
          <w:bCs/>
        </w:rPr>
        <w:t>Président de la Commission 4</w:t>
      </w:r>
      <w:r w:rsidRPr="00E554DE">
        <w:t xml:space="preserve"> présente le Document 465, qui contient le texte suivant concernant le point 1.1 de l'ordre du jour, afin qu'il soit approuvé conjointement avec le Document 472 et inséré dans le procès-verbal de la plénière:</w:t>
      </w:r>
    </w:p>
    <w:p w14:paraId="2E79255F" w14:textId="62C02BB8" w:rsidR="00205AAC" w:rsidRPr="00E554DE" w:rsidRDefault="00205AAC" w:rsidP="00906541">
      <w:r w:rsidRPr="00E554DE">
        <w:t>«La CMR-15, la CMR-19 et la CMR-23 n'ont pas été en mesure de parvenir à un accord sur la question de la nécessité de protéger l'exploitation des stations du SMA/SMM dans l'espace aérien international et dans les eaux internationales dans la bande de fréquences 4 800-4 990 MHz vis</w:t>
      </w:r>
      <w:r w:rsidRPr="00E554DE">
        <w:noBreakHyphen/>
        <w:t>à</w:t>
      </w:r>
      <w:r w:rsidRPr="00E554DE">
        <w:noBreakHyphen/>
        <w:t xml:space="preserve">vis des stations IMT exploitées sur les territoires nationaux, et sur les conditions associées. En raison de divergences de vues concernant la pertinence d'un critère de puissance surfacique pour protéger le SMA/SMM, sa valeur, ses conditions et la bande de fréquences utilisée pour son application, aucune solution n'a pu être trouvée pour résoudre ce problème. Par conséquent, la Conférence a décidé de laisser inchangées les conditions réglementaires et techniques énoncées dans le numéro </w:t>
      </w:r>
      <w:r w:rsidRPr="00E554DE">
        <w:rPr>
          <w:b/>
          <w:bCs/>
        </w:rPr>
        <w:t>5.441B</w:t>
      </w:r>
      <w:r w:rsidRPr="00E554DE">
        <w:t>. La Conférence a également décidé de ne pas poursuivre les études sur cette question.»</w:t>
      </w:r>
    </w:p>
    <w:p w14:paraId="789B6F25" w14:textId="77777777" w:rsidR="00205AAC" w:rsidRPr="00E554DE" w:rsidRDefault="00205AAC" w:rsidP="00906541">
      <w:r w:rsidRPr="00E554DE">
        <w:t>25.2</w:t>
      </w:r>
      <w:r w:rsidRPr="00E554DE">
        <w:tab/>
        <w:t xml:space="preserve">Il en est ainsi </w:t>
      </w:r>
      <w:r w:rsidRPr="00E554DE">
        <w:rPr>
          <w:b/>
          <w:bCs/>
        </w:rPr>
        <w:t>décidé</w:t>
      </w:r>
      <w:r w:rsidRPr="00E554DE">
        <w:t xml:space="preserve">, et le Document 465 est </w:t>
      </w:r>
      <w:r w:rsidRPr="00E554DE">
        <w:rPr>
          <w:b/>
          <w:bCs/>
        </w:rPr>
        <w:t>approuvé</w:t>
      </w:r>
      <w:r w:rsidRPr="00E554DE">
        <w:t>.</w:t>
      </w:r>
    </w:p>
    <w:p w14:paraId="7E03E323" w14:textId="77777777" w:rsidR="00205AAC" w:rsidRPr="00E554DE" w:rsidRDefault="00205AAC" w:rsidP="00906541">
      <w:pPr>
        <w:pStyle w:val="Heading1"/>
      </w:pPr>
      <w:r w:rsidRPr="00E554DE">
        <w:t>26</w:t>
      </w:r>
      <w:r w:rsidRPr="00E554DE">
        <w:tab/>
        <w:t>Trente-neuvième série de textes soumis par la Commission de rédaction en première lecture (B39) (Document 472)</w:t>
      </w:r>
    </w:p>
    <w:p w14:paraId="762DA9ED" w14:textId="77777777" w:rsidR="00205AAC" w:rsidRPr="00E554DE" w:rsidRDefault="00205AAC" w:rsidP="00906541">
      <w:r w:rsidRPr="00E554DE">
        <w:t>26.1</w:t>
      </w:r>
      <w:r w:rsidRPr="00E554DE">
        <w:tab/>
        <w:t xml:space="preserve">Le </w:t>
      </w:r>
      <w:r w:rsidRPr="00E554DE">
        <w:rPr>
          <w:b/>
          <w:bCs/>
        </w:rPr>
        <w:t>Président de la Commission de rédaction</w:t>
      </w:r>
      <w:r w:rsidRPr="00E554DE">
        <w:t xml:space="preserve"> présente le Document 472.</w:t>
      </w:r>
    </w:p>
    <w:p w14:paraId="50DCDECF" w14:textId="77777777" w:rsidR="00205AAC" w:rsidRPr="00E554DE" w:rsidRDefault="00205AAC" w:rsidP="00906541">
      <w:r w:rsidRPr="00E554DE">
        <w:t>26.2</w:t>
      </w:r>
      <w:r w:rsidRPr="00E554DE">
        <w:tab/>
        <w:t xml:space="preserve">Le </w:t>
      </w:r>
      <w:r w:rsidRPr="00E554DE">
        <w:rPr>
          <w:b/>
          <w:bCs/>
        </w:rPr>
        <w:t>Président</w:t>
      </w:r>
      <w:r w:rsidRPr="00E554DE">
        <w:t xml:space="preserve"> invite les participants à examiner le Document 472.</w:t>
      </w:r>
    </w:p>
    <w:p w14:paraId="445C92D3" w14:textId="77777777" w:rsidR="00205AAC" w:rsidRPr="00E554DE" w:rsidRDefault="00205AAC" w:rsidP="00906541">
      <w:pPr>
        <w:rPr>
          <w:b/>
          <w:szCs w:val="24"/>
        </w:rPr>
      </w:pPr>
      <w:bookmarkStart w:id="30" w:name="lt_pId921"/>
      <w:r w:rsidRPr="00E554DE">
        <w:rPr>
          <w:b/>
          <w:szCs w:val="24"/>
        </w:rPr>
        <w:t>Article 5 (MOD Tableau 4 800-5 250 MHz)</w:t>
      </w:r>
      <w:bookmarkEnd w:id="30"/>
    </w:p>
    <w:p w14:paraId="2E798A83" w14:textId="77777777" w:rsidR="00205AAC" w:rsidRPr="00E554DE" w:rsidRDefault="00205AAC" w:rsidP="00906541">
      <w:pPr>
        <w:rPr>
          <w:szCs w:val="24"/>
        </w:rPr>
      </w:pPr>
      <w:r w:rsidRPr="00E554DE">
        <w:rPr>
          <w:bCs/>
          <w:szCs w:val="24"/>
        </w:rPr>
        <w:t>26.3</w:t>
      </w:r>
      <w:r w:rsidRPr="00E554DE">
        <w:rPr>
          <w:b/>
          <w:szCs w:val="24"/>
        </w:rPr>
        <w:tab/>
      </w:r>
      <w:bookmarkStart w:id="31" w:name="lt_pId923"/>
      <w:r w:rsidRPr="00E554DE">
        <w:rPr>
          <w:b/>
          <w:szCs w:val="24"/>
        </w:rPr>
        <w:t>Approuvé</w:t>
      </w:r>
      <w:r w:rsidRPr="00E554DE">
        <w:rPr>
          <w:szCs w:val="24"/>
        </w:rPr>
        <w:t>.</w:t>
      </w:r>
      <w:bookmarkEnd w:id="31"/>
    </w:p>
    <w:p w14:paraId="07C37F9C" w14:textId="77777777" w:rsidR="00205AAC" w:rsidRPr="00E554DE" w:rsidRDefault="00205AAC" w:rsidP="00906541">
      <w:pPr>
        <w:rPr>
          <w:b/>
          <w:szCs w:val="24"/>
        </w:rPr>
      </w:pPr>
      <w:bookmarkStart w:id="32" w:name="lt_pId924"/>
      <w:r w:rsidRPr="00E554DE">
        <w:rPr>
          <w:b/>
          <w:szCs w:val="24"/>
        </w:rPr>
        <w:t>Article 5 (MOD 5.441B)</w:t>
      </w:r>
      <w:bookmarkEnd w:id="32"/>
    </w:p>
    <w:p w14:paraId="72034A1A" w14:textId="7456E7C3" w:rsidR="00205AAC" w:rsidRPr="00E554DE" w:rsidRDefault="00205AAC" w:rsidP="00906541">
      <w:r w:rsidRPr="00E554DE">
        <w:t>26.4</w:t>
      </w:r>
      <w:r w:rsidRPr="00E554DE">
        <w:tab/>
        <w:t xml:space="preserve">Le </w:t>
      </w:r>
      <w:r w:rsidRPr="00E554DE">
        <w:rPr>
          <w:b/>
          <w:bCs/>
        </w:rPr>
        <w:t>Président de la Commission 4</w:t>
      </w:r>
      <w:r w:rsidRPr="00E554DE">
        <w:t xml:space="preserve"> indique qu'il a omis de supprimer Maurice et le Mozambique du renvoi avant que le Document 472 soit soumis à la Commission de rédaction.</w:t>
      </w:r>
    </w:p>
    <w:p w14:paraId="033EBDC3" w14:textId="45060F83" w:rsidR="00205AAC" w:rsidRPr="00E554DE" w:rsidRDefault="00205AAC" w:rsidP="00906541">
      <w:r w:rsidRPr="00E554DE">
        <w:t>26.5</w:t>
      </w:r>
      <w:r w:rsidRPr="00E554DE">
        <w:tab/>
        <w:t xml:space="preserve">Le </w:t>
      </w:r>
      <w:r w:rsidRPr="00E554DE">
        <w:rPr>
          <w:b/>
          <w:bCs/>
        </w:rPr>
        <w:t>délégué du Nigéria</w:t>
      </w:r>
      <w:r w:rsidRPr="00E554DE">
        <w:t xml:space="preserve"> indique que le nom de son pays devrait également être supprimé du renvoi.</w:t>
      </w:r>
    </w:p>
    <w:p w14:paraId="19028E20" w14:textId="241D8257" w:rsidR="00205AAC" w:rsidRPr="00E554DE" w:rsidRDefault="00205AAC" w:rsidP="00906541">
      <w:r w:rsidRPr="00E554DE">
        <w:t>26.6</w:t>
      </w:r>
      <w:r w:rsidRPr="00E554DE">
        <w:tab/>
        <w:t xml:space="preserve">Le </w:t>
      </w:r>
      <w:r w:rsidRPr="00E554DE">
        <w:rPr>
          <w:b/>
          <w:bCs/>
        </w:rPr>
        <w:t>délégué de Maurice</w:t>
      </w:r>
      <w:r w:rsidRPr="00E554DE">
        <w:t xml:space="preserve"> salue les efforts déployés pour que les noms de pays puissent être supprimés du renvoi.</w:t>
      </w:r>
    </w:p>
    <w:p w14:paraId="12132285" w14:textId="42DEC47F" w:rsidR="00205AAC" w:rsidRPr="00E554DE" w:rsidRDefault="00205AAC" w:rsidP="00906541">
      <w:r w:rsidRPr="00E554DE">
        <w:t>26.7</w:t>
      </w:r>
      <w:r w:rsidRPr="00E554DE">
        <w:tab/>
        <w:t xml:space="preserve">L'Article 5 (MOD 5.441B) est </w:t>
      </w:r>
      <w:r w:rsidRPr="00E554DE">
        <w:rPr>
          <w:b/>
          <w:bCs/>
        </w:rPr>
        <w:t>approuvé</w:t>
      </w:r>
      <w:r w:rsidRPr="00E554DE">
        <w:t xml:space="preserve"> tel que modifié.</w:t>
      </w:r>
    </w:p>
    <w:p w14:paraId="41BAD6DE" w14:textId="77777777" w:rsidR="00EC0760" w:rsidRPr="00E554DE" w:rsidRDefault="00EC0760" w:rsidP="00906541">
      <w:pPr>
        <w:rPr>
          <w:b/>
          <w:szCs w:val="24"/>
        </w:rPr>
      </w:pPr>
      <w:r w:rsidRPr="00E554DE">
        <w:rPr>
          <w:b/>
          <w:szCs w:val="24"/>
        </w:rPr>
        <w:t>MOD Résolution 223 (Rév.CMR-19)</w:t>
      </w:r>
    </w:p>
    <w:p w14:paraId="37D1D9A4" w14:textId="6AB1DF60" w:rsidR="00EC0760" w:rsidRPr="00E554DE" w:rsidRDefault="00EC0760" w:rsidP="00906541">
      <w:pPr>
        <w:rPr>
          <w:szCs w:val="24"/>
        </w:rPr>
      </w:pPr>
      <w:r w:rsidRPr="00E554DE">
        <w:rPr>
          <w:szCs w:val="24"/>
        </w:rPr>
        <w:t>26.8</w:t>
      </w:r>
      <w:r w:rsidRPr="00E554DE">
        <w:rPr>
          <w:szCs w:val="24"/>
        </w:rPr>
        <w:tab/>
        <w:t xml:space="preserve">Le </w:t>
      </w:r>
      <w:r w:rsidRPr="00E554DE">
        <w:rPr>
          <w:b/>
          <w:szCs w:val="24"/>
        </w:rPr>
        <w:t>délégué de la Lituanie</w:t>
      </w:r>
      <w:r w:rsidRPr="00E554DE">
        <w:rPr>
          <w:szCs w:val="24"/>
        </w:rPr>
        <w:t xml:space="preserve"> déclare que les études de compatibilité entre le SMS et les IMT dans la bande de fréquences dite «bande L» sont menées et que le Rapport et la Recommandation correspondants ont été élaborés. En conséquence, il est possible de supprimer le point 1 du </w:t>
      </w:r>
      <w:r w:rsidRPr="00E554DE">
        <w:rPr>
          <w:i/>
          <w:szCs w:val="24"/>
        </w:rPr>
        <w:t>invite le Secteur des radiocommunication de l'UIT</w:t>
      </w:r>
      <w:r w:rsidRPr="00E554DE">
        <w:rPr>
          <w:szCs w:val="24"/>
        </w:rPr>
        <w:t>, qui ne se rapporte pas aux points 1.1 et 1.2 de l'ordre du jour.</w:t>
      </w:r>
    </w:p>
    <w:p w14:paraId="08973E00" w14:textId="33A567EB" w:rsidR="00EC0760" w:rsidRPr="00E554DE" w:rsidRDefault="00EC0760" w:rsidP="00906541">
      <w:pPr>
        <w:rPr>
          <w:szCs w:val="24"/>
        </w:rPr>
      </w:pPr>
      <w:r w:rsidRPr="00E554DE">
        <w:rPr>
          <w:szCs w:val="24"/>
        </w:rPr>
        <w:t>26.9</w:t>
      </w:r>
      <w:r w:rsidRPr="00E554DE">
        <w:rPr>
          <w:szCs w:val="24"/>
        </w:rPr>
        <w:tab/>
        <w:t xml:space="preserve">Le </w:t>
      </w:r>
      <w:r w:rsidRPr="00E554DE">
        <w:rPr>
          <w:b/>
          <w:szCs w:val="24"/>
        </w:rPr>
        <w:t>Président de la Commission 4</w:t>
      </w:r>
      <w:r w:rsidRPr="00E554DE">
        <w:rPr>
          <w:szCs w:val="24"/>
        </w:rPr>
        <w:t xml:space="preserve"> confirme que la Recommandation correspondante a été adoptée par les Commissions d'études 4 et 5 de l'UIT-R, et convient que le point 1 du </w:t>
      </w:r>
      <w:r w:rsidRPr="00E554DE">
        <w:rPr>
          <w:i/>
          <w:szCs w:val="24"/>
        </w:rPr>
        <w:t>invite le Secteur des Radiocommunication de l'UIT</w:t>
      </w:r>
      <w:r w:rsidRPr="00E554DE">
        <w:rPr>
          <w:szCs w:val="24"/>
        </w:rPr>
        <w:t xml:space="preserve"> peut être supprimé. Les </w:t>
      </w:r>
      <w:r w:rsidRPr="00E554DE">
        <w:rPr>
          <w:b/>
          <w:szCs w:val="24"/>
        </w:rPr>
        <w:t xml:space="preserve">délégués des Émirats arabes unis </w:t>
      </w:r>
      <w:r w:rsidRPr="00E554DE">
        <w:rPr>
          <w:szCs w:val="24"/>
        </w:rPr>
        <w:t xml:space="preserve">et </w:t>
      </w:r>
      <w:r w:rsidRPr="00E554DE">
        <w:rPr>
          <w:b/>
          <w:bCs/>
          <w:szCs w:val="24"/>
        </w:rPr>
        <w:t>de</w:t>
      </w:r>
      <w:r w:rsidRPr="00E554DE">
        <w:rPr>
          <w:b/>
          <w:szCs w:val="24"/>
        </w:rPr>
        <w:t xml:space="preserve"> la République islamique d'Iran</w:t>
      </w:r>
      <w:r w:rsidRPr="00E554DE">
        <w:rPr>
          <w:szCs w:val="24"/>
        </w:rPr>
        <w:t xml:space="preserve"> souscrivent à ce point de vue.</w:t>
      </w:r>
    </w:p>
    <w:p w14:paraId="2D323C2D" w14:textId="60368E8F" w:rsidR="00EC0760" w:rsidRPr="00E554DE" w:rsidRDefault="00EC0760" w:rsidP="00906541">
      <w:pPr>
        <w:keepLines/>
        <w:rPr>
          <w:szCs w:val="24"/>
        </w:rPr>
      </w:pPr>
      <w:r w:rsidRPr="00E554DE">
        <w:rPr>
          <w:szCs w:val="24"/>
        </w:rPr>
        <w:lastRenderedPageBreak/>
        <w:t>26.10</w:t>
      </w:r>
      <w:r w:rsidRPr="00E554DE">
        <w:rPr>
          <w:szCs w:val="24"/>
        </w:rPr>
        <w:tab/>
        <w:t xml:space="preserve">À la suite d'une observation du </w:t>
      </w:r>
      <w:r w:rsidRPr="00E554DE">
        <w:rPr>
          <w:b/>
          <w:szCs w:val="24"/>
        </w:rPr>
        <w:t>délégué du Nigéria</w:t>
      </w:r>
      <w:r w:rsidRPr="00E554DE">
        <w:rPr>
          <w:szCs w:val="24"/>
        </w:rPr>
        <w:t xml:space="preserve">, la </w:t>
      </w:r>
      <w:r w:rsidRPr="00E554DE">
        <w:rPr>
          <w:b/>
          <w:szCs w:val="24"/>
        </w:rPr>
        <w:t>Secrétaire de la plénière</w:t>
      </w:r>
      <w:r w:rsidRPr="00E554DE">
        <w:rPr>
          <w:szCs w:val="24"/>
        </w:rPr>
        <w:t xml:space="preserve"> précise que tous les crochets figurant dans le Document concernent des références à des résolutions qui seront mis à jour à la lumière des décisions de la conférence, après quoi ces crochets pourront être supprimés lors d'une mise à jour rédactionnelle.</w:t>
      </w:r>
    </w:p>
    <w:p w14:paraId="7B3B4A55" w14:textId="627F1967" w:rsidR="00EC0760" w:rsidRPr="00E554DE" w:rsidRDefault="00EC0760" w:rsidP="00906541">
      <w:pPr>
        <w:rPr>
          <w:szCs w:val="24"/>
        </w:rPr>
      </w:pPr>
      <w:r w:rsidRPr="00E554DE">
        <w:rPr>
          <w:szCs w:val="24"/>
        </w:rPr>
        <w:t>26.11</w:t>
      </w:r>
      <w:r w:rsidRPr="00E554DE">
        <w:rPr>
          <w:szCs w:val="24"/>
        </w:rPr>
        <w:tab/>
        <w:t xml:space="preserve">Le MOD Résolution 223 (Rév.CMR-19), tel que modifié, est </w:t>
      </w:r>
      <w:r w:rsidRPr="00E554DE">
        <w:rPr>
          <w:b/>
          <w:szCs w:val="24"/>
        </w:rPr>
        <w:t>approuvé</w:t>
      </w:r>
      <w:r w:rsidRPr="00E554DE">
        <w:rPr>
          <w:szCs w:val="24"/>
        </w:rPr>
        <w:t>.</w:t>
      </w:r>
    </w:p>
    <w:p w14:paraId="2C9FA3BA" w14:textId="7DCE2977" w:rsidR="00EC0760" w:rsidRPr="00E554DE" w:rsidRDefault="00EC0760" w:rsidP="00906541">
      <w:pPr>
        <w:rPr>
          <w:szCs w:val="24"/>
        </w:rPr>
      </w:pPr>
      <w:r w:rsidRPr="00E554DE">
        <w:rPr>
          <w:szCs w:val="24"/>
        </w:rPr>
        <w:t>26.12</w:t>
      </w:r>
      <w:r w:rsidRPr="00E554DE">
        <w:rPr>
          <w:szCs w:val="24"/>
        </w:rPr>
        <w:tab/>
        <w:t xml:space="preserve">La trente-neuvième série de textes soumis par la Commission de rédaction en première lecture (B39) (Document 472), telle que modifiée, est </w:t>
      </w:r>
      <w:r w:rsidRPr="00E554DE">
        <w:rPr>
          <w:b/>
          <w:bCs/>
          <w:szCs w:val="24"/>
        </w:rPr>
        <w:t>approuvée</w:t>
      </w:r>
      <w:r w:rsidRPr="00E554DE">
        <w:rPr>
          <w:szCs w:val="24"/>
        </w:rPr>
        <w:t>.</w:t>
      </w:r>
    </w:p>
    <w:p w14:paraId="0358F25D" w14:textId="77777777" w:rsidR="00EC0760" w:rsidRPr="00E554DE" w:rsidRDefault="00EC0760" w:rsidP="00906541">
      <w:pPr>
        <w:pStyle w:val="Heading1"/>
      </w:pPr>
      <w:r w:rsidRPr="00E554DE">
        <w:t>27</w:t>
      </w:r>
      <w:r w:rsidRPr="00E554DE">
        <w:tab/>
        <w:t>Trente-neuvième série de textes soumis par la Commission de rédaction – seconde lecture (B39) (Document 472)</w:t>
      </w:r>
    </w:p>
    <w:p w14:paraId="06567A75" w14:textId="77777777" w:rsidR="00EC0760" w:rsidRPr="00E554DE" w:rsidRDefault="00EC0760" w:rsidP="00906541">
      <w:pPr>
        <w:rPr>
          <w:szCs w:val="24"/>
        </w:rPr>
      </w:pPr>
      <w:r w:rsidRPr="00E554DE">
        <w:rPr>
          <w:szCs w:val="24"/>
        </w:rPr>
        <w:t>27.1</w:t>
      </w:r>
      <w:r w:rsidRPr="00E554DE">
        <w:rPr>
          <w:szCs w:val="24"/>
        </w:rPr>
        <w:tab/>
        <w:t xml:space="preserve">La trente-neuvième série de textes soumis par la Commission de rédaction (B39) (Document 472), telle que modifiée en première lecture, est </w:t>
      </w:r>
      <w:r w:rsidRPr="00E554DE">
        <w:rPr>
          <w:b/>
          <w:bCs/>
          <w:szCs w:val="24"/>
        </w:rPr>
        <w:t>approuvée</w:t>
      </w:r>
      <w:r w:rsidRPr="00E554DE">
        <w:rPr>
          <w:szCs w:val="24"/>
        </w:rPr>
        <w:t xml:space="preserve"> en seconde lecture.</w:t>
      </w:r>
    </w:p>
    <w:p w14:paraId="3EA49579" w14:textId="50C3EC33" w:rsidR="00EC0760" w:rsidRPr="00E554DE" w:rsidRDefault="00EC0760" w:rsidP="00906541">
      <w:pPr>
        <w:rPr>
          <w:szCs w:val="24"/>
        </w:rPr>
      </w:pPr>
      <w:r w:rsidRPr="00E554DE">
        <w:rPr>
          <w:szCs w:val="24"/>
        </w:rPr>
        <w:t>27.2</w:t>
      </w:r>
      <w:r w:rsidRPr="00E554DE">
        <w:rPr>
          <w:szCs w:val="24"/>
        </w:rPr>
        <w:tab/>
        <w:t>A</w:t>
      </w:r>
      <w:r w:rsidRPr="00E554DE">
        <w:rPr>
          <w:bCs/>
          <w:szCs w:val="24"/>
        </w:rPr>
        <w:t>près avoir remercié les Présidents</w:t>
      </w:r>
      <w:r w:rsidRPr="00E554DE">
        <w:rPr>
          <w:szCs w:val="24"/>
        </w:rPr>
        <w:t xml:space="preserve"> de la Commission 4, du Groupe de travail 4A et du Sous</w:t>
      </w:r>
      <w:r w:rsidRPr="00E554DE">
        <w:rPr>
          <w:szCs w:val="24"/>
        </w:rPr>
        <w:noBreakHyphen/>
        <w:t xml:space="preserve">groupe A1, ainsi que le coordonnateur des discussions ad hoc pour leur aide et le travail remarquable accompli sur le très complexe point 1.1 de l'ordre du jour, le </w:t>
      </w:r>
      <w:r w:rsidRPr="00E554DE">
        <w:rPr>
          <w:b/>
          <w:szCs w:val="24"/>
        </w:rPr>
        <w:t>délégué de la France</w:t>
      </w:r>
      <w:r w:rsidRPr="00E554DE">
        <w:rPr>
          <w:bCs/>
          <w:szCs w:val="24"/>
        </w:rPr>
        <w:t xml:space="preserve"> prononce la déclaration suivante, au nom des pays membres de la CE</w:t>
      </w:r>
      <w:r w:rsidRPr="00E554DE">
        <w:rPr>
          <w:szCs w:val="24"/>
        </w:rPr>
        <w:t>PT:</w:t>
      </w:r>
    </w:p>
    <w:p w14:paraId="4B071AEC" w14:textId="77777777" w:rsidR="00EC0760" w:rsidRPr="00E554DE" w:rsidRDefault="00EC0760" w:rsidP="00906541">
      <w:pPr>
        <w:rPr>
          <w:szCs w:val="24"/>
        </w:rPr>
      </w:pPr>
      <w:r w:rsidRPr="00E554DE">
        <w:rPr>
          <w:szCs w:val="24"/>
        </w:rPr>
        <w:t xml:space="preserve">«La CRM-23 a étudié les mesures qui pourraient être prises pour assurer, dans la bande de fréquences 4 800-4 990 MHz, la protection des stations du SMA et du SMM situées dans l'espace aérien international et dans les eaux internationales vis-à-vis d'autres stations situées sur le territoire des pays, et pour examiner le critère de puissance surfacique figurant dans le numéro </w:t>
      </w:r>
      <w:r w:rsidRPr="00E554DE">
        <w:rPr>
          <w:b/>
          <w:szCs w:val="24"/>
        </w:rPr>
        <w:t>5.441B</w:t>
      </w:r>
      <w:r w:rsidRPr="00E554DE">
        <w:rPr>
          <w:szCs w:val="24"/>
        </w:rPr>
        <w:t xml:space="preserve"> (voir la Résolution 223 (CMR-19)).</w:t>
      </w:r>
    </w:p>
    <w:p w14:paraId="6AA0B303" w14:textId="5DEEAA2A" w:rsidR="00EC0760" w:rsidRPr="00E554DE" w:rsidRDefault="00EC0760" w:rsidP="00906541">
      <w:pPr>
        <w:rPr>
          <w:szCs w:val="24"/>
        </w:rPr>
      </w:pPr>
      <w:r w:rsidRPr="00E554DE">
        <w:rPr>
          <w:szCs w:val="24"/>
        </w:rPr>
        <w:t>Au titre du point 1.1 de l'ordre du jour, la possibilité d'assouplir les limites de puissance surfacique figurant dans le numéro 5.441B et de supprimer l'exemption dont bénéficient certains pays prévue dans la Résolution 223 (CMR-19) a été examinée pendant la CMR-23, mais aucune décision n'a pu être adoptée en la matière. La décision de la CMR-23 de conserver la limite de puissance surfacique initiale confirme que la puissance surfacique est la seule mesure adéquate qui permet d'assurer la protection des stations du SMA et du SMM situées dans l'espace aérien international et dans les eaux internationales et leur exploitation continue. Il est toutefois regrettable de ne pas avoir pu supprimer l'exemption, qui pourrait conduire à des brouillages dans certaines parties de l'espace aérien international et des eaux internationales.»</w:t>
      </w:r>
    </w:p>
    <w:p w14:paraId="32006DC8" w14:textId="2802E7D9" w:rsidR="00EC0760" w:rsidRPr="00E554DE" w:rsidRDefault="00EC0760" w:rsidP="00906541">
      <w:pPr>
        <w:rPr>
          <w:szCs w:val="24"/>
        </w:rPr>
      </w:pPr>
      <w:r w:rsidRPr="00E554DE">
        <w:rPr>
          <w:szCs w:val="24"/>
        </w:rPr>
        <w:t>27.3</w:t>
      </w:r>
      <w:r w:rsidRPr="00E554DE">
        <w:rPr>
          <w:szCs w:val="24"/>
        </w:rPr>
        <w:tab/>
        <w:t xml:space="preserve">La </w:t>
      </w:r>
      <w:r w:rsidRPr="00E554DE">
        <w:rPr>
          <w:b/>
          <w:szCs w:val="24"/>
        </w:rPr>
        <w:t>déléguée du Canada</w:t>
      </w:r>
      <w:r w:rsidRPr="00E554DE">
        <w:rPr>
          <w:szCs w:val="24"/>
        </w:rPr>
        <w:t xml:space="preserve"> et le </w:t>
      </w:r>
      <w:r w:rsidRPr="00E554DE">
        <w:rPr>
          <w:b/>
          <w:bCs/>
          <w:szCs w:val="24"/>
        </w:rPr>
        <w:t>délégué de l</w:t>
      </w:r>
      <w:r w:rsidRPr="00E554DE">
        <w:rPr>
          <w:szCs w:val="24"/>
        </w:rPr>
        <w:t>'</w:t>
      </w:r>
      <w:r w:rsidRPr="00E554DE">
        <w:rPr>
          <w:b/>
          <w:szCs w:val="24"/>
        </w:rPr>
        <w:t>Espagne</w:t>
      </w:r>
      <w:r w:rsidRPr="00E554DE">
        <w:rPr>
          <w:szCs w:val="24"/>
        </w:rPr>
        <w:t xml:space="preserve"> appuient cette déclaration.</w:t>
      </w:r>
    </w:p>
    <w:p w14:paraId="55805684" w14:textId="72A68175" w:rsidR="00EC0760" w:rsidRPr="00E554DE" w:rsidRDefault="00EC0760" w:rsidP="00906541">
      <w:pPr>
        <w:rPr>
          <w:szCs w:val="24"/>
        </w:rPr>
      </w:pPr>
      <w:r w:rsidRPr="00E554DE">
        <w:rPr>
          <w:szCs w:val="24"/>
        </w:rPr>
        <w:t>27.4</w:t>
      </w:r>
      <w:r w:rsidRPr="00E554DE">
        <w:rPr>
          <w:szCs w:val="24"/>
        </w:rPr>
        <w:tab/>
        <w:t xml:space="preserve">Le </w:t>
      </w:r>
      <w:r w:rsidRPr="00E554DE">
        <w:rPr>
          <w:b/>
          <w:szCs w:val="24"/>
        </w:rPr>
        <w:t>délégué du Nigéria</w:t>
      </w:r>
      <w:r w:rsidRPr="00E554DE">
        <w:rPr>
          <w:szCs w:val="24"/>
        </w:rPr>
        <w:t xml:space="preserve"> prononce la déclaration suivante au nom des Administrations du Cameroun, de la Côte d'Ivoire, du Bénin, du Brésil, de la Fédération de Russie, du Ghana, de la Gambie, de Maurice, du Mozambique, du Nigéria, de la Somalie, de la Tanzanie, du Kenya et du Mexique:</w:t>
      </w:r>
    </w:p>
    <w:p w14:paraId="3783DD05" w14:textId="0A71FD39" w:rsidR="00EC0760" w:rsidRPr="00E554DE" w:rsidRDefault="00EC0760" w:rsidP="00906541">
      <w:pPr>
        <w:rPr>
          <w:szCs w:val="24"/>
        </w:rPr>
      </w:pPr>
      <w:r w:rsidRPr="00E554DE">
        <w:rPr>
          <w:szCs w:val="24"/>
        </w:rPr>
        <w:t>«Les pays susmentionnés souhaitent exprimer leur préoccupation quant aux conditions inacceptables définies au numéro 5.441B, à savoir le critère de puissance surfacique, qui ont été imposées aux stations IMT situées sur le territoire des pays dans le but de protéger des stations du SMA et du SMM ne bénéficiant d'aucune reconnaissance internationale qui sont exploitées respectivement dans l'espace aérien international et dans les eaux internationales. Nous estimons que ces conditions ne sont pas justifiées, car il est généralement admis qu'aucun pays n'est compétent en matière d'utilisation du spectre dans l'espace aérien international et dans les eaux internationales et il n'existe aucun plan de fréquences qui puisse assurer une reconnaissance internationale de ces stations du SMA et du SMM.</w:t>
      </w:r>
    </w:p>
    <w:p w14:paraId="58C2E534" w14:textId="6CBC6C3A" w:rsidR="00EC0760" w:rsidRPr="00E554DE" w:rsidRDefault="00EC0760" w:rsidP="00906541">
      <w:pPr>
        <w:keepLines/>
        <w:rPr>
          <w:szCs w:val="24"/>
        </w:rPr>
      </w:pPr>
      <w:r w:rsidRPr="00E554DE">
        <w:rPr>
          <w:szCs w:val="24"/>
        </w:rPr>
        <w:lastRenderedPageBreak/>
        <w:t>La présence d'un critère de puissance surfacique applicable aux stations IMT dans le numéro 5.441B n'est pas cohérente avec l'approche réglementaire adoptée dans le Règlement des radiocommunications pour les autres bandes identifiées pour les IMT qui sont également utilisées par les systèmes SMA et SMM.</w:t>
      </w:r>
    </w:p>
    <w:p w14:paraId="47DFD44E" w14:textId="0D2D42C2" w:rsidR="00EC0760" w:rsidRPr="00E554DE" w:rsidRDefault="00EC0760" w:rsidP="00906541">
      <w:pPr>
        <w:rPr>
          <w:szCs w:val="24"/>
        </w:rPr>
      </w:pPr>
      <w:r w:rsidRPr="00E554DE">
        <w:rPr>
          <w:szCs w:val="24"/>
        </w:rPr>
        <w:t>La CMR-23 n'ayant pas réussi à trouver un accord sur le point 1.1 de l'ordre du jour en ce qui concerne la nécessité d'assurer la protection des stations du SMA et du SMM exploitées respectivement dans l'espace aérien international et dans les eaux internationales, ces pays se réservent le droit de mettre en œuvre des systèmes IMT dans la bande 4 800-4 990 MHz sur leur territoire national, conformément au droit souverain dont jouit chaque État de réglementer ses télécommunications, comme indiqué dans le Préambule de la Constitution de l'UIT, tout en respectant les droits internationaux des pays voisins, comme prévu dans l'Article 8.1 du RR.»</w:t>
      </w:r>
    </w:p>
    <w:p w14:paraId="70E09B0F" w14:textId="0DDA9F03" w:rsidR="00EC0760" w:rsidRPr="00E554DE" w:rsidRDefault="00EC0760" w:rsidP="00906541">
      <w:pPr>
        <w:rPr>
          <w:szCs w:val="24"/>
        </w:rPr>
      </w:pPr>
      <w:r w:rsidRPr="00E554DE">
        <w:rPr>
          <w:szCs w:val="24"/>
        </w:rPr>
        <w:t>27.5</w:t>
      </w:r>
      <w:r w:rsidRPr="00E554DE">
        <w:rPr>
          <w:szCs w:val="24"/>
        </w:rPr>
        <w:tab/>
        <w:t xml:space="preserve">Le </w:t>
      </w:r>
      <w:r w:rsidRPr="00E554DE">
        <w:rPr>
          <w:b/>
          <w:szCs w:val="24"/>
        </w:rPr>
        <w:t>délégué du Viet Nam</w:t>
      </w:r>
      <w:r w:rsidRPr="00E554DE">
        <w:rPr>
          <w:szCs w:val="24"/>
        </w:rPr>
        <w:t xml:space="preserve"> indique que son Administration fait partie de celles qui suivent la question du numéro 5.441B depuis plusieurs années. À cet égard, l'Administration de son pays s'attache à rechercher les conditions réglementaires propres à appuyer le développement des IMT dans la bande 4 800-4 990 MHz compte tenu de l'exploitation des stations des services mobiles aéronautique et maritime situées hors du territoire national d'un pays. Cette bande de fréquences donnerait aux administrations la souplesse nécessaire pour choisir les bandes identifiées pour les IMT adaptées aux circonstances qui leurs sont propres. Il est regrettable qu'aucune amélioration n'ait été possible après trois conférences. Le délégué appuie la déclaration prononcée par le Nigéria.</w:t>
      </w:r>
    </w:p>
    <w:p w14:paraId="73A98FC6" w14:textId="536ACB5B" w:rsidR="00EC0760" w:rsidRPr="00E554DE" w:rsidRDefault="00EC0760" w:rsidP="00906541">
      <w:pPr>
        <w:rPr>
          <w:szCs w:val="24"/>
        </w:rPr>
      </w:pPr>
      <w:bookmarkStart w:id="33" w:name="_Hlk155913048"/>
      <w:r w:rsidRPr="00E554DE">
        <w:rPr>
          <w:szCs w:val="24"/>
        </w:rPr>
        <w:t>27.6</w:t>
      </w:r>
      <w:r w:rsidRPr="00E554DE">
        <w:rPr>
          <w:szCs w:val="24"/>
        </w:rPr>
        <w:tab/>
        <w:t xml:space="preserve">La </w:t>
      </w:r>
      <w:r w:rsidRPr="00E554DE">
        <w:rPr>
          <w:b/>
          <w:szCs w:val="24"/>
        </w:rPr>
        <w:t>déléguée de Cuba</w:t>
      </w:r>
      <w:r w:rsidRPr="00E554DE">
        <w:rPr>
          <w:szCs w:val="24"/>
        </w:rPr>
        <w:t xml:space="preserve"> </w:t>
      </w:r>
      <w:bookmarkEnd w:id="33"/>
      <w:r w:rsidRPr="00E554DE">
        <w:rPr>
          <w:szCs w:val="24"/>
        </w:rPr>
        <w:t>annonce que Cuba appuie également la déclaration du Nigéria.</w:t>
      </w:r>
    </w:p>
    <w:p w14:paraId="7C05CD2B" w14:textId="2D9CD3B4" w:rsidR="00EC0760" w:rsidRPr="00E554DE" w:rsidRDefault="00EC0760" w:rsidP="00906541">
      <w:pPr>
        <w:pStyle w:val="Heading1"/>
      </w:pPr>
      <w:r w:rsidRPr="00E554DE">
        <w:t>28</w:t>
      </w:r>
      <w:r w:rsidRPr="00E554DE">
        <w:tab/>
        <w:t>Cinquante et unième série de textes soumis par la Commission de rédaction en première lecture (B51) (suite) (Document 502(Rév.1))</w:t>
      </w:r>
    </w:p>
    <w:p w14:paraId="059CE38F" w14:textId="5FEA348A" w:rsidR="00EC0760" w:rsidRPr="00E554DE" w:rsidRDefault="00EC0760" w:rsidP="00906541">
      <w:pPr>
        <w:rPr>
          <w:szCs w:val="24"/>
        </w:rPr>
      </w:pPr>
      <w:r w:rsidRPr="00E554DE">
        <w:rPr>
          <w:szCs w:val="24"/>
        </w:rPr>
        <w:t>28.1</w:t>
      </w:r>
      <w:r w:rsidRPr="00E554DE">
        <w:rPr>
          <w:szCs w:val="24"/>
        </w:rPr>
        <w:tab/>
        <w:t xml:space="preserve">Notant que la plénière a maintenant pris des décisions relatives aux points 1.2 (6 GHz) et 1.5 qui étaient en suspens, le </w:t>
      </w:r>
      <w:r w:rsidRPr="00E554DE">
        <w:rPr>
          <w:b/>
          <w:szCs w:val="24"/>
        </w:rPr>
        <w:t>Président</w:t>
      </w:r>
      <w:r w:rsidRPr="00E554DE">
        <w:rPr>
          <w:szCs w:val="24"/>
        </w:rPr>
        <w:t xml:space="preserve"> invite les participants à reprendre l'examen du Document 502(Rév.1).</w:t>
      </w:r>
    </w:p>
    <w:p w14:paraId="6ED29F04" w14:textId="23A85810" w:rsidR="00EC0760" w:rsidRPr="00E554DE" w:rsidRDefault="00EC0760" w:rsidP="00906541">
      <w:pPr>
        <w:pStyle w:val="Restitle"/>
        <w:jc w:val="left"/>
        <w:rPr>
          <w:rFonts w:ascii="Times New Roman" w:hAnsi="Times New Roman"/>
          <w:b w:val="0"/>
          <w:sz w:val="24"/>
          <w:szCs w:val="24"/>
        </w:rPr>
      </w:pPr>
      <w:r w:rsidRPr="00E554DE">
        <w:rPr>
          <w:rFonts w:ascii="Times New Roman" w:hAnsi="Times New Roman"/>
          <w:b w:val="0"/>
          <w:sz w:val="24"/>
          <w:szCs w:val="24"/>
        </w:rPr>
        <w:t>28.2</w:t>
      </w:r>
      <w:r w:rsidRPr="00E554DE">
        <w:rPr>
          <w:rFonts w:ascii="Times New Roman" w:hAnsi="Times New Roman"/>
          <w:b w:val="0"/>
          <w:sz w:val="24"/>
          <w:szCs w:val="24"/>
        </w:rPr>
        <w:tab/>
        <w:t xml:space="preserve">Le </w:t>
      </w:r>
      <w:r w:rsidRPr="00E554DE">
        <w:rPr>
          <w:rFonts w:ascii="Times New Roman" w:hAnsi="Times New Roman"/>
          <w:sz w:val="24"/>
          <w:szCs w:val="24"/>
        </w:rPr>
        <w:t>Président de la Commission de rédaction</w:t>
      </w:r>
      <w:r w:rsidRPr="00E554DE">
        <w:rPr>
          <w:rFonts w:ascii="Times New Roman" w:hAnsi="Times New Roman"/>
          <w:b w:val="0"/>
          <w:sz w:val="24"/>
          <w:szCs w:val="24"/>
        </w:rPr>
        <w:t xml:space="preserve"> rappelle qu'il reste deux projets de nouvelle résolution à approuver dans ce Document.</w:t>
      </w:r>
    </w:p>
    <w:p w14:paraId="212B53E4" w14:textId="77777777" w:rsidR="00EC0760" w:rsidRPr="00E554DE" w:rsidRDefault="00EC0760" w:rsidP="00906541">
      <w:pPr>
        <w:rPr>
          <w:b/>
          <w:bCs/>
        </w:rPr>
      </w:pPr>
      <w:r w:rsidRPr="00E554DE">
        <w:rPr>
          <w:b/>
          <w:bCs/>
        </w:rPr>
        <w:t>ADD Résolution COM6/23 (CMR-23) – Ordre du jour de la Conférence mondiale des radiocommunications de 2027</w:t>
      </w:r>
    </w:p>
    <w:p w14:paraId="163E19FD" w14:textId="79831383" w:rsidR="00EC0760" w:rsidRPr="00E554DE" w:rsidRDefault="00EC0760" w:rsidP="00906541">
      <w:r w:rsidRPr="00E554DE">
        <w:t>28.3</w:t>
      </w:r>
      <w:r w:rsidRPr="00E554DE">
        <w:tab/>
        <w:t xml:space="preserve">Le </w:t>
      </w:r>
      <w:r w:rsidRPr="00E554DE">
        <w:rPr>
          <w:b/>
        </w:rPr>
        <w:t>Directeur du BR</w:t>
      </w:r>
      <w:r w:rsidRPr="00E554DE">
        <w:t xml:space="preserve"> confirme que le nouveau point inscrit à l'ordre du jour de la CMR</w:t>
      </w:r>
      <w:r w:rsidRPr="00E554DE">
        <w:noBreakHyphen/>
        <w:t>27 correspondant à la Résolution COM4/8 (CMR-23), qui a déjà été approuvée par la plénière lors de l'examen des Documents 515 et 517, sera ajouté à la Résolution COM6/23 par la Commission de rédaction en tant que point 1.19.</w:t>
      </w:r>
    </w:p>
    <w:p w14:paraId="6777AF50" w14:textId="77777777" w:rsidR="00EC0760" w:rsidRPr="00E554DE" w:rsidRDefault="00EC0760" w:rsidP="00906541">
      <w:r w:rsidRPr="00E554DE">
        <w:t>28.4</w:t>
      </w:r>
      <w:r w:rsidRPr="00E554DE">
        <w:tab/>
        <w:t>Compte tenu de ce qui précède, le ADD Résolution COM6/23 (CMR-23) est a</w:t>
      </w:r>
      <w:r w:rsidRPr="00E554DE">
        <w:rPr>
          <w:b/>
        </w:rPr>
        <w:t>pprouvé</w:t>
      </w:r>
      <w:r w:rsidRPr="00E554DE">
        <w:t>.</w:t>
      </w:r>
    </w:p>
    <w:p w14:paraId="758D76F0" w14:textId="77777777" w:rsidR="00EC0760" w:rsidRPr="00E554DE" w:rsidRDefault="00EC0760" w:rsidP="00906541">
      <w:pPr>
        <w:rPr>
          <w:b/>
          <w:szCs w:val="24"/>
        </w:rPr>
      </w:pPr>
      <w:r w:rsidRPr="00E554DE">
        <w:rPr>
          <w:b/>
          <w:szCs w:val="24"/>
        </w:rPr>
        <w:t>ADD Résolution COM6/25 (CMR-23) – Ordre du jour préliminaire de la Conférence mondiale des radiocommunications de 2031</w:t>
      </w:r>
    </w:p>
    <w:p w14:paraId="4F18BE16" w14:textId="5AC39961" w:rsidR="00EC0760" w:rsidRPr="00E554DE" w:rsidRDefault="00EC0760" w:rsidP="00906541">
      <w:pPr>
        <w:rPr>
          <w:szCs w:val="24"/>
        </w:rPr>
      </w:pPr>
      <w:r w:rsidRPr="00E554DE">
        <w:rPr>
          <w:szCs w:val="24"/>
        </w:rPr>
        <w:t>28.5</w:t>
      </w:r>
      <w:r w:rsidRPr="00E554DE">
        <w:rPr>
          <w:szCs w:val="24"/>
        </w:rPr>
        <w:tab/>
        <w:t xml:space="preserve">Le </w:t>
      </w:r>
      <w:r w:rsidRPr="00E554DE">
        <w:rPr>
          <w:b/>
          <w:bCs/>
          <w:szCs w:val="24"/>
        </w:rPr>
        <w:t>Directeur du BR</w:t>
      </w:r>
      <w:r w:rsidRPr="00E554DE">
        <w:rPr>
          <w:szCs w:val="24"/>
        </w:rPr>
        <w:t xml:space="preserve"> confirme que le nouveau point de l'ordre du jour correspondant à la Résolution 235 (Rév.CMR-23), qui a déjà été approuvée par la plénière lors de l'examen du Document 516(Rév.1), sera ajouté à la Résolution COM6/25 </w:t>
      </w:r>
      <w:r w:rsidRPr="00E554DE">
        <w:t>par la Commission de rédaction en tant que point</w:t>
      </w:r>
      <w:r w:rsidRPr="00E554DE">
        <w:rPr>
          <w:szCs w:val="24"/>
        </w:rPr>
        <w:t> 2.14.</w:t>
      </w:r>
    </w:p>
    <w:p w14:paraId="03413739" w14:textId="1D1E8179" w:rsidR="00EC0760" w:rsidRPr="00E554DE" w:rsidRDefault="00EC0760" w:rsidP="00906541">
      <w:pPr>
        <w:rPr>
          <w:szCs w:val="24"/>
        </w:rPr>
      </w:pPr>
      <w:r w:rsidRPr="00E554DE">
        <w:rPr>
          <w:szCs w:val="24"/>
        </w:rPr>
        <w:t>28.6</w:t>
      </w:r>
      <w:r w:rsidRPr="00E554DE">
        <w:rPr>
          <w:szCs w:val="24"/>
        </w:rPr>
        <w:tab/>
      </w:r>
      <w:r w:rsidRPr="00E554DE">
        <w:t>Cela étant entendu</w:t>
      </w:r>
      <w:r w:rsidRPr="00E554DE">
        <w:rPr>
          <w:szCs w:val="24"/>
        </w:rPr>
        <w:t>, le ADD Résolution COM6/25 (CMR-23) est</w:t>
      </w:r>
      <w:r w:rsidRPr="00E554DE">
        <w:rPr>
          <w:b/>
          <w:szCs w:val="24"/>
        </w:rPr>
        <w:t xml:space="preserve"> approuvé</w:t>
      </w:r>
      <w:r w:rsidRPr="00E554DE">
        <w:rPr>
          <w:szCs w:val="24"/>
        </w:rPr>
        <w:t>.</w:t>
      </w:r>
    </w:p>
    <w:p w14:paraId="77F04864" w14:textId="77777777" w:rsidR="00EC0760" w:rsidRPr="00E554DE" w:rsidRDefault="00EC0760" w:rsidP="00906541">
      <w:pPr>
        <w:rPr>
          <w:bCs/>
          <w:szCs w:val="24"/>
        </w:rPr>
      </w:pPr>
      <w:r w:rsidRPr="00E554DE">
        <w:rPr>
          <w:szCs w:val="24"/>
        </w:rPr>
        <w:lastRenderedPageBreak/>
        <w:t>28.7</w:t>
      </w:r>
      <w:r w:rsidRPr="00E554DE">
        <w:rPr>
          <w:szCs w:val="24"/>
        </w:rPr>
        <w:tab/>
        <w:t xml:space="preserve">La cinquante et unième série de textes soumis par la Commission de rédaction en première lecture (B51) (Document 502(Rév.1)), telle que modifiée, est </w:t>
      </w:r>
      <w:r w:rsidRPr="00E554DE">
        <w:rPr>
          <w:b/>
          <w:bCs/>
          <w:szCs w:val="24"/>
        </w:rPr>
        <w:t>approuvée</w:t>
      </w:r>
      <w:r w:rsidRPr="00E554DE">
        <w:rPr>
          <w:bCs/>
          <w:szCs w:val="24"/>
        </w:rPr>
        <w:t>.</w:t>
      </w:r>
    </w:p>
    <w:p w14:paraId="62903495" w14:textId="77777777" w:rsidR="00EC0760" w:rsidRPr="00E554DE" w:rsidRDefault="00EC0760" w:rsidP="00906541">
      <w:pPr>
        <w:ind w:left="1134" w:hanging="1134"/>
        <w:rPr>
          <w:sz w:val="28"/>
          <w:szCs w:val="28"/>
        </w:rPr>
      </w:pPr>
      <w:r w:rsidRPr="00E554DE">
        <w:rPr>
          <w:b/>
          <w:sz w:val="28"/>
          <w:szCs w:val="28"/>
        </w:rPr>
        <w:t>29</w:t>
      </w:r>
      <w:r w:rsidRPr="00E554DE">
        <w:rPr>
          <w:b/>
          <w:sz w:val="28"/>
          <w:szCs w:val="28"/>
        </w:rPr>
        <w:tab/>
        <w:t>Cinquante et unième série de textes soumis par la Commission de rédaction (B51) – seconde lecture (Document 502(Rév.1))</w:t>
      </w:r>
    </w:p>
    <w:p w14:paraId="513E22FA" w14:textId="77777777" w:rsidR="00EC0760" w:rsidRPr="00E554DE" w:rsidRDefault="00EC0760" w:rsidP="00906541">
      <w:pPr>
        <w:rPr>
          <w:szCs w:val="24"/>
        </w:rPr>
      </w:pPr>
      <w:r w:rsidRPr="00E554DE">
        <w:rPr>
          <w:szCs w:val="24"/>
        </w:rPr>
        <w:t>29.1</w:t>
      </w:r>
      <w:r w:rsidRPr="00E554DE">
        <w:rPr>
          <w:szCs w:val="24"/>
        </w:rPr>
        <w:tab/>
        <w:t xml:space="preserve">La cinquante et unième série de textes soumis par la Commission de rédaction (B51) (Document 502(Rév.1)), telle que modifiée en première lecture, est </w:t>
      </w:r>
      <w:r w:rsidRPr="00E554DE">
        <w:rPr>
          <w:b/>
          <w:bCs/>
          <w:szCs w:val="24"/>
        </w:rPr>
        <w:t>approuvée</w:t>
      </w:r>
      <w:r w:rsidRPr="00E554DE">
        <w:rPr>
          <w:szCs w:val="24"/>
        </w:rPr>
        <w:t xml:space="preserve"> en seconde lecture.</w:t>
      </w:r>
    </w:p>
    <w:p w14:paraId="57D0AB68" w14:textId="77777777" w:rsidR="00EC0760" w:rsidRPr="00E554DE" w:rsidRDefault="00EC0760" w:rsidP="00906541">
      <w:pPr>
        <w:rPr>
          <w:szCs w:val="24"/>
        </w:rPr>
      </w:pPr>
      <w:r w:rsidRPr="00E554DE">
        <w:rPr>
          <w:szCs w:val="24"/>
        </w:rPr>
        <w:t>29.2</w:t>
      </w:r>
      <w:r w:rsidRPr="00E554DE">
        <w:rPr>
          <w:szCs w:val="24"/>
        </w:rPr>
        <w:tab/>
        <w:t xml:space="preserve">La </w:t>
      </w:r>
      <w:r w:rsidRPr="00E554DE">
        <w:rPr>
          <w:b/>
          <w:szCs w:val="24"/>
        </w:rPr>
        <w:t>déléguée du Canada</w:t>
      </w:r>
      <w:r w:rsidRPr="00E554DE">
        <w:rPr>
          <w:szCs w:val="24"/>
        </w:rPr>
        <w:t xml:space="preserve"> prononce la déclaration suivante:</w:t>
      </w:r>
    </w:p>
    <w:p w14:paraId="7B4CA5C5" w14:textId="77777777" w:rsidR="00EC0760" w:rsidRPr="00E554DE" w:rsidRDefault="00EC0760" w:rsidP="00906541">
      <w:pPr>
        <w:rPr>
          <w:szCs w:val="24"/>
        </w:rPr>
      </w:pPr>
      <w:r w:rsidRPr="00E554DE">
        <w:rPr>
          <w:szCs w:val="24"/>
        </w:rPr>
        <w:t>«À présent que nous avons arrêté les points à inscrire aux ordres du jour de 2027 et 2031, le Canada souhaite exprimer ses préoccupations par ce qui suit.</w:t>
      </w:r>
    </w:p>
    <w:p w14:paraId="46807379" w14:textId="77777777" w:rsidR="00EC0760" w:rsidRPr="00E554DE" w:rsidRDefault="00EC0760" w:rsidP="00906541">
      <w:pPr>
        <w:rPr>
          <w:szCs w:val="24"/>
        </w:rPr>
      </w:pPr>
      <w:r w:rsidRPr="00E554DE">
        <w:rPr>
          <w:szCs w:val="24"/>
        </w:rPr>
        <w:t>Comme de nombreux autres pays, le Canada est venu à la présente Conférence dans le but de travailler à la réalisation des objectifs de l'UIT: connecter les personnes qui ne le sont pas encore, fournir un appui au développement durable et fonder nos décisions sur des connaissances spécialisées dans les domaines de la technique, de l'ingénierie et de la réglementation.</w:t>
      </w:r>
    </w:p>
    <w:p w14:paraId="48DABB01" w14:textId="77777777" w:rsidR="00EC0760" w:rsidRPr="00E554DE" w:rsidRDefault="00EC0760" w:rsidP="00906541">
      <w:pPr>
        <w:rPr>
          <w:szCs w:val="24"/>
        </w:rPr>
      </w:pPr>
      <w:r w:rsidRPr="00E554DE">
        <w:rPr>
          <w:szCs w:val="24"/>
        </w:rPr>
        <w:t>Cependant, nous avons constaté certaines choses qui nous inquiètent.</w:t>
      </w:r>
    </w:p>
    <w:p w14:paraId="0A44EB3C" w14:textId="75F4B613" w:rsidR="00EC0760" w:rsidRPr="00E554DE" w:rsidRDefault="00EC0760" w:rsidP="00906541">
      <w:pPr>
        <w:rPr>
          <w:szCs w:val="24"/>
        </w:rPr>
      </w:pPr>
      <w:r w:rsidRPr="00E554DE">
        <w:rPr>
          <w:szCs w:val="24"/>
        </w:rPr>
        <w:t>Nous avons vu différentes procédures appliquées pour un seul point – l'étude des limites de puissance surfacique équivalente de l'Article 22. Sur ce seul point, qui pourrait potentiellement améliorer l'efficacité de l'utilisation du spectre, l'accès équitable et la connectivité, plus de temps a été consacré à faire obstacle aux discussions qu'à débattre réellement de la substance du Document.</w:t>
      </w:r>
    </w:p>
    <w:p w14:paraId="1101166C" w14:textId="1C18F699" w:rsidR="00EC0760" w:rsidRPr="00E554DE" w:rsidRDefault="00EC0760" w:rsidP="00906541">
      <w:pPr>
        <w:rPr>
          <w:szCs w:val="24"/>
        </w:rPr>
      </w:pPr>
      <w:r w:rsidRPr="00E554DE">
        <w:rPr>
          <w:szCs w:val="24"/>
        </w:rPr>
        <w:t>Nous avons constaté l'importance croissante du rôle des chefs des groupes régionaux. Nous sommes un organe formé d'États Membres. Si les chefs des groupes régionaux jouent un rôle essentiel et précieux dans la conduite et l'orientation de la Conférence, et dans la facilitation des discussions sur les questions difficiles, ils ne sont pas habilités à prendre des décisions au nom de tous les États Membres. Les chefs des groupes régionaux ne constituent pas le niveau le plus élevé de la Conférence, la plénière constituée des États Membres est, et doit rester, ce niveau le plus élevé.</w:t>
      </w:r>
    </w:p>
    <w:p w14:paraId="71C5D47E" w14:textId="77777777" w:rsidR="00EC0760" w:rsidRPr="00E554DE" w:rsidRDefault="00EC0760" w:rsidP="00906541">
      <w:pPr>
        <w:rPr>
          <w:szCs w:val="24"/>
        </w:rPr>
      </w:pPr>
      <w:r w:rsidRPr="00E554DE">
        <w:rPr>
          <w:szCs w:val="24"/>
        </w:rPr>
        <w:t>Enfin, nous avons constaté d'énormes difficultés lors des discussions générales sur le point 10 de l'ordre du jour. Nous l'avons clairement vu dans l'absence de débat au niveau du groupe de travail ou de la commission sur la question de la sélection des bandes de fréquences à examiner en vue de l'identification future de bandes pour les IMT. En conséquence, il a été choisi des bandes qui ont déjà été étudiées ou qui ont peu de chances de convenir.</w:t>
      </w:r>
    </w:p>
    <w:p w14:paraId="4D75ECDE" w14:textId="4CF1BC83" w:rsidR="00EC0760" w:rsidRPr="00E554DE" w:rsidRDefault="00EC0760" w:rsidP="00906541">
      <w:pPr>
        <w:rPr>
          <w:szCs w:val="24"/>
        </w:rPr>
      </w:pPr>
      <w:r w:rsidRPr="00E554DE">
        <w:rPr>
          <w:szCs w:val="24"/>
        </w:rPr>
        <w:t>Dans le contexte du point 10 de l'ordre du jour, les efforts déployés et les meilleures intentions n'ont pas suffi à éviter les problèmes de méthode et de procédure, l'absence de discussions et la non</w:t>
      </w:r>
      <w:r w:rsidRPr="00E554DE">
        <w:rPr>
          <w:szCs w:val="24"/>
        </w:rPr>
        <w:noBreakHyphen/>
        <w:t>prise en compte de la capacité à gérer la charge de travail future, et des liens ont été clairement établis entre les progrès accomplis dans l'examen des points de l'ordre du jour de cette conférence et l'adoption des points de l'ordre du jour des futures conférences. Nous espérons qu'ensemble, nous travaillerons à l'élaboration d'un processus plus réfléchi et plus inclusif pour traiter le point 10 de l'ordre du jour lors des prochaines conférences.»</w:t>
      </w:r>
    </w:p>
    <w:p w14:paraId="400CEDAB" w14:textId="5D8553C3" w:rsidR="00EC0760" w:rsidRPr="00E554DE" w:rsidRDefault="00EC0760" w:rsidP="00906541">
      <w:pPr>
        <w:rPr>
          <w:szCs w:val="24"/>
        </w:rPr>
      </w:pPr>
      <w:r w:rsidRPr="00E554DE">
        <w:rPr>
          <w:szCs w:val="24"/>
        </w:rPr>
        <w:t>29.3</w:t>
      </w:r>
      <w:r w:rsidRPr="00E554DE">
        <w:rPr>
          <w:szCs w:val="24"/>
        </w:rPr>
        <w:tab/>
        <w:t xml:space="preserve">Les </w:t>
      </w:r>
      <w:r w:rsidRPr="00E554DE">
        <w:rPr>
          <w:b/>
          <w:szCs w:val="24"/>
        </w:rPr>
        <w:t>délégués de l'Allemagne</w:t>
      </w:r>
      <w:r w:rsidRPr="00E554DE">
        <w:rPr>
          <w:szCs w:val="24"/>
        </w:rPr>
        <w:t xml:space="preserve">, </w:t>
      </w:r>
      <w:r w:rsidRPr="00E554DE">
        <w:rPr>
          <w:b/>
          <w:bCs/>
          <w:szCs w:val="24"/>
        </w:rPr>
        <w:t>de l'Espagne</w:t>
      </w:r>
      <w:r w:rsidRPr="00E554DE">
        <w:rPr>
          <w:szCs w:val="24"/>
        </w:rPr>
        <w:t xml:space="preserve"> et</w:t>
      </w:r>
      <w:r w:rsidRPr="00E554DE">
        <w:rPr>
          <w:b/>
          <w:bCs/>
          <w:szCs w:val="24"/>
        </w:rPr>
        <w:t xml:space="preserve"> de la </w:t>
      </w:r>
      <w:r w:rsidRPr="00E554DE">
        <w:rPr>
          <w:b/>
          <w:szCs w:val="24"/>
        </w:rPr>
        <w:t>Suisse</w:t>
      </w:r>
      <w:r w:rsidRPr="00E554DE">
        <w:rPr>
          <w:szCs w:val="24"/>
        </w:rPr>
        <w:t xml:space="preserve"> approuvent cette déclaration et espèrent qu'elle sera prise au sérieux par les administrations afin d'améliorer les processus tout au long de la prochaine période d'études. Il est important de tirer de la CMR</w:t>
      </w:r>
      <w:r w:rsidRPr="00E554DE">
        <w:rPr>
          <w:szCs w:val="24"/>
        </w:rPr>
        <w:noBreakHyphen/>
        <w:t>23 les enseignements qui permettront d'améliorer les procédures et de gagner en efficacité.</w:t>
      </w:r>
    </w:p>
    <w:p w14:paraId="4B069DF9" w14:textId="77777777" w:rsidR="00EC0760" w:rsidRPr="00E554DE" w:rsidRDefault="00EC0760" w:rsidP="00906541">
      <w:pPr>
        <w:rPr>
          <w:szCs w:val="24"/>
        </w:rPr>
      </w:pPr>
      <w:r w:rsidRPr="00E554DE">
        <w:rPr>
          <w:szCs w:val="24"/>
        </w:rPr>
        <w:t>29.4</w:t>
      </w:r>
      <w:r w:rsidRPr="00E554DE">
        <w:rPr>
          <w:szCs w:val="24"/>
        </w:rPr>
        <w:tab/>
        <w:t xml:space="preserve">Le </w:t>
      </w:r>
      <w:r w:rsidRPr="00E554DE">
        <w:rPr>
          <w:b/>
          <w:szCs w:val="24"/>
        </w:rPr>
        <w:t>délégué de la France</w:t>
      </w:r>
      <w:r w:rsidRPr="00E554DE">
        <w:rPr>
          <w:szCs w:val="24"/>
        </w:rPr>
        <w:t xml:space="preserve"> déclare que la France s'associe à la déclaration du Canada. Bien que son Administration soit satisfaite des compromis trouvés, il davantage de temps doit être accordé, lors des conférences futures, à la résolution des difficultés liées à ces questions sensibles et ces bandes de fréquences.</w:t>
      </w:r>
    </w:p>
    <w:p w14:paraId="57E74607" w14:textId="7766D0DD" w:rsidR="00EC0760" w:rsidRPr="00E554DE" w:rsidRDefault="00EC0760" w:rsidP="00906541">
      <w:pPr>
        <w:rPr>
          <w:szCs w:val="24"/>
        </w:rPr>
      </w:pPr>
      <w:r w:rsidRPr="00E554DE">
        <w:rPr>
          <w:szCs w:val="24"/>
        </w:rPr>
        <w:lastRenderedPageBreak/>
        <w:t>29.5</w:t>
      </w:r>
      <w:r w:rsidRPr="00E554DE">
        <w:rPr>
          <w:szCs w:val="24"/>
        </w:rPr>
        <w:tab/>
        <w:t xml:space="preserve">Le </w:t>
      </w:r>
      <w:r w:rsidRPr="00E554DE">
        <w:rPr>
          <w:b/>
          <w:szCs w:val="24"/>
        </w:rPr>
        <w:t>délégué du Brésil</w:t>
      </w:r>
      <w:r w:rsidRPr="00E554DE">
        <w:rPr>
          <w:szCs w:val="24"/>
        </w:rPr>
        <w:t xml:space="preserve"> se félicite du travail accompli à tous les niveaux de la Commission 6 sur le point 10 de l'ordre du jour et salue le rôle des chefs des groupes régionaux dans l'obtention des accords et des décisions lors des séances plénières. Selon lui, ce point de l'ordre du jour a été traité avec une efficacité remarquable et l'objectif d'élaborer les ordres du jour de la CMR-27 et de la CMR-31 a été atteint. Même si les résultats peuvent ne pas plaire à tout le monde, il est important d'avancer.</w:t>
      </w:r>
    </w:p>
    <w:p w14:paraId="5E765BF3" w14:textId="77777777" w:rsidR="00EC0760" w:rsidRPr="00E554DE" w:rsidRDefault="00EC0760" w:rsidP="00906541">
      <w:r w:rsidRPr="00E554DE">
        <w:rPr>
          <w:szCs w:val="24"/>
        </w:rPr>
        <w:t>29.6</w:t>
      </w:r>
      <w:r w:rsidRPr="00E554DE">
        <w:rPr>
          <w:szCs w:val="24"/>
        </w:rPr>
        <w:tab/>
        <w:t xml:space="preserve">Le </w:t>
      </w:r>
      <w:r w:rsidRPr="00E554DE">
        <w:rPr>
          <w:b/>
        </w:rPr>
        <w:t>Président</w:t>
      </w:r>
      <w:r w:rsidRPr="00E554DE">
        <w:t>, notant que la Conférence a maintenant épuisé l'ordre du jour, exprime au nom de la Conférence une gratitude particulière et une reconnaissance sincère au Président de la Commission de rédaction et à toute son équipe pour leur travail dévoué.</w:t>
      </w:r>
    </w:p>
    <w:p w14:paraId="7DB25835" w14:textId="0E262719" w:rsidR="00EC0760" w:rsidRPr="00E554DE" w:rsidRDefault="00EC0760" w:rsidP="00906541">
      <w:pPr>
        <w:rPr>
          <w:szCs w:val="24"/>
        </w:rPr>
      </w:pPr>
      <w:r w:rsidRPr="00E554DE">
        <w:rPr>
          <w:szCs w:val="24"/>
        </w:rPr>
        <w:t>29.7</w:t>
      </w:r>
      <w:r w:rsidRPr="00E554DE">
        <w:rPr>
          <w:szCs w:val="24"/>
        </w:rPr>
        <w:tab/>
        <w:t xml:space="preserve">Le </w:t>
      </w:r>
      <w:r w:rsidRPr="00E554DE">
        <w:rPr>
          <w:b/>
          <w:szCs w:val="24"/>
        </w:rPr>
        <w:t>Président de la Commission 7</w:t>
      </w:r>
      <w:r w:rsidRPr="00E554DE">
        <w:rPr>
          <w:szCs w:val="24"/>
        </w:rPr>
        <w:t xml:space="preserve"> remercie toutes celles et tous ceux ayant pris part aux travaux de la Commission de rédaction, en particulier ses Vice-Présidents. Il réserve toutefois ses plus vifs remerciements aux équipes du Secrétariat de l'UIT, notamment aux traducteurs et aux opérateurs sur place et à Genève, qui ont travaillé jour et nuit au sein de la commission et dans les coulisses pour préparer l'énorme volume de documents dans toutes les langues.</w:t>
      </w:r>
    </w:p>
    <w:p w14:paraId="3DEEEEC7" w14:textId="77777777" w:rsidR="00EC0760" w:rsidRPr="00E554DE" w:rsidRDefault="00EC0760" w:rsidP="00906541">
      <w:pPr>
        <w:rPr>
          <w:szCs w:val="24"/>
        </w:rPr>
      </w:pPr>
      <w:r w:rsidRPr="00E554DE">
        <w:rPr>
          <w:szCs w:val="24"/>
        </w:rPr>
        <w:t>29.8</w:t>
      </w:r>
      <w:r w:rsidRPr="00E554DE">
        <w:rPr>
          <w:szCs w:val="24"/>
        </w:rPr>
        <w:tab/>
        <w:t xml:space="preserve">Le </w:t>
      </w:r>
      <w:r w:rsidRPr="00E554DE">
        <w:rPr>
          <w:b/>
          <w:szCs w:val="24"/>
        </w:rPr>
        <w:t>délégué de la Suisse</w:t>
      </w:r>
      <w:r w:rsidRPr="00E554DE">
        <w:rPr>
          <w:szCs w:val="24"/>
        </w:rPr>
        <w:t xml:space="preserve"> remercie tout particulièrement le Président de la Commission 7 et lui adresse ses meilleurs vœux à l'occasion de son départ en retraite.</w:t>
      </w:r>
    </w:p>
    <w:p w14:paraId="124B1626" w14:textId="652F75B0" w:rsidR="00EC0760" w:rsidRPr="00E554DE" w:rsidRDefault="00EC0760" w:rsidP="00906541">
      <w:pPr>
        <w:rPr>
          <w:szCs w:val="24"/>
        </w:rPr>
      </w:pPr>
      <w:r w:rsidRPr="00E554DE">
        <w:rPr>
          <w:szCs w:val="24"/>
        </w:rPr>
        <w:t>29.9</w:t>
      </w:r>
      <w:r w:rsidRPr="00E554DE">
        <w:rPr>
          <w:szCs w:val="24"/>
        </w:rPr>
        <w:tab/>
        <w:t xml:space="preserve">Le </w:t>
      </w:r>
      <w:r w:rsidRPr="00E554DE">
        <w:rPr>
          <w:b/>
          <w:szCs w:val="24"/>
        </w:rPr>
        <w:t>délégué de la République islamique d'Iran</w:t>
      </w:r>
      <w:r w:rsidRPr="00E554DE">
        <w:rPr>
          <w:bCs/>
          <w:szCs w:val="24"/>
        </w:rPr>
        <w:t>, en qualité de président du groupe interrégional informel,</w:t>
      </w:r>
      <w:r w:rsidRPr="00E554DE">
        <w:rPr>
          <w:b/>
          <w:szCs w:val="24"/>
        </w:rPr>
        <w:t xml:space="preserve"> </w:t>
      </w:r>
      <w:r w:rsidRPr="00E554DE">
        <w:rPr>
          <w:bCs/>
          <w:szCs w:val="24"/>
        </w:rPr>
        <w:t>exprime sa sincère reconnaissance aux présidents des commissions pour leurs efforts et le travail accompli</w:t>
      </w:r>
      <w:r w:rsidRPr="00E554DE">
        <w:rPr>
          <w:szCs w:val="24"/>
        </w:rPr>
        <w:t>. Tous désignés pour leurs hautes qualités reconnues, ils ont su se montrer à la hauteur de ces qualités.</w:t>
      </w:r>
    </w:p>
    <w:p w14:paraId="60614510" w14:textId="77777777" w:rsidR="00EC0760" w:rsidRPr="00E554DE" w:rsidRDefault="00EC0760" w:rsidP="00906541">
      <w:pPr>
        <w:pStyle w:val="Heading1"/>
      </w:pPr>
      <w:r w:rsidRPr="00E554DE">
        <w:t>30</w:t>
      </w:r>
      <w:r w:rsidRPr="00E554DE">
        <w:tab/>
        <w:t>Déclaration du Président du RRB</w:t>
      </w:r>
    </w:p>
    <w:p w14:paraId="0EA355D3" w14:textId="2B1EF933" w:rsidR="00EC0760" w:rsidRPr="00E554DE" w:rsidRDefault="00EC0760" w:rsidP="00906541">
      <w:pPr>
        <w:rPr>
          <w:szCs w:val="24"/>
        </w:rPr>
      </w:pPr>
      <w:r w:rsidRPr="00E554DE">
        <w:rPr>
          <w:szCs w:val="24"/>
        </w:rPr>
        <w:t>30.1</w:t>
      </w:r>
      <w:r w:rsidRPr="00E554DE">
        <w:rPr>
          <w:szCs w:val="24"/>
        </w:rPr>
        <w:tab/>
        <w:t xml:space="preserve">Le </w:t>
      </w:r>
      <w:r w:rsidRPr="00E554DE">
        <w:rPr>
          <w:b/>
          <w:szCs w:val="24"/>
        </w:rPr>
        <w:t>Président du Comité du Règlement des radiocommunications</w:t>
      </w:r>
      <w:r w:rsidRPr="00E554DE">
        <w:t xml:space="preserve"> </w:t>
      </w:r>
      <w:r w:rsidRPr="00E554DE">
        <w:rPr>
          <w:szCs w:val="24"/>
        </w:rPr>
        <w:t>remercie l'ensemble des délégués pour leur esprit de collaboration, et M. Arasteh pour ses lumières et ses conseils d'expert. Il adresse également ses plus vifs remerciements à la Secrétaire générale de l'UIT, au Directeur du BR et au Bureau pour l'appui qu'ils apportent au RRB. Il prononce la déclaration reproduite dans l'Annexe B.</w:t>
      </w:r>
    </w:p>
    <w:p w14:paraId="0F2DB574" w14:textId="77777777" w:rsidR="00EC0760" w:rsidRPr="00E554DE" w:rsidRDefault="00EC0760" w:rsidP="00906541">
      <w:pPr>
        <w:pStyle w:val="Heading1"/>
      </w:pPr>
      <w:r w:rsidRPr="00E554DE">
        <w:t>31</w:t>
      </w:r>
      <w:r w:rsidRPr="00E554DE">
        <w:tab/>
        <w:t>Déclaration d'une délégation</w:t>
      </w:r>
    </w:p>
    <w:p w14:paraId="6796E4DA" w14:textId="24A3B9CB" w:rsidR="00EC0760" w:rsidRPr="00E554DE" w:rsidRDefault="00EC0760" w:rsidP="00906541">
      <w:pPr>
        <w:jc w:val="both"/>
        <w:rPr>
          <w:bCs/>
          <w:szCs w:val="24"/>
        </w:rPr>
      </w:pPr>
      <w:r w:rsidRPr="00E554DE">
        <w:rPr>
          <w:bCs/>
          <w:szCs w:val="24"/>
        </w:rPr>
        <w:t>31.1</w:t>
      </w:r>
      <w:r w:rsidRPr="00E554DE">
        <w:rPr>
          <w:bCs/>
          <w:szCs w:val="24"/>
        </w:rPr>
        <w:tab/>
        <w:t xml:space="preserve">La </w:t>
      </w:r>
      <w:r w:rsidRPr="00E554DE">
        <w:rPr>
          <w:b/>
          <w:bCs/>
          <w:szCs w:val="24"/>
        </w:rPr>
        <w:t>déléguée du Samoa</w:t>
      </w:r>
      <w:r w:rsidRPr="00E554DE">
        <w:rPr>
          <w:bCs/>
          <w:szCs w:val="24"/>
        </w:rPr>
        <w:t xml:space="preserve"> insiste sur l'importance de veiller à la connectivité des petits États insulaires en développement et prononce la déclaration reproduite dans l'Annexe C.</w:t>
      </w:r>
    </w:p>
    <w:p w14:paraId="15DA4C28" w14:textId="77777777" w:rsidR="00EC0760" w:rsidRPr="00E554DE" w:rsidRDefault="00EC0760" w:rsidP="00906541">
      <w:pPr>
        <w:pStyle w:val="Heading1"/>
      </w:pPr>
      <w:r w:rsidRPr="00E554DE">
        <w:t>32</w:t>
      </w:r>
      <w:r w:rsidRPr="00E554DE">
        <w:tab/>
        <w:t>Heure limite pour le dépôt des déclarations et des réserves</w:t>
      </w:r>
    </w:p>
    <w:p w14:paraId="72A86335" w14:textId="116B1B01" w:rsidR="00EC0760" w:rsidRPr="00E554DE" w:rsidRDefault="00EC0760" w:rsidP="00906541">
      <w:pPr>
        <w:rPr>
          <w:szCs w:val="24"/>
        </w:rPr>
      </w:pPr>
      <w:r w:rsidRPr="00E554DE">
        <w:rPr>
          <w:szCs w:val="24"/>
        </w:rPr>
        <w:t>32.1</w:t>
      </w:r>
      <w:r w:rsidRPr="00E554DE">
        <w:rPr>
          <w:szCs w:val="24"/>
        </w:rPr>
        <w:tab/>
        <w:t xml:space="preserve">La </w:t>
      </w:r>
      <w:r w:rsidRPr="00E554DE">
        <w:rPr>
          <w:b/>
          <w:szCs w:val="24"/>
        </w:rPr>
        <w:t>Secrétaire de la plénière</w:t>
      </w:r>
      <w:r w:rsidRPr="00E554DE">
        <w:rPr>
          <w:szCs w:val="24"/>
        </w:rPr>
        <w:t xml:space="preserve"> indique que conformément au Document 435 (Derniers jours de la conférence), le délai de dépôt des déclarations et des réserves est fixé à 19 h 00, heure de Dubaï.</w:t>
      </w:r>
    </w:p>
    <w:p w14:paraId="40F2EFCD" w14:textId="77777777" w:rsidR="00EC0760" w:rsidRPr="00E554DE" w:rsidRDefault="00EC0760" w:rsidP="00906541">
      <w:pPr>
        <w:rPr>
          <w:szCs w:val="24"/>
        </w:rPr>
      </w:pPr>
      <w:r w:rsidRPr="00E554DE">
        <w:rPr>
          <w:szCs w:val="24"/>
        </w:rPr>
        <w:t>32.2</w:t>
      </w:r>
      <w:r w:rsidRPr="00E554DE">
        <w:rPr>
          <w:szCs w:val="24"/>
        </w:rPr>
        <w:tab/>
        <w:t xml:space="preserve">Il en est ainsi </w:t>
      </w:r>
      <w:r w:rsidRPr="00E554DE">
        <w:rPr>
          <w:b/>
          <w:szCs w:val="24"/>
        </w:rPr>
        <w:t>décidé</w:t>
      </w:r>
      <w:r w:rsidRPr="00E554DE">
        <w:rPr>
          <w:szCs w:val="24"/>
        </w:rPr>
        <w:t>.</w:t>
      </w:r>
    </w:p>
    <w:p w14:paraId="196DDAE5" w14:textId="72661D53" w:rsidR="00EC0760" w:rsidRPr="00E554DE" w:rsidRDefault="00EC0760" w:rsidP="00906541">
      <w:pPr>
        <w:rPr>
          <w:b/>
          <w:bCs/>
          <w:szCs w:val="24"/>
        </w:rPr>
      </w:pPr>
      <w:r w:rsidRPr="00E554DE">
        <w:rPr>
          <w:b/>
          <w:bCs/>
          <w:szCs w:val="24"/>
        </w:rPr>
        <w:t>La séance est levée à 15</w:t>
      </w:r>
      <w:r w:rsidR="001A0499" w:rsidRPr="00E554DE">
        <w:rPr>
          <w:b/>
          <w:bCs/>
          <w:szCs w:val="24"/>
        </w:rPr>
        <w:t xml:space="preserve"> </w:t>
      </w:r>
      <w:r w:rsidRPr="00E554DE">
        <w:rPr>
          <w:b/>
          <w:bCs/>
          <w:szCs w:val="24"/>
        </w:rPr>
        <w:t>h</w:t>
      </w:r>
      <w:r w:rsidR="001A0499" w:rsidRPr="00E554DE">
        <w:rPr>
          <w:b/>
          <w:bCs/>
          <w:szCs w:val="24"/>
        </w:rPr>
        <w:t xml:space="preserve"> </w:t>
      </w:r>
      <w:r w:rsidRPr="00E554DE">
        <w:rPr>
          <w:b/>
          <w:bCs/>
          <w:szCs w:val="24"/>
        </w:rPr>
        <w:t>55.</w:t>
      </w:r>
    </w:p>
    <w:p w14:paraId="26734BA6" w14:textId="53C266E2" w:rsidR="00FA3BCE" w:rsidRPr="00E554DE" w:rsidRDefault="00EC0760" w:rsidP="00906541">
      <w:pPr>
        <w:tabs>
          <w:tab w:val="clear" w:pos="1134"/>
          <w:tab w:val="clear" w:pos="1871"/>
          <w:tab w:val="clear" w:pos="2268"/>
          <w:tab w:val="left" w:pos="7088"/>
        </w:tabs>
        <w:spacing w:before="840"/>
        <w:rPr>
          <w:bCs/>
        </w:rPr>
      </w:pPr>
      <w:r w:rsidRPr="00E554DE">
        <w:t>La Secrétaire générale:</w:t>
      </w:r>
      <w:r w:rsidRPr="00E554DE">
        <w:tab/>
        <w:t>Le Président:</w:t>
      </w:r>
      <w:r w:rsidRPr="00E554DE">
        <w:br/>
        <w:t>D.</w:t>
      </w:r>
      <w:r w:rsidRPr="00E554DE">
        <w:rPr>
          <w:bCs/>
        </w:rPr>
        <w:t xml:space="preserve"> BOGDAN-MARTIN</w:t>
      </w:r>
      <w:r w:rsidRPr="00E554DE">
        <w:rPr>
          <w:bCs/>
        </w:rPr>
        <w:tab/>
        <w:t>M. AL RAMSI</w:t>
      </w:r>
    </w:p>
    <w:p w14:paraId="63F1D2D4" w14:textId="77777777" w:rsidR="00FA3BCE" w:rsidRPr="00E554DE" w:rsidRDefault="00FA3BCE" w:rsidP="00906541">
      <w:pPr>
        <w:tabs>
          <w:tab w:val="clear" w:pos="1134"/>
          <w:tab w:val="clear" w:pos="1871"/>
          <w:tab w:val="clear" w:pos="2268"/>
        </w:tabs>
        <w:overflowPunct/>
        <w:autoSpaceDE/>
        <w:autoSpaceDN/>
        <w:adjustRightInd/>
        <w:spacing w:before="0"/>
        <w:textAlignment w:val="auto"/>
        <w:rPr>
          <w:bCs/>
        </w:rPr>
      </w:pPr>
      <w:r w:rsidRPr="00E554DE">
        <w:rPr>
          <w:bCs/>
        </w:rPr>
        <w:br w:type="page"/>
      </w:r>
    </w:p>
    <w:p w14:paraId="27E78C46" w14:textId="1E64C0E1" w:rsidR="00FA3BCE" w:rsidRPr="00E554DE" w:rsidRDefault="00FA3BCE" w:rsidP="00906541">
      <w:pPr>
        <w:jc w:val="right"/>
      </w:pPr>
      <w:r w:rsidRPr="00E554DE">
        <w:lastRenderedPageBreak/>
        <w:t>Original: anglais</w:t>
      </w:r>
    </w:p>
    <w:p w14:paraId="78FD143F" w14:textId="1A483E66" w:rsidR="00FA3BCE" w:rsidRPr="00E554DE" w:rsidRDefault="00FA3BCE" w:rsidP="00906541">
      <w:pPr>
        <w:pStyle w:val="AnnexNo"/>
      </w:pPr>
      <w:r w:rsidRPr="00E554DE">
        <w:t>ANNEXE A</w:t>
      </w:r>
    </w:p>
    <w:p w14:paraId="7E0CFFE8" w14:textId="30765FF5" w:rsidR="00EC0760" w:rsidRPr="00E554DE" w:rsidRDefault="00A13ED0" w:rsidP="00906541">
      <w:pPr>
        <w:pStyle w:val="Annextitle"/>
      </w:pPr>
      <w:r w:rsidRPr="00E554DE">
        <w:t>Déclaration du délégué du Botswana</w:t>
      </w:r>
    </w:p>
    <w:p w14:paraId="2BA4CC4C" w14:textId="77777777" w:rsidR="00A13ED0" w:rsidRPr="00E554DE" w:rsidRDefault="00A13ED0" w:rsidP="00906541">
      <w:pPr>
        <w:pStyle w:val="Normalaftertitle"/>
      </w:pPr>
      <w:r w:rsidRPr="00E554DE">
        <w:t>L'Administration du Botswana tient à exprimer sa profonde gratitude pour l'occasion qui est donnée à son pays de prendre part à cette manifestation prestigieuse qu'est la CMR-23.</w:t>
      </w:r>
    </w:p>
    <w:p w14:paraId="6C3E4391" w14:textId="4062DFBE" w:rsidR="00A13ED0" w:rsidRPr="00E554DE" w:rsidRDefault="00A13ED0" w:rsidP="00906541">
      <w:r w:rsidRPr="00E554DE">
        <w:t>Le Botswana adresse en outre ses sincères remerciements à la SADC et à l'UAT, qui lui ont fait confiance et, grâce au soutien qu'elles lui ont apporté, lui ont permis d'assurer la présidence de la Commission 2, par l'intermédiaire de Mme Basebi Mosinyi dont la très grande compétence n'est plus à démontrer.</w:t>
      </w:r>
    </w:p>
    <w:p w14:paraId="2BB30837" w14:textId="77777777" w:rsidR="00A13ED0" w:rsidRPr="00E554DE" w:rsidRDefault="00A13ED0" w:rsidP="00906541">
      <w:r w:rsidRPr="00E554DE">
        <w:t>Nous espérons et sommes convaincus que notre contribution aidera à faire en sorte que l'UIT soit mieux à même de servir ses États Membres.</w:t>
      </w:r>
    </w:p>
    <w:p w14:paraId="0E4EE73F" w14:textId="77777777" w:rsidR="00A13ED0" w:rsidRPr="00E554DE" w:rsidRDefault="00A13ED0" w:rsidP="00906541">
      <w:r w:rsidRPr="00E554DE">
        <w:t>Le Botswana a à cœur de garantir l'utilisation rationnelle et efficace des ressources que constitue le spectre des fréquences radioélectriques.</w:t>
      </w:r>
    </w:p>
    <w:p w14:paraId="040A1762" w14:textId="77777777" w:rsidR="00A13ED0" w:rsidRPr="00E554DE" w:rsidRDefault="00A13ED0" w:rsidP="00906541">
      <w:r w:rsidRPr="00E554DE">
        <w:t>Le Botswana est un grand pays avec très peu d'habitants, ce qui n'est pas sans poser de problèmes lorsqu'il s'agit de connecter facilement la population. Malgré cette difficulté, nous avons pu profiter des bénéfices considérables apportés par les travaux de l'UIT concernant l'harmonisation, puisque grâce à ces travaux, nous avons été en mesure d'utiliser différentes ressources spectrales adaptées à notre environnement tout en pouvant bénéficier d'économies d'échelle.</w:t>
      </w:r>
    </w:p>
    <w:p w14:paraId="122FC69F" w14:textId="77777777" w:rsidR="00A13ED0" w:rsidRPr="00E554DE" w:rsidRDefault="00A13ED0" w:rsidP="00906541">
      <w:r w:rsidRPr="00E554DE">
        <w:t>Monsieur le Président,</w:t>
      </w:r>
    </w:p>
    <w:p w14:paraId="2BA27001" w14:textId="4DE38832" w:rsidR="00FA3BCE" w:rsidRPr="00E554DE" w:rsidRDefault="00A13ED0" w:rsidP="00906541">
      <w:r w:rsidRPr="00E554DE">
        <w:t>Nous vous exprimons une fois encore notre profonde gratitude et vous félicitons pour votre grande efficacité qui a contribué à faire de la CMR-23 une réussite.</w:t>
      </w:r>
    </w:p>
    <w:p w14:paraId="704B9A84" w14:textId="1F73A88D" w:rsidR="00FA3BCE" w:rsidRPr="00E554DE" w:rsidRDefault="00FA3BCE" w:rsidP="00906541">
      <w:pPr>
        <w:tabs>
          <w:tab w:val="clear" w:pos="1134"/>
          <w:tab w:val="clear" w:pos="1871"/>
          <w:tab w:val="clear" w:pos="2268"/>
        </w:tabs>
        <w:overflowPunct/>
        <w:autoSpaceDE/>
        <w:autoSpaceDN/>
        <w:adjustRightInd/>
        <w:spacing w:before="0"/>
        <w:textAlignment w:val="auto"/>
        <w:rPr>
          <w:szCs w:val="24"/>
        </w:rPr>
      </w:pPr>
      <w:r w:rsidRPr="00E554DE">
        <w:rPr>
          <w:szCs w:val="24"/>
        </w:rPr>
        <w:br w:type="page"/>
      </w:r>
    </w:p>
    <w:p w14:paraId="743BB547" w14:textId="48839137" w:rsidR="00FA3BCE" w:rsidRPr="00E554DE" w:rsidRDefault="00FA3BCE" w:rsidP="00906541">
      <w:pPr>
        <w:jc w:val="right"/>
      </w:pPr>
      <w:r w:rsidRPr="00E554DE">
        <w:lastRenderedPageBreak/>
        <w:t>Original: arabe</w:t>
      </w:r>
    </w:p>
    <w:p w14:paraId="31A662F9" w14:textId="32E6800B" w:rsidR="00FA3BCE" w:rsidRPr="00E554DE" w:rsidRDefault="00FA3BCE" w:rsidP="00906541">
      <w:pPr>
        <w:pStyle w:val="AnnexNo"/>
      </w:pPr>
      <w:r w:rsidRPr="00E554DE">
        <w:t>ANNEXE B</w:t>
      </w:r>
    </w:p>
    <w:p w14:paraId="3315E099" w14:textId="5FDC4F1B" w:rsidR="00FA3BCE" w:rsidRPr="00E554DE" w:rsidRDefault="00A13ED0" w:rsidP="00906541">
      <w:pPr>
        <w:pStyle w:val="Annextitle"/>
      </w:pPr>
      <w:r w:rsidRPr="00E554DE">
        <w:t>Déclaration du Président du Règlement des radiocommunications</w:t>
      </w:r>
    </w:p>
    <w:p w14:paraId="2674F71C" w14:textId="1771276A" w:rsidR="00FA3BCE" w:rsidRPr="00E554DE" w:rsidRDefault="00A13ED0" w:rsidP="00906541">
      <w:pPr>
        <w:pStyle w:val="Normalaftertitle"/>
      </w:pPr>
      <w:r w:rsidRPr="00E554DE">
        <w:t>Merci Monsieur le Président,</w:t>
      </w:r>
    </w:p>
    <w:p w14:paraId="69E7FD96" w14:textId="1DA17179" w:rsidR="00A13ED0" w:rsidRPr="00E554DE" w:rsidRDefault="00A13ED0" w:rsidP="00906541">
      <w:r w:rsidRPr="00E554DE">
        <w:t xml:space="preserve">Votre Excellence Madame la Secrétaire générale de </w:t>
      </w:r>
      <w:r w:rsidR="003B11DA" w:rsidRPr="00E554DE">
        <w:br/>
      </w:r>
      <w:r w:rsidRPr="00E554DE">
        <w:t>l'Union internationale des télécommunications (UIT),</w:t>
      </w:r>
    </w:p>
    <w:p w14:paraId="03F84D12" w14:textId="77777777" w:rsidR="00A13ED0" w:rsidRPr="00E554DE" w:rsidRDefault="00A13ED0" w:rsidP="00906541">
      <w:r w:rsidRPr="00E554DE">
        <w:t>Monsieur le Directeur du Bureau des radiocommunications (BR),</w:t>
      </w:r>
    </w:p>
    <w:p w14:paraId="67B15C64" w14:textId="77777777" w:rsidR="00A13ED0" w:rsidRPr="00E554DE" w:rsidRDefault="00A13ED0" w:rsidP="00906541">
      <w:pPr>
        <w:spacing w:before="240"/>
      </w:pPr>
      <w:r w:rsidRPr="00E554DE">
        <w:t>Que la grâce de Dieu soit avec vous,</w:t>
      </w:r>
    </w:p>
    <w:p w14:paraId="1A3252A7" w14:textId="77777777" w:rsidR="00A13ED0" w:rsidRPr="00E554DE" w:rsidRDefault="00A13ED0" w:rsidP="00906541">
      <w:r w:rsidRPr="00E554DE">
        <w:t>Monsieur le Président,</w:t>
      </w:r>
    </w:p>
    <w:p w14:paraId="1799A0D8" w14:textId="605BCA72" w:rsidR="00A13ED0" w:rsidRPr="00E554DE" w:rsidRDefault="00A13ED0" w:rsidP="00906541">
      <w:r w:rsidRPr="00E554DE">
        <w:t xml:space="preserve">Je prends maintenant la parole pour vous féliciter pour l'efficacité avec laquelle la CMR-23 a travaillé et les excellents résultats obtenus, et vous adresser ma profonde gratitude pour le travail que vous avez accompli afin que soit approuvé le Document 494, qui concerne le </w:t>
      </w:r>
      <w:r w:rsidR="00BE7A57" w:rsidRPr="00E554DE">
        <w:t>r</w:t>
      </w:r>
      <w:r w:rsidRPr="00E554DE">
        <w:t>apport du Comité du Règlement des radiocommunications à la CMR-23 sur la Résolution 80 (Rév.CMR-07).</w:t>
      </w:r>
    </w:p>
    <w:p w14:paraId="7BBC3F94" w14:textId="1E6EF43D" w:rsidR="00A13ED0" w:rsidRPr="00E554DE" w:rsidRDefault="00A13ED0" w:rsidP="00906541">
      <w:r w:rsidRPr="00E554DE">
        <w:t>Les membres du Comité du Règlement des radiocommunications tiennent à vous adresser leurs remerciements les plus sincères, ainsi qu'à tous les États Membres et toutes les administrations. Nous remercions en outre toutes celles et tous ceux qui ont contribué, d'une manière ou d'une autre, au rapport soumis par le Comité à la Conférence. Ces contributions ont donné lieu à de nombreuses discussions, lors desquelles les délégués ont prononcé de nombreuses déclarations de grande valeur, preuve du grand intérêt que suscitent les questions soulevées dans le rapport.</w:t>
      </w:r>
    </w:p>
    <w:p w14:paraId="7FE00B0C" w14:textId="77777777" w:rsidR="00A13ED0" w:rsidRPr="00E554DE" w:rsidRDefault="00A13ED0" w:rsidP="00906541">
      <w:r w:rsidRPr="00E554DE">
        <w:t>Les suggestions constructives présentées par les délégations, et l'esprit de coopération dont elles ont fait preuve à l'égard du Comité lors des discussions, ont joué un rôle clé dans l'élaboration de solutions concrètes et de grande qualité à de nombreux problèmes et ont largement contribué à l'adoption du rapport soumis à la Conférence. Pour tout cela, je vous adresse à tous mes remerciements.</w:t>
      </w:r>
    </w:p>
    <w:p w14:paraId="5114B5FB" w14:textId="77777777" w:rsidR="00A13ED0" w:rsidRPr="00E554DE" w:rsidRDefault="00A13ED0" w:rsidP="00906541">
      <w:r w:rsidRPr="00E554DE">
        <w:t>Monsieur le Président,</w:t>
      </w:r>
    </w:p>
    <w:p w14:paraId="22964A4F" w14:textId="0D95D2FE" w:rsidR="00A13ED0" w:rsidRPr="00E554DE" w:rsidRDefault="00A13ED0" w:rsidP="00906541">
      <w:r w:rsidRPr="00E554DE">
        <w:t>Les membres du Comité du Règlement des radiocommunications expriment leurs remerciements, leur respect et leur gratitude à la Secrétaire générale, au Directeur du BR et aux fonctionnaires du BR pour l'appui sans faille qu'ils ont fourni lors de toutes les séances du Comité.</w:t>
      </w:r>
    </w:p>
    <w:p w14:paraId="7AAD704B" w14:textId="08845DB6" w:rsidR="00A13ED0" w:rsidRPr="00E554DE" w:rsidRDefault="00A13ED0" w:rsidP="00906541">
      <w:r w:rsidRPr="00E554DE">
        <w:t xml:space="preserve">À cette occasion, permettez-moi Monsieur le Président, à travers vous et au nom de tous les membres du Comité, d'adresser mes sincères remerciements et ma profonde reconnaissance à M. Arasteh. Nous apprécions toute l'énergie et les longues heures qu'il a consacrées à nos travaux, en plus d'avoir sa longue expérience à notre service lorsqu'il s'est agi de présenter des suggestions importantes et précieuses et des solutions concrètes pour aider à surmonter nombre des problèmes et difficultés rencontrés, non seulement concernant plusieurs domaines traités dans le </w:t>
      </w:r>
      <w:r w:rsidR="00BE7A57" w:rsidRPr="00E554DE">
        <w:t>r</w:t>
      </w:r>
      <w:r w:rsidRPr="00E554DE">
        <w:t>apport du Comité, mais aussi concernant divers points de l'ordre du jour de la CMR-23.</w:t>
      </w:r>
    </w:p>
    <w:p w14:paraId="6AB9E4E8" w14:textId="6D88E16F" w:rsidR="00A13ED0" w:rsidRPr="00E554DE" w:rsidRDefault="00A13ED0" w:rsidP="00906541">
      <w:pPr>
        <w:keepLines/>
      </w:pPr>
      <w:r w:rsidRPr="00E554DE">
        <w:lastRenderedPageBreak/>
        <w:t>À travers vous Monsieur le Président, les membres du Comité du Règlement des radiocommunications expriment leurs remerciements sincères et leur immense gratitude à M. Wengryniuk qui avait la délicate mission de présider le Sous-groupe de travail 5C2, lequel était chargé d'examiner les points les plus sensibles de l'ordre du jour, en particulier le point 7, le rapport du Directeur du BR et le rapport du Comité du Règlement des radiocommunications. Grâce à sa grande expérience, M. Wengryniuk a été en mesure de traiter diverses questions en faisant preuve d'une grande rigueur, d'un esprit constructif et d'une immense sagesse, ce qui lui a permis de mener à bien toutes les tâches qui lui ont été confiées avec le plus grand professionnalisme et en un temps record. Les succès obtenus sur plusieurs sujets délicats et points sensibles de l'ordre du jour n'auraient pas été possibles sans ses incroyables compétences, son esprit constructif et son attitude chaleureuse, et sans l'appui des membres.</w:t>
      </w:r>
    </w:p>
    <w:p w14:paraId="788F7544" w14:textId="77777777" w:rsidR="00A13ED0" w:rsidRPr="00E554DE" w:rsidRDefault="00A13ED0" w:rsidP="00906541">
      <w:r w:rsidRPr="00E554DE">
        <w:t>À travers vous Monsieur le Président, j'invite la plénière et les participants à applaudir chaleureusement M. Wengryniuk et à le remercier pour son excellent travail.</w:t>
      </w:r>
    </w:p>
    <w:p w14:paraId="32929B81" w14:textId="77777777" w:rsidR="00A13ED0" w:rsidRPr="00E554DE" w:rsidRDefault="00A13ED0" w:rsidP="00906541">
      <w:r w:rsidRPr="00E554DE">
        <w:t>Enfin, je tiens à vous rappeler à tous que nous continuerons à travailler pour défendre les intérêts du Secteur des radiocommunications sous toutes ses formes. Nous sommes parfaitement conscients que nous aurons fort à faire au cours de la période à venir.</w:t>
      </w:r>
    </w:p>
    <w:p w14:paraId="6B01DDFA" w14:textId="3D64699F" w:rsidR="00A13ED0" w:rsidRPr="00E554DE" w:rsidRDefault="00A13ED0" w:rsidP="00906541">
      <w:r w:rsidRPr="00E554DE">
        <w:t>Merci Monsieur le Président, et veuillez excuser la longueur de ma déclaration.</w:t>
      </w:r>
    </w:p>
    <w:p w14:paraId="505F38A1" w14:textId="77777777" w:rsidR="00FA3BCE" w:rsidRPr="00E554DE" w:rsidRDefault="00FA3BCE" w:rsidP="00906541">
      <w:pPr>
        <w:tabs>
          <w:tab w:val="clear" w:pos="1134"/>
          <w:tab w:val="clear" w:pos="1871"/>
          <w:tab w:val="clear" w:pos="2268"/>
        </w:tabs>
        <w:overflowPunct/>
        <w:autoSpaceDE/>
        <w:autoSpaceDN/>
        <w:adjustRightInd/>
        <w:spacing w:before="0"/>
        <w:textAlignment w:val="auto"/>
        <w:rPr>
          <w:szCs w:val="24"/>
        </w:rPr>
      </w:pPr>
      <w:r w:rsidRPr="00E554DE">
        <w:rPr>
          <w:szCs w:val="24"/>
        </w:rPr>
        <w:br w:type="page"/>
      </w:r>
    </w:p>
    <w:p w14:paraId="74C72D2B" w14:textId="47D3DC68" w:rsidR="00FA3BCE" w:rsidRPr="00E554DE" w:rsidRDefault="00FA3BCE" w:rsidP="00906541">
      <w:pPr>
        <w:jc w:val="right"/>
      </w:pPr>
      <w:r w:rsidRPr="00E554DE">
        <w:lastRenderedPageBreak/>
        <w:t>Original: anglais</w:t>
      </w:r>
    </w:p>
    <w:p w14:paraId="181CADC1" w14:textId="25BB4F7C" w:rsidR="00FA3BCE" w:rsidRPr="00E554DE" w:rsidRDefault="00FA3BCE" w:rsidP="00906541">
      <w:pPr>
        <w:pStyle w:val="AnnexNo"/>
      </w:pPr>
      <w:r w:rsidRPr="00E554DE">
        <w:t>ANNEXE C</w:t>
      </w:r>
    </w:p>
    <w:p w14:paraId="67089E25" w14:textId="4F2C2D6B" w:rsidR="00FA3BCE" w:rsidRPr="00E554DE" w:rsidRDefault="00F972B6" w:rsidP="00906541">
      <w:pPr>
        <w:pStyle w:val="Annextitle"/>
      </w:pPr>
      <w:r w:rsidRPr="00E554DE">
        <w:t>Déclaration de la déléguée du Samoa</w:t>
      </w:r>
    </w:p>
    <w:p w14:paraId="569AF411" w14:textId="77777777" w:rsidR="00F972B6" w:rsidRPr="00E554DE" w:rsidRDefault="00F972B6" w:rsidP="00906541">
      <w:pPr>
        <w:pStyle w:val="Normalaftertitle"/>
      </w:pPr>
      <w:r w:rsidRPr="00E554DE">
        <w:t>Votre Excellence, Monsieur le Président,</w:t>
      </w:r>
    </w:p>
    <w:p w14:paraId="11920154" w14:textId="77777777" w:rsidR="00F972B6" w:rsidRPr="00E554DE" w:rsidRDefault="00F972B6" w:rsidP="00906541">
      <w:r w:rsidRPr="00E554DE">
        <w:t>Madame la Secrétaire générale,</w:t>
      </w:r>
    </w:p>
    <w:p w14:paraId="29499C21" w14:textId="2403C421" w:rsidR="00F972B6" w:rsidRPr="00E554DE" w:rsidRDefault="00F972B6" w:rsidP="00906541">
      <w:r w:rsidRPr="00E554DE">
        <w:t>Messieurs les fonctionnaires élus,</w:t>
      </w:r>
    </w:p>
    <w:p w14:paraId="07F762B4" w14:textId="77777777" w:rsidR="00F972B6" w:rsidRPr="00E554DE" w:rsidRDefault="00F972B6" w:rsidP="00906541">
      <w:r w:rsidRPr="00E554DE">
        <w:t>Mesdames et messieurs,</w:t>
      </w:r>
    </w:p>
    <w:p w14:paraId="38923628" w14:textId="6D47B9F6" w:rsidR="00F972B6" w:rsidRPr="00E554DE" w:rsidRDefault="00F972B6" w:rsidP="00906541">
      <w:r w:rsidRPr="00E554DE">
        <w:t>Avant toute chose, je rends hommage à Celui à qui vont tous les honneurs, au Tout-Puissant pour la force, la sagesse et les conseils prodigués à chacun et chacune d'entre nous tout au long de ces quatre semaines au cours desquelles nous avons contribué sans relâche à de nombreuses séances et délibérations, permettant ainsi à la présente Conférence de prendre des décisions par consensus, fruits de compromis difficiles et délicats.</w:t>
      </w:r>
    </w:p>
    <w:p w14:paraId="5C348129" w14:textId="73B607A1" w:rsidR="00F972B6" w:rsidRPr="00E554DE" w:rsidRDefault="00F972B6" w:rsidP="00906541">
      <w:r w:rsidRPr="00E554DE">
        <w:t>Monsieur le Président, au nom du Gouvernement du Samoa, nous tenons à remercier le Gouvernement des Émirats arabes unis et son peuple pour leur hospitalité et la générosité dont ils ont fait preuve en accueillant la présente Conférence mondiale des radiocommunications de 2023. En outre, nous souhaitons remercier le Secrétariat de l'UIT, y compris les interprètes, qui ont travaillé avec dévouement et sans relâche en vue d'assurer le succès de cette Conférence.</w:t>
      </w:r>
    </w:p>
    <w:p w14:paraId="654BD98F" w14:textId="294F8FAB" w:rsidR="00F972B6" w:rsidRPr="00E554DE" w:rsidRDefault="00F972B6" w:rsidP="00906541">
      <w:r w:rsidRPr="00E554DE">
        <w:t>Comme notre Ministre l'a déclaré dans son allocution à la séance plénière d'ouverture, le Samoa est un petit État insulaire en développement qui fait face à de nombreux défis et problèmes nécessitant une gestion et une attribution efficaces du spectre, compte tenu précisément des besoins particuliers d'un pays de petite taille niché au cœur de vastes océans.</w:t>
      </w:r>
    </w:p>
    <w:p w14:paraId="29E630B9" w14:textId="6C47676A" w:rsidR="00F972B6" w:rsidRPr="00E554DE" w:rsidRDefault="00F972B6" w:rsidP="00906541">
      <w:r w:rsidRPr="00E554DE">
        <w:t>Comme vous pouvez l'imaginer, les moyens de subsistance du Samoa dépendent d'une connectivité fiable assurée grâce à des services de communication par satellite. Tout brouillage causé à ces satellites entraînerait une perte de connectivité coupant les communications à l'intérieur du pays et avec le monde extérieur.</w:t>
      </w:r>
    </w:p>
    <w:p w14:paraId="7EE7E0A7" w14:textId="4E8A1C1D" w:rsidR="00F972B6" w:rsidRPr="00E554DE" w:rsidRDefault="00F972B6" w:rsidP="00906541">
      <w:r w:rsidRPr="00E554DE">
        <w:t>Les fréquences attribuées aux services par satellite sont utilisées au Samoa pour de nombreuses applications, commerciales ou non commerciales, qui permettent les transports terrestres, maritimes et aériens, la surveillance des ressources terrestres, la fourniture de données météorologiques très pointues et l'atténuation des effets des changements climatiques.</w:t>
      </w:r>
    </w:p>
    <w:p w14:paraId="20A25065" w14:textId="23655D67" w:rsidR="00F972B6" w:rsidRPr="00E554DE" w:rsidRDefault="00F972B6" w:rsidP="00906541">
      <w:r w:rsidRPr="00E554DE">
        <w:t>Par conséquent, le Samoa et d'autres États insulaires ont le devoir de préserver leur utilisation actuelle des bandes de fréquences telle que les bandes C, L, Ku et Ka.</w:t>
      </w:r>
    </w:p>
    <w:p w14:paraId="0DF2F18F" w14:textId="74E42247" w:rsidR="00F972B6" w:rsidRPr="00E554DE" w:rsidRDefault="00F972B6" w:rsidP="00906541">
      <w:r w:rsidRPr="00E554DE">
        <w:t>Il est essentiel, Monsieur le Président, que nous reconnaissions les besoins des États insulaires à l'échelle mondiale et que nous veillions à ce que les mesures de protection nécessaires soient en place. À la présente Conférence, des décisions ont été prises concernant les points de l'ordre du jour relatifs à l'identification de la bande des 6 GHz pour les IMT, avec l'adoption d'un niveau de gabarit de p.i.r.e. risquant de compromettre la protection nécessaire pour les récepteurs de satellite a été adopté. Une telle décision aura des conséquences considérables sur la disponibilité d'une connectivité par satellite fiable pour les États insulaires.</w:t>
      </w:r>
    </w:p>
    <w:p w14:paraId="3C29BDA3" w14:textId="008599F2" w:rsidR="00F972B6" w:rsidRPr="00E554DE" w:rsidRDefault="00F972B6" w:rsidP="00906541">
      <w:pPr>
        <w:keepNext/>
        <w:keepLines/>
      </w:pPr>
      <w:r w:rsidRPr="00E554DE">
        <w:lastRenderedPageBreak/>
        <w:t>Monsieur le Président, pour conclure, je voudrais remercier le Réseau de femmes pour son accueil et ses activités de mentorat, car il s'agit de ma première Conférence. J'ai rencontré des femmes au parcours incroyable, avec lesquelles j'ai pu échanger, et j'attends avec impatience de voir ce que me réserve l'avenir. Je voudrais également remercier tout particulièrement le conseiller spécial du Samoa, M. Bashir Patel, pour ses connaissances incroyables, son engagement et ses conseils qui nous ont permis de ne pas perdre notre chemin dans le dédale des points de l'ordre du jour. Enfin, Monsieur le Président, je voudrais vous remercier pour la patience et l'efficacité dont vous avez fait preuve pour conduire les travaux tout au long de cette Conférence. Je vous remercie de m'avoir donné l'occasion de m'adresser à la présente séance plénière. En outre, je vous saurais gré de bien vouloir consigner cette déclaration au procès-verbal de la présente plénière. Je vous souhaite, ainsi qu'à tous ceux et toutes celles ici présents, de passer des fêtes en sécurité et sous Sa bénédiction.</w:t>
      </w:r>
    </w:p>
    <w:p w14:paraId="0C3B65DE" w14:textId="206F8E0A" w:rsidR="00FA3BCE" w:rsidRPr="00E554DE" w:rsidRDefault="00F972B6" w:rsidP="00906541">
      <w:r w:rsidRPr="00E554DE">
        <w:t>Merci, Monsieur le Président.</w:t>
      </w:r>
    </w:p>
    <w:p w14:paraId="72A8E727" w14:textId="7D02293A" w:rsidR="00F972B6" w:rsidRPr="00E554DE" w:rsidRDefault="00F972B6" w:rsidP="00906541">
      <w:pPr>
        <w:jc w:val="center"/>
      </w:pPr>
      <w:r w:rsidRPr="00E554DE">
        <w:t>______________</w:t>
      </w:r>
    </w:p>
    <w:sectPr w:rsidR="00F972B6" w:rsidRPr="00E554DE">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D222" w14:textId="77777777" w:rsidR="00D848A9" w:rsidRDefault="00D848A9">
      <w:r>
        <w:separator/>
      </w:r>
    </w:p>
  </w:endnote>
  <w:endnote w:type="continuationSeparator" w:id="0">
    <w:p w14:paraId="0D228057" w14:textId="77777777" w:rsidR="00D848A9" w:rsidRDefault="00D8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AC0E" w14:textId="221B0EA2" w:rsidR="00D848A9" w:rsidRDefault="00D848A9">
    <w:pPr>
      <w:rPr>
        <w:lang w:val="en-US"/>
      </w:rPr>
    </w:pPr>
    <w:r>
      <w:fldChar w:fldCharType="begin"/>
    </w:r>
    <w:r>
      <w:rPr>
        <w:lang w:val="en-US"/>
      </w:rPr>
      <w:instrText xml:space="preserve"> FILENAME \p  \* MERGEFORMAT </w:instrText>
    </w:r>
    <w:r>
      <w:fldChar w:fldCharType="separate"/>
    </w:r>
    <w:r>
      <w:rPr>
        <w:noProof/>
        <w:lang w:val="en-US"/>
      </w:rPr>
      <w:t>Document1</w:t>
    </w:r>
    <w:r>
      <w:fldChar w:fldCharType="end"/>
    </w:r>
    <w:r>
      <w:rPr>
        <w:lang w:val="en-US"/>
      </w:rPr>
      <w:tab/>
    </w:r>
    <w:r>
      <w:fldChar w:fldCharType="begin"/>
    </w:r>
    <w:r>
      <w:instrText xml:space="preserve"> SAVEDATE \@ DD.MM.YY </w:instrText>
    </w:r>
    <w:r>
      <w:fldChar w:fldCharType="separate"/>
    </w:r>
    <w:r w:rsidR="000F5506">
      <w:rPr>
        <w:noProof/>
      </w:rPr>
      <w:t>06.02.24</w:t>
    </w:r>
    <w:r>
      <w:fldChar w:fldCharType="end"/>
    </w:r>
    <w:r>
      <w:rPr>
        <w:lang w:val="en-US"/>
      </w:rPr>
      <w:tab/>
    </w:r>
    <w:r>
      <w:fldChar w:fldCharType="begin"/>
    </w:r>
    <w:r>
      <w:instrText xml:space="preserve"> PRINTDATE \@ DD.MM.YY </w:instrText>
    </w:r>
    <w:r>
      <w:fldChar w:fldCharType="separate"/>
    </w:r>
    <w:r>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7018" w14:textId="32A11BCF" w:rsidR="00D848A9" w:rsidRPr="00205AAC" w:rsidRDefault="00D848A9" w:rsidP="003E5E3D">
    <w:pPr>
      <w:pStyle w:val="Footer"/>
      <w:rPr>
        <w:lang w:val="es-ES_tradnl"/>
      </w:rPr>
    </w:pPr>
    <w:r>
      <w:fldChar w:fldCharType="begin"/>
    </w:r>
    <w:r w:rsidRPr="00205AAC">
      <w:rPr>
        <w:lang w:val="es-ES_tradnl"/>
      </w:rPr>
      <w:instrText xml:space="preserve"> FILENAME \p  \* MERGEFORMAT </w:instrText>
    </w:r>
    <w:r>
      <w:fldChar w:fldCharType="separate"/>
    </w:r>
    <w:r w:rsidR="001B7DC5">
      <w:rPr>
        <w:lang w:val="es-ES_tradnl"/>
      </w:rPr>
      <w:t>P:\FRA\ITU-R\CONF-R\CMR23\500\528V2F.docx</w:t>
    </w:r>
    <w:r>
      <w:fldChar w:fldCharType="end"/>
    </w:r>
    <w:r w:rsidRPr="00205AAC">
      <w:rPr>
        <w:lang w:val="es-ES_tradnl"/>
      </w:rPr>
      <w:t xml:space="preserve"> (533</w:t>
    </w:r>
    <w:r w:rsidR="00E12878">
      <w:rPr>
        <w:lang w:val="es-ES_tradnl"/>
      </w:rPr>
      <w:t>283</w:t>
    </w:r>
    <w:r w:rsidRPr="00205AAC">
      <w:rPr>
        <w:lang w:val="es-ES_tradn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999E" w14:textId="4B284AAA" w:rsidR="00D848A9" w:rsidRPr="00205AAC" w:rsidRDefault="00D848A9" w:rsidP="003E5E3D">
    <w:pPr>
      <w:pStyle w:val="Footer"/>
      <w:rPr>
        <w:lang w:val="es-ES_tradnl"/>
      </w:rPr>
    </w:pPr>
    <w:r>
      <w:fldChar w:fldCharType="begin"/>
    </w:r>
    <w:r w:rsidRPr="00205AAC">
      <w:rPr>
        <w:lang w:val="es-ES_tradnl"/>
      </w:rPr>
      <w:instrText xml:space="preserve"> FILENAME \p  \* MERGEFORMAT </w:instrText>
    </w:r>
    <w:r>
      <w:fldChar w:fldCharType="separate"/>
    </w:r>
    <w:r w:rsidR="001B7DC5">
      <w:rPr>
        <w:lang w:val="es-ES_tradnl"/>
      </w:rPr>
      <w:t>P:\FRA\ITU-R\CONF-R\CMR23\500\528V2F.docx</w:t>
    </w:r>
    <w:r>
      <w:fldChar w:fldCharType="end"/>
    </w:r>
    <w:r w:rsidRPr="00205AAC">
      <w:rPr>
        <w:lang w:val="es-ES_tradnl"/>
      </w:rPr>
      <w:t xml:space="preserve"> (533</w:t>
    </w:r>
    <w:r w:rsidR="00E12878">
      <w:rPr>
        <w:lang w:val="es-ES_tradnl"/>
      </w:rPr>
      <w:t>283</w:t>
    </w:r>
    <w:r w:rsidRPr="00205AAC">
      <w:rPr>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5085" w14:textId="77777777" w:rsidR="00D848A9" w:rsidRDefault="00D848A9">
      <w:r>
        <w:rPr>
          <w:b/>
        </w:rPr>
        <w:t>_______________</w:t>
      </w:r>
    </w:p>
  </w:footnote>
  <w:footnote w:type="continuationSeparator" w:id="0">
    <w:p w14:paraId="0C2EB511" w14:textId="77777777" w:rsidR="00D848A9" w:rsidRDefault="00D8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5F87" w14:textId="304B3A2E" w:rsidR="00D848A9" w:rsidRDefault="00D848A9" w:rsidP="004F1F8E">
    <w:pPr>
      <w:pStyle w:val="Header"/>
    </w:pPr>
    <w:r>
      <w:fldChar w:fldCharType="begin"/>
    </w:r>
    <w:r>
      <w:instrText xml:space="preserve"> PAGE </w:instrText>
    </w:r>
    <w:r>
      <w:fldChar w:fldCharType="separate"/>
    </w:r>
    <w:r w:rsidR="00DF515B">
      <w:rPr>
        <w:noProof/>
      </w:rPr>
      <w:t>38</w:t>
    </w:r>
    <w:r>
      <w:fldChar w:fldCharType="end"/>
    </w:r>
  </w:p>
  <w:p w14:paraId="64A07EB4" w14:textId="5D2951A4" w:rsidR="00D848A9" w:rsidRDefault="00D848A9" w:rsidP="00587A4E">
    <w:pPr>
      <w:pStyle w:val="Header"/>
    </w:pPr>
    <w:r>
      <w:t>WRC23/528</w:t>
    </w:r>
    <w:r w:rsidR="001B7DC5">
      <w:t>V2</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584C0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39284A0"/>
    <w:lvl w:ilvl="0">
      <w:numFmt w:val="decimal"/>
      <w:lvlText w:val="*"/>
      <w:lvlJc w:val="left"/>
    </w:lvl>
  </w:abstractNum>
  <w:num w:numId="1" w16cid:durableId="875311156">
    <w:abstractNumId w:val="0"/>
  </w:num>
  <w:num w:numId="2" w16cid:durableId="938172878">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3767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824"/>
    <w:rsid w:val="000054A9"/>
    <w:rsid w:val="00016648"/>
    <w:rsid w:val="0003522F"/>
    <w:rsid w:val="00043AC1"/>
    <w:rsid w:val="000472EE"/>
    <w:rsid w:val="00080E2C"/>
    <w:rsid w:val="00083809"/>
    <w:rsid w:val="00087E23"/>
    <w:rsid w:val="00091DA3"/>
    <w:rsid w:val="000A4755"/>
    <w:rsid w:val="000B0D44"/>
    <w:rsid w:val="000B2E0C"/>
    <w:rsid w:val="000B3D0C"/>
    <w:rsid w:val="000D1BA1"/>
    <w:rsid w:val="000D3A2C"/>
    <w:rsid w:val="000E322E"/>
    <w:rsid w:val="000F5506"/>
    <w:rsid w:val="001167B9"/>
    <w:rsid w:val="001267A0"/>
    <w:rsid w:val="00134655"/>
    <w:rsid w:val="001362FF"/>
    <w:rsid w:val="0013746A"/>
    <w:rsid w:val="0014776D"/>
    <w:rsid w:val="001567B5"/>
    <w:rsid w:val="00160C64"/>
    <w:rsid w:val="00162534"/>
    <w:rsid w:val="00172284"/>
    <w:rsid w:val="0019352B"/>
    <w:rsid w:val="001954AB"/>
    <w:rsid w:val="001960D0"/>
    <w:rsid w:val="001A0499"/>
    <w:rsid w:val="001A6B22"/>
    <w:rsid w:val="001B1045"/>
    <w:rsid w:val="001B7DC5"/>
    <w:rsid w:val="001C1525"/>
    <w:rsid w:val="001E557E"/>
    <w:rsid w:val="00205AAC"/>
    <w:rsid w:val="00215392"/>
    <w:rsid w:val="00220393"/>
    <w:rsid w:val="0022112F"/>
    <w:rsid w:val="00224B14"/>
    <w:rsid w:val="002274FC"/>
    <w:rsid w:val="002302B7"/>
    <w:rsid w:val="00232FD2"/>
    <w:rsid w:val="002434E3"/>
    <w:rsid w:val="002475DD"/>
    <w:rsid w:val="00251EDC"/>
    <w:rsid w:val="0025728F"/>
    <w:rsid w:val="0025793E"/>
    <w:rsid w:val="002930B6"/>
    <w:rsid w:val="002A4622"/>
    <w:rsid w:val="002A60FF"/>
    <w:rsid w:val="002B17E5"/>
    <w:rsid w:val="002B378B"/>
    <w:rsid w:val="002B665A"/>
    <w:rsid w:val="002C0EBF"/>
    <w:rsid w:val="002C5DF6"/>
    <w:rsid w:val="002C5FCD"/>
    <w:rsid w:val="002D508A"/>
    <w:rsid w:val="002E3187"/>
    <w:rsid w:val="002F532D"/>
    <w:rsid w:val="00315AFE"/>
    <w:rsid w:val="003606A6"/>
    <w:rsid w:val="0036650C"/>
    <w:rsid w:val="00397D08"/>
    <w:rsid w:val="003A583E"/>
    <w:rsid w:val="003B11DA"/>
    <w:rsid w:val="003B77D8"/>
    <w:rsid w:val="003C40AC"/>
    <w:rsid w:val="003C57AE"/>
    <w:rsid w:val="003D4076"/>
    <w:rsid w:val="003E112B"/>
    <w:rsid w:val="003E5E3D"/>
    <w:rsid w:val="00401B4B"/>
    <w:rsid w:val="00413DD9"/>
    <w:rsid w:val="00416F68"/>
    <w:rsid w:val="004358FD"/>
    <w:rsid w:val="00457428"/>
    <w:rsid w:val="00460FD2"/>
    <w:rsid w:val="00463AE9"/>
    <w:rsid w:val="00466211"/>
    <w:rsid w:val="00474C29"/>
    <w:rsid w:val="004A6946"/>
    <w:rsid w:val="004D01FC"/>
    <w:rsid w:val="004E28C3"/>
    <w:rsid w:val="004E2B8C"/>
    <w:rsid w:val="004E50A4"/>
    <w:rsid w:val="004F1F8E"/>
    <w:rsid w:val="005156FE"/>
    <w:rsid w:val="00523E09"/>
    <w:rsid w:val="00533A46"/>
    <w:rsid w:val="00540BFC"/>
    <w:rsid w:val="00584FF8"/>
    <w:rsid w:val="00586CF2"/>
    <w:rsid w:val="00587A4E"/>
    <w:rsid w:val="005A4E04"/>
    <w:rsid w:val="005B0151"/>
    <w:rsid w:val="005C3070"/>
    <w:rsid w:val="005C3768"/>
    <w:rsid w:val="005C6C3F"/>
    <w:rsid w:val="005E6FBB"/>
    <w:rsid w:val="005F6760"/>
    <w:rsid w:val="00602B41"/>
    <w:rsid w:val="00613635"/>
    <w:rsid w:val="0062093D"/>
    <w:rsid w:val="00623429"/>
    <w:rsid w:val="00637ECF"/>
    <w:rsid w:val="006432D1"/>
    <w:rsid w:val="00647B59"/>
    <w:rsid w:val="00651CD8"/>
    <w:rsid w:val="00654E39"/>
    <w:rsid w:val="00680F57"/>
    <w:rsid w:val="00693772"/>
    <w:rsid w:val="006C582C"/>
    <w:rsid w:val="006D5D23"/>
    <w:rsid w:val="006E6A32"/>
    <w:rsid w:val="006E786C"/>
    <w:rsid w:val="006E7F41"/>
    <w:rsid w:val="006F7F9D"/>
    <w:rsid w:val="00701BAE"/>
    <w:rsid w:val="00712ECC"/>
    <w:rsid w:val="00730E95"/>
    <w:rsid w:val="00737693"/>
    <w:rsid w:val="007549FB"/>
    <w:rsid w:val="00774362"/>
    <w:rsid w:val="00784F49"/>
    <w:rsid w:val="00785CCD"/>
    <w:rsid w:val="00792AFD"/>
    <w:rsid w:val="007A04E8"/>
    <w:rsid w:val="007A1683"/>
    <w:rsid w:val="007A584A"/>
    <w:rsid w:val="007B3607"/>
    <w:rsid w:val="008112DB"/>
    <w:rsid w:val="0084553F"/>
    <w:rsid w:val="00850371"/>
    <w:rsid w:val="00850EE6"/>
    <w:rsid w:val="00857E2B"/>
    <w:rsid w:val="00875528"/>
    <w:rsid w:val="00892BE0"/>
    <w:rsid w:val="00892F6F"/>
    <w:rsid w:val="00897701"/>
    <w:rsid w:val="008A16EE"/>
    <w:rsid w:val="008A3120"/>
    <w:rsid w:val="008B3118"/>
    <w:rsid w:val="008C000E"/>
    <w:rsid w:val="008C40DC"/>
    <w:rsid w:val="008C7DA0"/>
    <w:rsid w:val="008D41BE"/>
    <w:rsid w:val="008D58D3"/>
    <w:rsid w:val="008D6821"/>
    <w:rsid w:val="008D7594"/>
    <w:rsid w:val="008E030E"/>
    <w:rsid w:val="00906541"/>
    <w:rsid w:val="00910810"/>
    <w:rsid w:val="00911BEB"/>
    <w:rsid w:val="00914EF0"/>
    <w:rsid w:val="00920E32"/>
    <w:rsid w:val="00923064"/>
    <w:rsid w:val="0092796E"/>
    <w:rsid w:val="00936D25"/>
    <w:rsid w:val="00941EA5"/>
    <w:rsid w:val="00951785"/>
    <w:rsid w:val="00953A1F"/>
    <w:rsid w:val="00966C16"/>
    <w:rsid w:val="0097401B"/>
    <w:rsid w:val="009746DD"/>
    <w:rsid w:val="00974A28"/>
    <w:rsid w:val="009765A8"/>
    <w:rsid w:val="00981058"/>
    <w:rsid w:val="00983B30"/>
    <w:rsid w:val="0098732F"/>
    <w:rsid w:val="009C7E7C"/>
    <w:rsid w:val="009D232F"/>
    <w:rsid w:val="009E2F60"/>
    <w:rsid w:val="009E3982"/>
    <w:rsid w:val="009E4EE8"/>
    <w:rsid w:val="00A00473"/>
    <w:rsid w:val="00A03C9B"/>
    <w:rsid w:val="00A04224"/>
    <w:rsid w:val="00A05BD9"/>
    <w:rsid w:val="00A075BA"/>
    <w:rsid w:val="00A1341E"/>
    <w:rsid w:val="00A13ED0"/>
    <w:rsid w:val="00A45FA0"/>
    <w:rsid w:val="00A606C3"/>
    <w:rsid w:val="00A7631A"/>
    <w:rsid w:val="00A81510"/>
    <w:rsid w:val="00A83541"/>
    <w:rsid w:val="00A83B09"/>
    <w:rsid w:val="00A84541"/>
    <w:rsid w:val="00A96EFC"/>
    <w:rsid w:val="00A97AB5"/>
    <w:rsid w:val="00AB0F1B"/>
    <w:rsid w:val="00AC6F9C"/>
    <w:rsid w:val="00AD7824"/>
    <w:rsid w:val="00AE36A0"/>
    <w:rsid w:val="00AF1F71"/>
    <w:rsid w:val="00B00294"/>
    <w:rsid w:val="00B00C42"/>
    <w:rsid w:val="00B1582B"/>
    <w:rsid w:val="00B23EDF"/>
    <w:rsid w:val="00B479CD"/>
    <w:rsid w:val="00B50E53"/>
    <w:rsid w:val="00B64FD0"/>
    <w:rsid w:val="00B856DA"/>
    <w:rsid w:val="00BC5CDD"/>
    <w:rsid w:val="00BD3ACC"/>
    <w:rsid w:val="00BE7A57"/>
    <w:rsid w:val="00BF26E7"/>
    <w:rsid w:val="00BF4DBD"/>
    <w:rsid w:val="00C01C69"/>
    <w:rsid w:val="00C20693"/>
    <w:rsid w:val="00C366CC"/>
    <w:rsid w:val="00C722C4"/>
    <w:rsid w:val="00C814B9"/>
    <w:rsid w:val="00CA2B5A"/>
    <w:rsid w:val="00CD108F"/>
    <w:rsid w:val="00CD3928"/>
    <w:rsid w:val="00CD516F"/>
    <w:rsid w:val="00CD6EB8"/>
    <w:rsid w:val="00CE2C8D"/>
    <w:rsid w:val="00CE6A1C"/>
    <w:rsid w:val="00CE7328"/>
    <w:rsid w:val="00CE7CD7"/>
    <w:rsid w:val="00D105A4"/>
    <w:rsid w:val="00D119A7"/>
    <w:rsid w:val="00D12E51"/>
    <w:rsid w:val="00D25FBA"/>
    <w:rsid w:val="00D66EAC"/>
    <w:rsid w:val="00D730DF"/>
    <w:rsid w:val="00D772F0"/>
    <w:rsid w:val="00D77BDC"/>
    <w:rsid w:val="00D8241C"/>
    <w:rsid w:val="00D848A9"/>
    <w:rsid w:val="00D91A6F"/>
    <w:rsid w:val="00DC402B"/>
    <w:rsid w:val="00DD66BB"/>
    <w:rsid w:val="00DE0932"/>
    <w:rsid w:val="00DF515B"/>
    <w:rsid w:val="00E049F1"/>
    <w:rsid w:val="00E12878"/>
    <w:rsid w:val="00E37A25"/>
    <w:rsid w:val="00E554DE"/>
    <w:rsid w:val="00E57040"/>
    <w:rsid w:val="00E67406"/>
    <w:rsid w:val="00E70A31"/>
    <w:rsid w:val="00E977A2"/>
    <w:rsid w:val="00EA3F38"/>
    <w:rsid w:val="00EA5AB6"/>
    <w:rsid w:val="00EC0760"/>
    <w:rsid w:val="00EC5FF5"/>
    <w:rsid w:val="00EC7615"/>
    <w:rsid w:val="00ED16AA"/>
    <w:rsid w:val="00EF2567"/>
    <w:rsid w:val="00EF662E"/>
    <w:rsid w:val="00F01158"/>
    <w:rsid w:val="00F148F1"/>
    <w:rsid w:val="00F372DE"/>
    <w:rsid w:val="00F8787B"/>
    <w:rsid w:val="00F9722E"/>
    <w:rsid w:val="00F972B6"/>
    <w:rsid w:val="00FA3BBF"/>
    <w:rsid w:val="00FA3BCE"/>
    <w:rsid w:val="00FB2CFF"/>
    <w:rsid w:val="00FC0101"/>
    <w:rsid w:val="00FC1349"/>
    <w:rsid w:val="00FC41F8"/>
    <w:rsid w:val="00FC4ADC"/>
    <w:rsid w:val="00FD5E61"/>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701B1"/>
  <w15:docId w15:val="{63C732F4-A081-4C2F-9F5C-ABB1800A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rsid w:val="00FC4ADC"/>
    <w:rPr>
      <w:vertAlign w:val="superscript"/>
    </w:rPr>
  </w:style>
  <w:style w:type="paragraph" w:customStyle="1" w:styleId="enumlev1">
    <w:name w:val="enumlev1"/>
    <w:basedOn w:val="Normal"/>
    <w:link w:val="enumlev1Char"/>
    <w:qFormat/>
    <w:rsid w:val="00FC4ADC"/>
    <w:pPr>
      <w:tabs>
        <w:tab w:val="clear" w:pos="2268"/>
        <w:tab w:val="left" w:pos="2608"/>
        <w:tab w:val="left" w:pos="3345"/>
      </w:tabs>
      <w:spacing w:before="80"/>
      <w:ind w:left="1134" w:hanging="1134"/>
    </w:pPr>
  </w:style>
  <w:style w:type="paragraph" w:customStyle="1" w:styleId="enumlev2">
    <w:name w:val="enumlev2"/>
    <w:basedOn w:val="enumlev1"/>
    <w:link w:val="enumlev2Char"/>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link w:val="FooterChar"/>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rsid w:val="00FC4ADC"/>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qFormat/>
    <w:rsid w:val="00FC4ADC"/>
    <w:pPr>
      <w:keepNext/>
      <w:spacing w:before="160"/>
    </w:pPr>
    <w:rPr>
      <w:b/>
    </w:rPr>
  </w:style>
  <w:style w:type="paragraph" w:customStyle="1" w:styleId="Headingi">
    <w:name w:val="Heading_i"/>
    <w:basedOn w:val="Normal"/>
    <w:next w:val="Normal"/>
    <w:qFormat/>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uiPriority w:val="99"/>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styleId="Hyperlink">
    <w:name w:val="Hyperlink"/>
    <w:basedOn w:val="DefaultParagraphFont"/>
    <w:uiPriority w:val="99"/>
    <w:unhideWhenUsed/>
    <w:rsid w:val="000E322E"/>
    <w:rPr>
      <w:color w:val="0000FF" w:themeColor="hyperlink"/>
      <w:u w:val="single"/>
    </w:rPr>
  </w:style>
  <w:style w:type="character" w:customStyle="1" w:styleId="enumlev2Char">
    <w:name w:val="enumlev2 Char"/>
    <w:basedOn w:val="DefaultParagraphFont"/>
    <w:link w:val="enumlev2"/>
    <w:locked/>
    <w:rsid w:val="000E322E"/>
    <w:rPr>
      <w:rFonts w:ascii="Times New Roman" w:hAnsi="Times New Roman"/>
      <w:sz w:val="24"/>
      <w:lang w:val="fr-FR" w:eastAsia="en-US"/>
    </w:rPr>
  </w:style>
  <w:style w:type="paragraph" w:styleId="HTMLPreformatted">
    <w:name w:val="HTML Preformatted"/>
    <w:basedOn w:val="Normal"/>
    <w:link w:val="HTMLPreformattedChar"/>
    <w:uiPriority w:val="99"/>
    <w:unhideWhenUsed/>
    <w:rsid w:val="00651CD8"/>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rsid w:val="00651CD8"/>
    <w:rPr>
      <w:rFonts w:ascii="Courier New" w:eastAsia="Times New Roman" w:hAnsi="Courier New" w:cs="Courier New"/>
      <w:lang w:val="en-GB" w:eastAsia="en-GB"/>
    </w:rPr>
  </w:style>
  <w:style w:type="character" w:customStyle="1" w:styleId="y2iqfc">
    <w:name w:val="y2iqfc"/>
    <w:basedOn w:val="DefaultParagraphFont"/>
    <w:rsid w:val="00651CD8"/>
  </w:style>
  <w:style w:type="character" w:styleId="CommentReference">
    <w:name w:val="annotation reference"/>
    <w:basedOn w:val="DefaultParagraphFont"/>
    <w:uiPriority w:val="99"/>
    <w:semiHidden/>
    <w:unhideWhenUsed/>
    <w:rsid w:val="000D1BA1"/>
    <w:rPr>
      <w:sz w:val="16"/>
      <w:szCs w:val="16"/>
    </w:rPr>
  </w:style>
  <w:style w:type="paragraph" w:styleId="CommentText">
    <w:name w:val="annotation text"/>
    <w:basedOn w:val="Normal"/>
    <w:link w:val="CommentTextChar"/>
    <w:uiPriority w:val="99"/>
    <w:unhideWhenUsed/>
    <w:rsid w:val="000D1BA1"/>
    <w:rPr>
      <w:sz w:val="20"/>
    </w:rPr>
  </w:style>
  <w:style w:type="character" w:customStyle="1" w:styleId="CommentTextChar">
    <w:name w:val="Comment Text Char"/>
    <w:basedOn w:val="DefaultParagraphFont"/>
    <w:link w:val="CommentText"/>
    <w:uiPriority w:val="99"/>
    <w:rsid w:val="000D1BA1"/>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0D1BA1"/>
    <w:rPr>
      <w:b/>
      <w:bCs/>
    </w:rPr>
  </w:style>
  <w:style w:type="character" w:customStyle="1" w:styleId="CommentSubjectChar">
    <w:name w:val="Comment Subject Char"/>
    <w:basedOn w:val="CommentTextChar"/>
    <w:link w:val="CommentSubject"/>
    <w:semiHidden/>
    <w:rsid w:val="000D1BA1"/>
    <w:rPr>
      <w:rFonts w:ascii="Times New Roman" w:hAnsi="Times New Roman"/>
      <w:b/>
      <w:bCs/>
      <w:lang w:val="fr-FR" w:eastAsia="en-US"/>
    </w:rPr>
  </w:style>
  <w:style w:type="character" w:customStyle="1" w:styleId="UnresolvedMention1">
    <w:name w:val="Unresolved Mention1"/>
    <w:basedOn w:val="DefaultParagraphFont"/>
    <w:uiPriority w:val="99"/>
    <w:semiHidden/>
    <w:unhideWhenUsed/>
    <w:rsid w:val="000D1BA1"/>
    <w:rPr>
      <w:color w:val="605E5C"/>
      <w:shd w:val="clear" w:color="auto" w:fill="E1DFDD"/>
    </w:rPr>
  </w:style>
  <w:style w:type="paragraph" w:styleId="Revision">
    <w:name w:val="Revision"/>
    <w:hidden/>
    <w:uiPriority w:val="99"/>
    <w:semiHidden/>
    <w:rsid w:val="006E786C"/>
    <w:rPr>
      <w:rFonts w:ascii="Times New Roman" w:hAnsi="Times New Roman"/>
      <w:sz w:val="24"/>
      <w:lang w:val="fr-FR" w:eastAsia="en-US"/>
    </w:rPr>
  </w:style>
  <w:style w:type="paragraph" w:styleId="ListBullet">
    <w:name w:val="List Bullet"/>
    <w:basedOn w:val="Normal"/>
    <w:unhideWhenUsed/>
    <w:rsid w:val="00FD5E61"/>
    <w:pPr>
      <w:numPr>
        <w:numId w:val="3"/>
      </w:numPr>
      <w:contextualSpacing/>
    </w:pPr>
  </w:style>
  <w:style w:type="character" w:customStyle="1" w:styleId="FooterChar">
    <w:name w:val="Footer Char"/>
    <w:basedOn w:val="DefaultParagraphFont"/>
    <w:link w:val="Footer"/>
    <w:rsid w:val="00EC0760"/>
    <w:rPr>
      <w:rFonts w:ascii="Times New Roman" w:hAnsi="Times New Roman"/>
      <w:caps/>
      <w:noProof/>
      <w:sz w:val="16"/>
      <w:lang w:val="fr-FR" w:eastAsia="en-US"/>
    </w:r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EC0760"/>
    <w:rPr>
      <w:rFonts w:ascii="Times New Roman" w:hAnsi="Times New Roman"/>
      <w:sz w:val="24"/>
      <w:lang w:val="fr-FR" w:eastAsia="en-US"/>
    </w:rPr>
  </w:style>
  <w:style w:type="paragraph" w:customStyle="1" w:styleId="Tableref">
    <w:name w:val="Table_ref"/>
    <w:basedOn w:val="Normal"/>
    <w:next w:val="Normal"/>
    <w:rsid w:val="00EC0760"/>
    <w:pPr>
      <w:keepNext/>
      <w:spacing w:before="560"/>
      <w:jc w:val="center"/>
    </w:pPr>
    <w:rPr>
      <w:rFonts w:eastAsia="Times New Roman"/>
      <w:sz w:val="20"/>
      <w:lang w:val="en-GB"/>
    </w:rPr>
  </w:style>
  <w:style w:type="paragraph" w:customStyle="1" w:styleId="Partref">
    <w:name w:val="Part_ref"/>
    <w:basedOn w:val="Annexref"/>
    <w:next w:val="Normal"/>
    <w:rsid w:val="00EC0760"/>
    <w:rPr>
      <w:rFonts w:eastAsia="Times New Roman"/>
      <w:lang w:val="en-GB"/>
    </w:rPr>
  </w:style>
  <w:style w:type="paragraph" w:styleId="BalloonText">
    <w:name w:val="Balloon Text"/>
    <w:basedOn w:val="Normal"/>
    <w:link w:val="BalloonTextChar"/>
    <w:semiHidden/>
    <w:unhideWhenUsed/>
    <w:rsid w:val="00EC0760"/>
    <w:pPr>
      <w:spacing w:before="0"/>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semiHidden/>
    <w:rsid w:val="00EC0760"/>
    <w:rPr>
      <w:rFonts w:ascii="Segoe UI" w:eastAsia="Times New Roman" w:hAnsi="Segoe UI" w:cs="Segoe UI"/>
      <w:sz w:val="18"/>
      <w:szCs w:val="18"/>
      <w:lang w:val="en-GB" w:eastAsia="en-US"/>
    </w:rPr>
  </w:style>
  <w:style w:type="paragraph" w:customStyle="1" w:styleId="EditorsNote">
    <w:name w:val="EditorsNote"/>
    <w:basedOn w:val="Normal"/>
    <w:qFormat/>
    <w:rsid w:val="00EC0760"/>
    <w:pPr>
      <w:spacing w:before="240" w:after="240"/>
    </w:pPr>
    <w:rPr>
      <w:rFonts w:eastAsia="Times New Roman"/>
      <w:i/>
      <w:lang w:val="en-GB"/>
    </w:rPr>
  </w:style>
  <w:style w:type="paragraph" w:customStyle="1" w:styleId="Tablefin">
    <w:name w:val="Table_fin"/>
    <w:basedOn w:val="Tabletext"/>
    <w:qFormat/>
    <w:rsid w:val="00EC0760"/>
    <w:pPr>
      <w:spacing w:before="0" w:after="0"/>
    </w:pPr>
    <w:rPr>
      <w:rFonts w:eastAsia="Times New Roman"/>
      <w:lang w:val="en-GB"/>
    </w:rPr>
  </w:style>
  <w:style w:type="character" w:customStyle="1" w:styleId="enumlev1Char">
    <w:name w:val="enumlev1 Char"/>
    <w:basedOn w:val="DefaultParagraphFont"/>
    <w:link w:val="enumlev1"/>
    <w:rsid w:val="00EC0760"/>
    <w:rPr>
      <w:rFonts w:ascii="Times New Roman" w:hAnsi="Times New Roman"/>
      <w:sz w:val="24"/>
      <w:lang w:val="fr-FR" w:eastAsia="en-US"/>
    </w:rPr>
  </w:style>
  <w:style w:type="character" w:customStyle="1" w:styleId="UnresolvedMention10">
    <w:name w:val="Unresolved Mention1"/>
    <w:basedOn w:val="DefaultParagraphFont"/>
    <w:uiPriority w:val="99"/>
    <w:semiHidden/>
    <w:unhideWhenUsed/>
    <w:rsid w:val="00EC0760"/>
    <w:rPr>
      <w:color w:val="605E5C"/>
      <w:shd w:val="clear" w:color="auto" w:fill="E1DFDD"/>
    </w:rPr>
  </w:style>
  <w:style w:type="character" w:styleId="FollowedHyperlink">
    <w:name w:val="FollowedHyperlink"/>
    <w:basedOn w:val="DefaultParagraphFont"/>
    <w:semiHidden/>
    <w:unhideWhenUsed/>
    <w:rsid w:val="00EC0760"/>
    <w:rPr>
      <w:color w:val="800080" w:themeColor="followedHyperlink"/>
      <w:u w:val="single"/>
    </w:rPr>
  </w:style>
  <w:style w:type="paragraph" w:customStyle="1" w:styleId="Normalaftertitle0">
    <w:name w:val="Normal_after_title"/>
    <w:basedOn w:val="Normal"/>
    <w:next w:val="Normal"/>
    <w:rsid w:val="00EC0760"/>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EC0760"/>
    <w:pPr>
      <w:keepNext/>
      <w:keepLines/>
      <w:tabs>
        <w:tab w:val="clear" w:pos="1871"/>
        <w:tab w:val="left" w:pos="567"/>
        <w:tab w:val="left" w:pos="1701"/>
        <w:tab w:val="left" w:pos="2835"/>
      </w:tabs>
      <w:spacing w:before="160"/>
      <w:ind w:left="794" w:hanging="357"/>
    </w:pPr>
    <w:rPr>
      <w:rFonts w:ascii="Calibri" w:eastAsia="Times New Roman" w:hAnsi="Calibri"/>
      <w:i/>
      <w:lang w:val="en-GB"/>
    </w:rPr>
  </w:style>
  <w:style w:type="character" w:customStyle="1" w:styleId="Heading1Char">
    <w:name w:val="Heading 1 Char"/>
    <w:basedOn w:val="DefaultParagraphFont"/>
    <w:link w:val="Heading1"/>
    <w:rsid w:val="00EC0760"/>
    <w:rPr>
      <w:rFonts w:ascii="Times New Roman" w:hAnsi="Times New Roman"/>
      <w:b/>
      <w:sz w:val="28"/>
      <w:lang w:val="fr-FR" w:eastAsia="en-US"/>
    </w:rPr>
  </w:style>
  <w:style w:type="paragraph" w:customStyle="1" w:styleId="Colloquy1">
    <w:name w:val="Colloquy 1"/>
    <w:basedOn w:val="Normal"/>
    <w:next w:val="Normal"/>
    <w:uiPriority w:val="99"/>
    <w:rsid w:val="00EC0760"/>
    <w:pPr>
      <w:widowControl w:val="0"/>
      <w:tabs>
        <w:tab w:val="clear" w:pos="1134"/>
        <w:tab w:val="clear" w:pos="1871"/>
        <w:tab w:val="clear" w:pos="2268"/>
        <w:tab w:val="left" w:pos="2160"/>
        <w:tab w:val="left" w:pos="2880"/>
        <w:tab w:val="left" w:pos="3600"/>
        <w:tab w:val="left" w:pos="4320"/>
        <w:tab w:val="left" w:pos="5040"/>
        <w:tab w:val="left" w:pos="5760"/>
        <w:tab w:val="left" w:pos="6480"/>
        <w:tab w:val="left" w:pos="7200"/>
        <w:tab w:val="left" w:pos="7920"/>
        <w:tab w:val="left" w:pos="8640"/>
      </w:tabs>
      <w:overflowPunct/>
      <w:spacing w:before="0"/>
      <w:ind w:firstLine="719"/>
      <w:textAlignment w:val="auto"/>
    </w:pPr>
    <w:rPr>
      <w:rFonts w:ascii="Courier New" w:hAnsi="Courier New" w:cs="Courier New"/>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1734">
      <w:bodyDiv w:val="1"/>
      <w:marLeft w:val="0"/>
      <w:marRight w:val="0"/>
      <w:marTop w:val="0"/>
      <w:marBottom w:val="0"/>
      <w:divBdr>
        <w:top w:val="none" w:sz="0" w:space="0" w:color="auto"/>
        <w:left w:val="none" w:sz="0" w:space="0" w:color="auto"/>
        <w:bottom w:val="none" w:sz="0" w:space="0" w:color="auto"/>
        <w:right w:val="none" w:sz="0" w:space="0" w:color="auto"/>
      </w:divBdr>
    </w:div>
    <w:div w:id="547179743">
      <w:bodyDiv w:val="1"/>
      <w:marLeft w:val="0"/>
      <w:marRight w:val="0"/>
      <w:marTop w:val="0"/>
      <w:marBottom w:val="0"/>
      <w:divBdr>
        <w:top w:val="none" w:sz="0" w:space="0" w:color="auto"/>
        <w:left w:val="none" w:sz="0" w:space="0" w:color="auto"/>
        <w:bottom w:val="none" w:sz="0" w:space="0" w:color="auto"/>
        <w:right w:val="none" w:sz="0" w:space="0" w:color="auto"/>
      </w:divBdr>
    </w:div>
    <w:div w:id="1149830527">
      <w:bodyDiv w:val="1"/>
      <w:marLeft w:val="0"/>
      <w:marRight w:val="0"/>
      <w:marTop w:val="0"/>
      <w:marBottom w:val="0"/>
      <w:divBdr>
        <w:top w:val="none" w:sz="0" w:space="0" w:color="auto"/>
        <w:left w:val="none" w:sz="0" w:space="0" w:color="auto"/>
        <w:bottom w:val="none" w:sz="0" w:space="0" w:color="auto"/>
        <w:right w:val="none" w:sz="0" w:space="0" w:color="auto"/>
      </w:divBdr>
    </w:div>
    <w:div w:id="1195189480">
      <w:bodyDiv w:val="1"/>
      <w:marLeft w:val="0"/>
      <w:marRight w:val="0"/>
      <w:marTop w:val="0"/>
      <w:marBottom w:val="0"/>
      <w:divBdr>
        <w:top w:val="none" w:sz="0" w:space="0" w:color="auto"/>
        <w:left w:val="none" w:sz="0" w:space="0" w:color="auto"/>
        <w:bottom w:val="none" w:sz="0" w:space="0" w:color="auto"/>
        <w:right w:val="none" w:sz="0" w:space="0" w:color="auto"/>
      </w:divBdr>
    </w:div>
    <w:div w:id="1233782939">
      <w:bodyDiv w:val="1"/>
      <w:marLeft w:val="0"/>
      <w:marRight w:val="0"/>
      <w:marTop w:val="0"/>
      <w:marBottom w:val="0"/>
      <w:divBdr>
        <w:top w:val="none" w:sz="0" w:space="0" w:color="auto"/>
        <w:left w:val="none" w:sz="0" w:space="0" w:color="auto"/>
        <w:bottom w:val="none" w:sz="0" w:space="0" w:color="auto"/>
        <w:right w:val="none" w:sz="0" w:space="0" w:color="auto"/>
      </w:divBdr>
    </w:div>
    <w:div w:id="1378240175">
      <w:bodyDiv w:val="1"/>
      <w:marLeft w:val="0"/>
      <w:marRight w:val="0"/>
      <w:marTop w:val="0"/>
      <w:marBottom w:val="0"/>
      <w:divBdr>
        <w:top w:val="none" w:sz="0" w:space="0" w:color="auto"/>
        <w:left w:val="none" w:sz="0" w:space="0" w:color="auto"/>
        <w:bottom w:val="none" w:sz="0" w:space="0" w:color="auto"/>
        <w:right w:val="none" w:sz="0" w:space="0" w:color="auto"/>
      </w:divBdr>
    </w:div>
    <w:div w:id="1470200451">
      <w:bodyDiv w:val="1"/>
      <w:marLeft w:val="0"/>
      <w:marRight w:val="0"/>
      <w:marTop w:val="0"/>
      <w:marBottom w:val="0"/>
      <w:divBdr>
        <w:top w:val="none" w:sz="0" w:space="0" w:color="auto"/>
        <w:left w:val="none" w:sz="0" w:space="0" w:color="auto"/>
        <w:bottom w:val="none" w:sz="0" w:space="0" w:color="auto"/>
        <w:right w:val="none" w:sz="0" w:space="0" w:color="auto"/>
      </w:divBdr>
    </w:div>
    <w:div w:id="1810631625">
      <w:bodyDiv w:val="1"/>
      <w:marLeft w:val="0"/>
      <w:marRight w:val="0"/>
      <w:marTop w:val="0"/>
      <w:marBottom w:val="0"/>
      <w:divBdr>
        <w:top w:val="none" w:sz="0" w:space="0" w:color="auto"/>
        <w:left w:val="none" w:sz="0" w:space="0" w:color="auto"/>
        <w:bottom w:val="none" w:sz="0" w:space="0" w:color="auto"/>
        <w:right w:val="none" w:sz="0" w:space="0" w:color="auto"/>
      </w:divBdr>
    </w:div>
    <w:div w:id="1876963961">
      <w:bodyDiv w:val="1"/>
      <w:marLeft w:val="0"/>
      <w:marRight w:val="0"/>
      <w:marTop w:val="0"/>
      <w:marBottom w:val="0"/>
      <w:divBdr>
        <w:top w:val="none" w:sz="0" w:space="0" w:color="auto"/>
        <w:left w:val="none" w:sz="0" w:space="0" w:color="auto"/>
        <w:bottom w:val="none" w:sz="0" w:space="0" w:color="auto"/>
        <w:right w:val="none" w:sz="0" w:space="0" w:color="auto"/>
      </w:divBdr>
    </w:div>
    <w:div w:id="1884907494">
      <w:bodyDiv w:val="1"/>
      <w:marLeft w:val="0"/>
      <w:marRight w:val="0"/>
      <w:marTop w:val="0"/>
      <w:marBottom w:val="0"/>
      <w:divBdr>
        <w:top w:val="none" w:sz="0" w:space="0" w:color="auto"/>
        <w:left w:val="none" w:sz="0" w:space="0" w:color="auto"/>
        <w:bottom w:val="none" w:sz="0" w:space="0" w:color="auto"/>
        <w:right w:val="none" w:sz="0" w:space="0" w:color="auto"/>
      </w:divBdr>
    </w:div>
    <w:div w:id="1987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R23-WRC23-C-0004/f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5</TotalTime>
  <Pages>41</Pages>
  <Words>20659</Words>
  <Characters>108782</Characters>
  <Application>Microsoft Office Word</Application>
  <DocSecurity>0</DocSecurity>
  <Lines>906</Lines>
  <Paragraphs>258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3</cp:revision>
  <cp:lastPrinted>2003-06-05T19:34:00Z</cp:lastPrinted>
  <dcterms:created xsi:type="dcterms:W3CDTF">2024-02-06T13:29:00Z</dcterms:created>
  <dcterms:modified xsi:type="dcterms:W3CDTF">2024-02-06T13:33:00Z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