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453"/>
        <w:gridCol w:w="1667"/>
      </w:tblGrid>
      <w:tr w:rsidR="00B23EDF" w:rsidRPr="008235C9" w14:paraId="7F71838D" w14:textId="77777777" w:rsidTr="00B23EDF">
        <w:trPr>
          <w:cantSplit/>
        </w:trPr>
        <w:tc>
          <w:tcPr>
            <w:tcW w:w="1418" w:type="dxa"/>
            <w:vAlign w:val="center"/>
          </w:tcPr>
          <w:p w14:paraId="7971193A" w14:textId="77777777" w:rsidR="00B23EDF" w:rsidRPr="008235C9" w:rsidRDefault="00B23EDF" w:rsidP="00C77ACD">
            <w:pPr>
              <w:spacing w:before="100" w:beforeAutospacing="1"/>
              <w:rPr>
                <w:rFonts w:ascii="Verdana" w:hAnsi="Verdana"/>
                <w:b/>
                <w:bCs/>
                <w:sz w:val="20"/>
              </w:rPr>
            </w:pPr>
            <w:r w:rsidRPr="008235C9">
              <w:drawing>
                <wp:inline distT="0" distB="0" distL="0" distR="0" wp14:anchorId="2A170E96" wp14:editId="5197540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946" w:type="dxa"/>
            <w:gridSpan w:val="2"/>
          </w:tcPr>
          <w:p w14:paraId="02E1B737" w14:textId="3737B3D2" w:rsidR="00B23EDF" w:rsidRPr="008235C9" w:rsidRDefault="00B23EDF" w:rsidP="00C77ACD">
            <w:pPr>
              <w:spacing w:before="400" w:after="48"/>
              <w:rPr>
                <w:rFonts w:ascii="Verdana" w:hAnsi="Verdana"/>
                <w:b/>
                <w:bCs/>
                <w:sz w:val="20"/>
              </w:rPr>
            </w:pPr>
            <w:r w:rsidRPr="008235C9">
              <w:rPr>
                <w:rFonts w:ascii="Verdana" w:hAnsi="Verdana"/>
                <w:b/>
                <w:bCs/>
                <w:sz w:val="20"/>
              </w:rPr>
              <w:t>Conférence mondiale des radiocommunications (CMR-23)</w:t>
            </w:r>
            <w:r w:rsidRPr="008235C9">
              <w:rPr>
                <w:rFonts w:ascii="Verdana" w:hAnsi="Verdana"/>
                <w:b/>
                <w:bCs/>
                <w:sz w:val="20"/>
              </w:rPr>
              <w:br/>
            </w:r>
            <w:r w:rsidRPr="008235C9">
              <w:rPr>
                <w:rFonts w:ascii="Verdana" w:hAnsi="Verdana"/>
                <w:b/>
                <w:bCs/>
                <w:sz w:val="18"/>
                <w:szCs w:val="18"/>
              </w:rPr>
              <w:t xml:space="preserve">Dubaï, 20 novembre </w:t>
            </w:r>
            <w:r w:rsidR="000F7C1B" w:rsidRPr="008235C9">
              <w:rPr>
                <w:rFonts w:ascii="Verdana" w:hAnsi="Verdana"/>
                <w:b/>
                <w:bCs/>
                <w:sz w:val="18"/>
                <w:szCs w:val="18"/>
              </w:rPr>
              <w:t>–</w:t>
            </w:r>
            <w:r w:rsidRPr="008235C9">
              <w:rPr>
                <w:rFonts w:ascii="Verdana" w:hAnsi="Verdana"/>
                <w:b/>
                <w:bCs/>
                <w:sz w:val="18"/>
                <w:szCs w:val="18"/>
              </w:rPr>
              <w:t xml:space="preserve"> 15 décembre 2023</w:t>
            </w:r>
          </w:p>
        </w:tc>
        <w:tc>
          <w:tcPr>
            <w:tcW w:w="1667" w:type="dxa"/>
            <w:vAlign w:val="center"/>
          </w:tcPr>
          <w:p w14:paraId="283E773F" w14:textId="77777777" w:rsidR="00B23EDF" w:rsidRPr="008235C9" w:rsidRDefault="00B23EDF" w:rsidP="00C77ACD">
            <w:pPr>
              <w:spacing w:before="0"/>
            </w:pPr>
            <w:bookmarkStart w:id="0" w:name="ditulogo"/>
            <w:bookmarkEnd w:id="0"/>
            <w:r w:rsidRPr="008235C9">
              <w:drawing>
                <wp:inline distT="0" distB="0" distL="0" distR="0" wp14:anchorId="357E7717" wp14:editId="4FAB8732">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587A4E" w:rsidRPr="008235C9" w14:paraId="52F80EC9" w14:textId="77777777" w:rsidTr="00773113">
        <w:trPr>
          <w:cantSplit/>
        </w:trPr>
        <w:tc>
          <w:tcPr>
            <w:tcW w:w="6911" w:type="dxa"/>
            <w:gridSpan w:val="2"/>
            <w:tcBorders>
              <w:bottom w:val="single" w:sz="12" w:space="0" w:color="auto"/>
            </w:tcBorders>
          </w:tcPr>
          <w:p w14:paraId="40D0BCFF" w14:textId="77777777" w:rsidR="00587A4E" w:rsidRPr="008235C9" w:rsidRDefault="00587A4E" w:rsidP="00C77ACD">
            <w:pPr>
              <w:spacing w:before="0" w:after="48"/>
              <w:rPr>
                <w:b/>
                <w:smallCaps/>
                <w:szCs w:val="24"/>
              </w:rPr>
            </w:pPr>
            <w:bookmarkStart w:id="1" w:name="dhead"/>
          </w:p>
        </w:tc>
        <w:tc>
          <w:tcPr>
            <w:tcW w:w="3120" w:type="dxa"/>
            <w:gridSpan w:val="2"/>
            <w:tcBorders>
              <w:bottom w:val="single" w:sz="12" w:space="0" w:color="auto"/>
            </w:tcBorders>
          </w:tcPr>
          <w:p w14:paraId="22EF5762" w14:textId="77777777" w:rsidR="00587A4E" w:rsidRPr="008235C9" w:rsidRDefault="00587A4E" w:rsidP="00C77ACD">
            <w:pPr>
              <w:spacing w:before="0"/>
              <w:rPr>
                <w:rFonts w:ascii="Verdana" w:hAnsi="Verdana"/>
                <w:szCs w:val="24"/>
              </w:rPr>
            </w:pPr>
          </w:p>
        </w:tc>
      </w:tr>
      <w:tr w:rsidR="00587A4E" w:rsidRPr="008235C9" w14:paraId="6D7AAF35" w14:textId="77777777" w:rsidTr="00773113">
        <w:trPr>
          <w:cantSplit/>
        </w:trPr>
        <w:tc>
          <w:tcPr>
            <w:tcW w:w="6911" w:type="dxa"/>
            <w:gridSpan w:val="2"/>
            <w:tcBorders>
              <w:top w:val="single" w:sz="12" w:space="0" w:color="auto"/>
            </w:tcBorders>
          </w:tcPr>
          <w:p w14:paraId="115C1A1A" w14:textId="77777777" w:rsidR="00587A4E" w:rsidRPr="008235C9" w:rsidRDefault="00587A4E" w:rsidP="00C77ACD">
            <w:pPr>
              <w:spacing w:before="0" w:after="48"/>
              <w:rPr>
                <w:rFonts w:ascii="Verdana" w:hAnsi="Verdana"/>
                <w:b/>
                <w:smallCaps/>
                <w:sz w:val="20"/>
              </w:rPr>
            </w:pPr>
          </w:p>
        </w:tc>
        <w:tc>
          <w:tcPr>
            <w:tcW w:w="3120" w:type="dxa"/>
            <w:gridSpan w:val="2"/>
            <w:tcBorders>
              <w:top w:val="single" w:sz="12" w:space="0" w:color="auto"/>
            </w:tcBorders>
          </w:tcPr>
          <w:p w14:paraId="15620C33" w14:textId="77777777" w:rsidR="00587A4E" w:rsidRPr="008235C9" w:rsidRDefault="00587A4E" w:rsidP="00C77ACD">
            <w:pPr>
              <w:spacing w:before="0"/>
              <w:rPr>
                <w:rFonts w:ascii="Verdana" w:hAnsi="Verdana"/>
                <w:sz w:val="20"/>
              </w:rPr>
            </w:pPr>
          </w:p>
        </w:tc>
      </w:tr>
      <w:tr w:rsidR="00587A4E" w:rsidRPr="008235C9" w14:paraId="6BF83A62" w14:textId="77777777" w:rsidTr="00773113">
        <w:trPr>
          <w:cantSplit/>
        </w:trPr>
        <w:tc>
          <w:tcPr>
            <w:tcW w:w="6911" w:type="dxa"/>
            <w:gridSpan w:val="2"/>
          </w:tcPr>
          <w:p w14:paraId="16A06451" w14:textId="77777777" w:rsidR="00587A4E" w:rsidRPr="008235C9" w:rsidRDefault="008D6821" w:rsidP="00C77ACD">
            <w:pPr>
              <w:spacing w:before="0"/>
              <w:rPr>
                <w:rFonts w:ascii="Verdana" w:hAnsi="Verdana"/>
                <w:b/>
                <w:sz w:val="20"/>
              </w:rPr>
            </w:pPr>
            <w:r w:rsidRPr="008235C9">
              <w:rPr>
                <w:rFonts w:ascii="Verdana" w:hAnsi="Verdana"/>
                <w:b/>
                <w:sz w:val="20"/>
              </w:rPr>
              <w:t>SÉANCE PLÉNIÈRE</w:t>
            </w:r>
          </w:p>
        </w:tc>
        <w:tc>
          <w:tcPr>
            <w:tcW w:w="3120" w:type="dxa"/>
            <w:gridSpan w:val="2"/>
          </w:tcPr>
          <w:p w14:paraId="223525CF" w14:textId="48444D1E" w:rsidR="00587A4E" w:rsidRPr="008235C9" w:rsidRDefault="00587A4E" w:rsidP="00C77ACD">
            <w:pPr>
              <w:spacing w:before="0"/>
              <w:rPr>
                <w:rFonts w:ascii="Verdana" w:hAnsi="Verdana"/>
                <w:sz w:val="20"/>
              </w:rPr>
            </w:pPr>
            <w:r w:rsidRPr="008235C9">
              <w:rPr>
                <w:rFonts w:ascii="Verdana" w:hAnsi="Verdana"/>
                <w:b/>
                <w:sz w:val="20"/>
              </w:rPr>
              <w:t xml:space="preserve">Document </w:t>
            </w:r>
            <w:r w:rsidR="000F7C1B" w:rsidRPr="008235C9">
              <w:rPr>
                <w:rFonts w:ascii="Verdana" w:hAnsi="Verdana"/>
                <w:b/>
                <w:sz w:val="20"/>
              </w:rPr>
              <w:t>527</w:t>
            </w:r>
            <w:r w:rsidRPr="008235C9">
              <w:rPr>
                <w:rFonts w:ascii="Verdana" w:hAnsi="Verdana"/>
                <w:b/>
                <w:sz w:val="20"/>
              </w:rPr>
              <w:t>-F</w:t>
            </w:r>
          </w:p>
        </w:tc>
      </w:tr>
      <w:bookmarkEnd w:id="1"/>
      <w:tr w:rsidR="00587A4E" w:rsidRPr="008235C9" w14:paraId="27A8F112" w14:textId="77777777" w:rsidTr="00773113">
        <w:trPr>
          <w:cantSplit/>
        </w:trPr>
        <w:tc>
          <w:tcPr>
            <w:tcW w:w="6911" w:type="dxa"/>
            <w:gridSpan w:val="2"/>
          </w:tcPr>
          <w:p w14:paraId="2CE4A6AE" w14:textId="77777777" w:rsidR="00587A4E" w:rsidRPr="008235C9" w:rsidRDefault="00587A4E" w:rsidP="00C77ACD">
            <w:pPr>
              <w:spacing w:before="0"/>
              <w:rPr>
                <w:rFonts w:ascii="Verdana" w:hAnsi="Verdana"/>
                <w:b/>
                <w:sz w:val="20"/>
              </w:rPr>
            </w:pPr>
          </w:p>
        </w:tc>
        <w:tc>
          <w:tcPr>
            <w:tcW w:w="3120" w:type="dxa"/>
            <w:gridSpan w:val="2"/>
          </w:tcPr>
          <w:p w14:paraId="5ADB3C66" w14:textId="40BB84FB" w:rsidR="00587A4E" w:rsidRPr="008235C9" w:rsidRDefault="000F7C1B" w:rsidP="00C77ACD">
            <w:pPr>
              <w:spacing w:before="0"/>
              <w:rPr>
                <w:rFonts w:ascii="Verdana" w:hAnsi="Verdana"/>
                <w:b/>
                <w:sz w:val="20"/>
              </w:rPr>
            </w:pPr>
            <w:r w:rsidRPr="008235C9">
              <w:rPr>
                <w:rFonts w:ascii="Verdana" w:hAnsi="Verdana"/>
                <w:b/>
                <w:sz w:val="20"/>
              </w:rPr>
              <w:t>15 janvier 2024</w:t>
            </w:r>
          </w:p>
        </w:tc>
      </w:tr>
      <w:tr w:rsidR="00587A4E" w:rsidRPr="008235C9" w14:paraId="1980E3F5" w14:textId="77777777" w:rsidTr="00773113">
        <w:trPr>
          <w:cantSplit/>
        </w:trPr>
        <w:tc>
          <w:tcPr>
            <w:tcW w:w="6911" w:type="dxa"/>
            <w:gridSpan w:val="2"/>
          </w:tcPr>
          <w:p w14:paraId="1734F51E" w14:textId="77777777" w:rsidR="00587A4E" w:rsidRPr="008235C9" w:rsidRDefault="00587A4E" w:rsidP="00C77ACD">
            <w:pPr>
              <w:spacing w:before="0" w:after="48"/>
              <w:rPr>
                <w:rFonts w:ascii="Verdana" w:hAnsi="Verdana"/>
                <w:b/>
                <w:smallCaps/>
                <w:sz w:val="20"/>
              </w:rPr>
            </w:pPr>
          </w:p>
        </w:tc>
        <w:tc>
          <w:tcPr>
            <w:tcW w:w="3120" w:type="dxa"/>
            <w:gridSpan w:val="2"/>
          </w:tcPr>
          <w:p w14:paraId="65AC2E80" w14:textId="77777777" w:rsidR="00587A4E" w:rsidRPr="008235C9" w:rsidRDefault="00587A4E" w:rsidP="00C77ACD">
            <w:pPr>
              <w:spacing w:before="0"/>
              <w:rPr>
                <w:rFonts w:ascii="Verdana" w:hAnsi="Verdana"/>
                <w:b/>
                <w:sz w:val="20"/>
              </w:rPr>
            </w:pPr>
            <w:r w:rsidRPr="008235C9">
              <w:rPr>
                <w:rFonts w:ascii="Verdana" w:hAnsi="Verdana"/>
                <w:b/>
                <w:sz w:val="20"/>
              </w:rPr>
              <w:t>Original: anglais</w:t>
            </w:r>
          </w:p>
        </w:tc>
      </w:tr>
      <w:tr w:rsidR="00587A4E" w:rsidRPr="008235C9" w14:paraId="5C6CDF4B" w14:textId="77777777" w:rsidTr="00773113">
        <w:trPr>
          <w:cantSplit/>
        </w:trPr>
        <w:tc>
          <w:tcPr>
            <w:tcW w:w="10031" w:type="dxa"/>
            <w:gridSpan w:val="4"/>
          </w:tcPr>
          <w:p w14:paraId="00B5E05C" w14:textId="77777777" w:rsidR="00587A4E" w:rsidRPr="008235C9" w:rsidRDefault="00587A4E" w:rsidP="00C77ACD">
            <w:pPr>
              <w:spacing w:before="0"/>
              <w:rPr>
                <w:rFonts w:ascii="Verdana" w:hAnsi="Verdana"/>
                <w:b/>
                <w:sz w:val="20"/>
              </w:rPr>
            </w:pPr>
          </w:p>
        </w:tc>
      </w:tr>
      <w:tr w:rsidR="00587A4E" w:rsidRPr="008235C9" w14:paraId="5CCB136C" w14:textId="77777777" w:rsidTr="00773113">
        <w:trPr>
          <w:cantSplit/>
        </w:trPr>
        <w:tc>
          <w:tcPr>
            <w:tcW w:w="10031" w:type="dxa"/>
            <w:gridSpan w:val="4"/>
          </w:tcPr>
          <w:p w14:paraId="57BF3117" w14:textId="77777777" w:rsidR="00587A4E" w:rsidRPr="008235C9" w:rsidRDefault="00587A4E" w:rsidP="00C77ACD">
            <w:pPr>
              <w:spacing w:before="0"/>
            </w:pPr>
            <w:bookmarkStart w:id="2" w:name="dsource" w:colFirst="0" w:colLast="0"/>
          </w:p>
        </w:tc>
      </w:tr>
      <w:tr w:rsidR="000F7C1B" w:rsidRPr="008235C9" w14:paraId="3E05658D" w14:textId="77777777" w:rsidTr="00773113">
        <w:trPr>
          <w:cantSplit/>
        </w:trPr>
        <w:tc>
          <w:tcPr>
            <w:tcW w:w="10031" w:type="dxa"/>
            <w:gridSpan w:val="4"/>
          </w:tcPr>
          <w:p w14:paraId="5640AC45" w14:textId="0EFAD082" w:rsidR="000F7C1B" w:rsidRPr="008235C9" w:rsidRDefault="000F7C1B" w:rsidP="00C77ACD">
            <w:pPr>
              <w:pStyle w:val="Title1"/>
            </w:pPr>
            <w:bookmarkStart w:id="3" w:name="dtitle1" w:colFirst="0" w:colLast="0"/>
            <w:bookmarkEnd w:id="2"/>
            <w:r w:rsidRPr="008235C9">
              <w:t>PROCÈS-VERBAL</w:t>
            </w:r>
          </w:p>
          <w:p w14:paraId="0A1DA75D" w14:textId="77777777" w:rsidR="000F7C1B" w:rsidRPr="008235C9" w:rsidRDefault="000F7C1B" w:rsidP="00C77ACD">
            <w:pPr>
              <w:pStyle w:val="Title1"/>
            </w:pPr>
            <w:r w:rsidRPr="008235C9">
              <w:t>DE LA</w:t>
            </w:r>
          </w:p>
          <w:p w14:paraId="75B50ECB" w14:textId="0C7D9B77" w:rsidR="000F7C1B" w:rsidRPr="008235C9" w:rsidRDefault="000F7C1B" w:rsidP="00C77ACD">
            <w:pPr>
              <w:pStyle w:val="Title1"/>
            </w:pPr>
            <w:r w:rsidRPr="008235C9">
              <w:t>DOUZIÈME SÉANCE PLÉNIÈRE</w:t>
            </w:r>
          </w:p>
        </w:tc>
      </w:tr>
      <w:tr w:rsidR="000F7C1B" w:rsidRPr="008235C9" w14:paraId="0A26371C" w14:textId="77777777" w:rsidTr="00773113">
        <w:trPr>
          <w:cantSplit/>
        </w:trPr>
        <w:tc>
          <w:tcPr>
            <w:tcW w:w="10031" w:type="dxa"/>
            <w:gridSpan w:val="4"/>
          </w:tcPr>
          <w:p w14:paraId="7015A9F6" w14:textId="49549597" w:rsidR="000F7C1B" w:rsidRPr="008235C9" w:rsidRDefault="000F7C1B" w:rsidP="00C77ACD">
            <w:pPr>
              <w:pStyle w:val="Title2"/>
            </w:pPr>
            <w:bookmarkStart w:id="4" w:name="dtitle2" w:colFirst="0" w:colLast="0"/>
            <w:bookmarkEnd w:id="3"/>
            <w:r w:rsidRPr="008235C9">
              <w:rPr>
                <w:caps w:val="0"/>
                <w:sz w:val="24"/>
                <w:szCs w:val="24"/>
              </w:rPr>
              <w:t>Mercredi 13 décembre 2023, à 19 h 35</w:t>
            </w:r>
          </w:p>
        </w:tc>
      </w:tr>
      <w:tr w:rsidR="000F7C1B" w:rsidRPr="008235C9" w14:paraId="29E311FA" w14:textId="77777777" w:rsidTr="00773113">
        <w:trPr>
          <w:cantSplit/>
        </w:trPr>
        <w:tc>
          <w:tcPr>
            <w:tcW w:w="10031" w:type="dxa"/>
            <w:gridSpan w:val="4"/>
          </w:tcPr>
          <w:p w14:paraId="771CE0A5" w14:textId="26FFAD21" w:rsidR="000F7C1B" w:rsidRPr="008235C9" w:rsidRDefault="000F7C1B" w:rsidP="00C77ACD">
            <w:pPr>
              <w:pStyle w:val="Agendaitem"/>
              <w:rPr>
                <w:lang w:val="fr-FR"/>
              </w:rPr>
            </w:pPr>
            <w:bookmarkStart w:id="5" w:name="dtitle3" w:colFirst="0" w:colLast="0"/>
            <w:bookmarkEnd w:id="4"/>
            <w:r w:rsidRPr="008235C9">
              <w:rPr>
                <w:b/>
                <w:bCs/>
                <w:sz w:val="24"/>
                <w:szCs w:val="24"/>
                <w:lang w:val="fr-FR"/>
              </w:rPr>
              <w:t>Président</w:t>
            </w:r>
            <w:r w:rsidRPr="008235C9">
              <w:rPr>
                <w:sz w:val="24"/>
                <w:szCs w:val="24"/>
                <w:lang w:val="fr-FR"/>
              </w:rPr>
              <w:t>: S. E. M. M. AL RAMSI (Émirats arabes unis)</w:t>
            </w:r>
          </w:p>
        </w:tc>
      </w:tr>
      <w:bookmarkEnd w:id="5"/>
    </w:tbl>
    <w:p w14:paraId="07357D5D" w14:textId="77777777" w:rsidR="00F372DE" w:rsidRPr="008235C9" w:rsidRDefault="00F372DE" w:rsidP="00C77ACD"/>
    <w:tbl>
      <w:tblPr>
        <w:tblW w:w="10031" w:type="dxa"/>
        <w:tblLook w:val="0000" w:firstRow="0" w:lastRow="0" w:firstColumn="0" w:lastColumn="0" w:noHBand="0" w:noVBand="0"/>
      </w:tblPr>
      <w:tblGrid>
        <w:gridCol w:w="534"/>
        <w:gridCol w:w="7404"/>
        <w:gridCol w:w="2093"/>
      </w:tblGrid>
      <w:tr w:rsidR="000F7C1B" w:rsidRPr="008235C9" w14:paraId="7C9C3A7E" w14:textId="77777777" w:rsidTr="00107E78">
        <w:tc>
          <w:tcPr>
            <w:tcW w:w="534" w:type="dxa"/>
          </w:tcPr>
          <w:p w14:paraId="4CB817E5" w14:textId="77777777" w:rsidR="000F7C1B" w:rsidRPr="008235C9" w:rsidRDefault="000F7C1B" w:rsidP="00C77ACD"/>
        </w:tc>
        <w:tc>
          <w:tcPr>
            <w:tcW w:w="7404" w:type="dxa"/>
          </w:tcPr>
          <w:p w14:paraId="4D797CE4" w14:textId="77777777" w:rsidR="000F7C1B" w:rsidRPr="008235C9" w:rsidRDefault="000F7C1B" w:rsidP="00C77ACD">
            <w:pPr>
              <w:rPr>
                <w:b/>
                <w:bCs/>
              </w:rPr>
            </w:pPr>
            <w:r w:rsidRPr="008235C9">
              <w:rPr>
                <w:b/>
                <w:bCs/>
              </w:rPr>
              <w:t>Sujets examinés</w:t>
            </w:r>
          </w:p>
        </w:tc>
        <w:tc>
          <w:tcPr>
            <w:tcW w:w="2093" w:type="dxa"/>
          </w:tcPr>
          <w:p w14:paraId="48B9025B" w14:textId="77777777" w:rsidR="000F7C1B" w:rsidRPr="008235C9" w:rsidRDefault="000F7C1B" w:rsidP="00C77ACD">
            <w:pPr>
              <w:jc w:val="center"/>
              <w:rPr>
                <w:b/>
                <w:bCs/>
              </w:rPr>
            </w:pPr>
            <w:r w:rsidRPr="008235C9">
              <w:rPr>
                <w:b/>
                <w:bCs/>
              </w:rPr>
              <w:t>Documents</w:t>
            </w:r>
          </w:p>
        </w:tc>
      </w:tr>
      <w:tr w:rsidR="000F7C1B" w:rsidRPr="008235C9" w14:paraId="3068DFF7" w14:textId="77777777" w:rsidTr="00B77458">
        <w:tc>
          <w:tcPr>
            <w:tcW w:w="534" w:type="dxa"/>
          </w:tcPr>
          <w:p w14:paraId="107CE106" w14:textId="77777777" w:rsidR="000F7C1B" w:rsidRPr="008235C9" w:rsidRDefault="000F7C1B" w:rsidP="00B77458">
            <w:pPr>
              <w:rPr>
                <w:b/>
                <w:bCs/>
              </w:rPr>
            </w:pPr>
            <w:r w:rsidRPr="008235C9">
              <w:rPr>
                <w:bCs/>
              </w:rPr>
              <w:t>1</w:t>
            </w:r>
          </w:p>
        </w:tc>
        <w:tc>
          <w:tcPr>
            <w:tcW w:w="7404" w:type="dxa"/>
            <w:vAlign w:val="center"/>
          </w:tcPr>
          <w:p w14:paraId="21D1505D" w14:textId="604E2438" w:rsidR="000F7C1B" w:rsidRPr="008235C9" w:rsidRDefault="000F7C1B" w:rsidP="00C77ACD">
            <w:pPr>
              <w:rPr>
                <w:b/>
                <w:bCs/>
              </w:rPr>
            </w:pPr>
            <w:r w:rsidRPr="008235C9">
              <w:rPr>
                <w:bCs/>
              </w:rPr>
              <w:t xml:space="preserve">Rapports verbaux des </w:t>
            </w:r>
            <w:r w:rsidR="00F52F65" w:rsidRPr="008235C9">
              <w:rPr>
                <w:bCs/>
              </w:rPr>
              <w:t>p</w:t>
            </w:r>
            <w:r w:rsidRPr="008235C9">
              <w:rPr>
                <w:bCs/>
              </w:rPr>
              <w:t xml:space="preserve">résidents des </w:t>
            </w:r>
            <w:r w:rsidR="00F52F65" w:rsidRPr="008235C9">
              <w:rPr>
                <w:bCs/>
              </w:rPr>
              <w:t>c</w:t>
            </w:r>
            <w:r w:rsidRPr="008235C9">
              <w:rPr>
                <w:bCs/>
              </w:rPr>
              <w:t>ommissions</w:t>
            </w:r>
          </w:p>
        </w:tc>
        <w:tc>
          <w:tcPr>
            <w:tcW w:w="2093" w:type="dxa"/>
          </w:tcPr>
          <w:p w14:paraId="7604C790" w14:textId="77777777" w:rsidR="000F7C1B" w:rsidRPr="008235C9" w:rsidRDefault="000F7C1B" w:rsidP="00B77458">
            <w:pPr>
              <w:jc w:val="center"/>
            </w:pPr>
            <w:r w:rsidRPr="008235C9">
              <w:t>–</w:t>
            </w:r>
          </w:p>
        </w:tc>
      </w:tr>
      <w:tr w:rsidR="000F7C1B" w:rsidRPr="008235C9" w14:paraId="157241E2" w14:textId="77777777" w:rsidTr="00B77458">
        <w:tc>
          <w:tcPr>
            <w:tcW w:w="534" w:type="dxa"/>
          </w:tcPr>
          <w:p w14:paraId="4264DBED" w14:textId="77777777" w:rsidR="000F7C1B" w:rsidRPr="008235C9" w:rsidRDefault="000F7C1B" w:rsidP="00B77458">
            <w:pPr>
              <w:rPr>
                <w:b/>
                <w:bCs/>
              </w:rPr>
            </w:pPr>
            <w:r w:rsidRPr="008235C9">
              <w:rPr>
                <w:bCs/>
              </w:rPr>
              <w:t>2</w:t>
            </w:r>
          </w:p>
        </w:tc>
        <w:tc>
          <w:tcPr>
            <w:tcW w:w="7404" w:type="dxa"/>
            <w:vAlign w:val="center"/>
          </w:tcPr>
          <w:p w14:paraId="3255DABB" w14:textId="4AB239B4" w:rsidR="000F7C1B" w:rsidRPr="008235C9" w:rsidRDefault="006F738F" w:rsidP="00C77ACD">
            <w:r w:rsidRPr="008235C9">
              <w:t>Quatrième rapport de la Commission 4 à la plénière</w:t>
            </w:r>
          </w:p>
        </w:tc>
        <w:tc>
          <w:tcPr>
            <w:tcW w:w="2093" w:type="dxa"/>
          </w:tcPr>
          <w:p w14:paraId="22B5044A" w14:textId="55B4255B" w:rsidR="000F7C1B" w:rsidRPr="008235C9" w:rsidRDefault="000F7C1B" w:rsidP="00B77458">
            <w:pPr>
              <w:jc w:val="center"/>
            </w:pPr>
            <w:r w:rsidRPr="008235C9">
              <w:rPr>
                <w:rFonts w:asciiTheme="majorBidi" w:hAnsiTheme="majorBidi" w:cstheme="majorBidi"/>
                <w:bCs/>
                <w:szCs w:val="24"/>
              </w:rPr>
              <w:t>476</w:t>
            </w:r>
          </w:p>
        </w:tc>
      </w:tr>
      <w:tr w:rsidR="000F7C1B" w:rsidRPr="008235C9" w14:paraId="6AB7C626" w14:textId="77777777" w:rsidTr="00B77458">
        <w:tc>
          <w:tcPr>
            <w:tcW w:w="534" w:type="dxa"/>
          </w:tcPr>
          <w:p w14:paraId="5B563B04" w14:textId="77777777" w:rsidR="000F7C1B" w:rsidRPr="008235C9" w:rsidRDefault="000F7C1B" w:rsidP="00B77458">
            <w:pPr>
              <w:rPr>
                <w:b/>
                <w:bCs/>
              </w:rPr>
            </w:pPr>
            <w:r w:rsidRPr="008235C9">
              <w:rPr>
                <w:bCs/>
              </w:rPr>
              <w:t>3</w:t>
            </w:r>
          </w:p>
        </w:tc>
        <w:tc>
          <w:tcPr>
            <w:tcW w:w="7404" w:type="dxa"/>
            <w:vAlign w:val="center"/>
          </w:tcPr>
          <w:p w14:paraId="1622DFF9" w14:textId="4CDBDDC3" w:rsidR="000F7C1B" w:rsidRPr="008235C9" w:rsidRDefault="000F7C1B" w:rsidP="00C77ACD">
            <w:pPr>
              <w:rPr>
                <w:b/>
                <w:bCs/>
              </w:rPr>
            </w:pPr>
            <w:r w:rsidRPr="008235C9">
              <w:t>Quarante-quatrième série de textes soumis par la Commission de rédaction en première lecture (B44)</w:t>
            </w:r>
          </w:p>
        </w:tc>
        <w:tc>
          <w:tcPr>
            <w:tcW w:w="2093" w:type="dxa"/>
          </w:tcPr>
          <w:p w14:paraId="52F70CED" w14:textId="4B2B71DC" w:rsidR="000F7C1B" w:rsidRPr="008235C9" w:rsidRDefault="000F7C1B" w:rsidP="00B77458">
            <w:pPr>
              <w:jc w:val="center"/>
            </w:pPr>
            <w:r w:rsidRPr="008235C9">
              <w:rPr>
                <w:rFonts w:asciiTheme="majorBidi" w:hAnsiTheme="majorBidi" w:cstheme="majorBidi"/>
                <w:bCs/>
                <w:szCs w:val="24"/>
              </w:rPr>
              <w:t>484</w:t>
            </w:r>
          </w:p>
        </w:tc>
      </w:tr>
      <w:tr w:rsidR="000F7C1B" w:rsidRPr="008235C9" w14:paraId="1A8BCCC9" w14:textId="77777777" w:rsidTr="00B77458">
        <w:tc>
          <w:tcPr>
            <w:tcW w:w="534" w:type="dxa"/>
          </w:tcPr>
          <w:p w14:paraId="273988C8" w14:textId="77777777" w:rsidR="000F7C1B" w:rsidRPr="008235C9" w:rsidRDefault="000F7C1B" w:rsidP="00B77458">
            <w:pPr>
              <w:rPr>
                <w:b/>
              </w:rPr>
            </w:pPr>
            <w:r w:rsidRPr="008235C9">
              <w:t>4</w:t>
            </w:r>
          </w:p>
        </w:tc>
        <w:tc>
          <w:tcPr>
            <w:tcW w:w="7404" w:type="dxa"/>
            <w:vAlign w:val="center"/>
          </w:tcPr>
          <w:p w14:paraId="6541267D" w14:textId="2E26E020" w:rsidR="000F7C1B" w:rsidRPr="008235C9" w:rsidRDefault="000F7C1B" w:rsidP="00C77ACD">
            <w:pPr>
              <w:rPr>
                <w:b/>
              </w:rPr>
            </w:pPr>
            <w:r w:rsidRPr="008235C9">
              <w:t>Quarante-quatrième série de textes soumis par la Commission de rédaction (B44) – seconde lecture</w:t>
            </w:r>
          </w:p>
        </w:tc>
        <w:tc>
          <w:tcPr>
            <w:tcW w:w="2093" w:type="dxa"/>
          </w:tcPr>
          <w:p w14:paraId="0F6E6E58" w14:textId="2D49BCEE" w:rsidR="000F7C1B" w:rsidRPr="008235C9" w:rsidRDefault="000F7C1B" w:rsidP="00B77458">
            <w:pPr>
              <w:jc w:val="center"/>
            </w:pPr>
            <w:r w:rsidRPr="008235C9">
              <w:rPr>
                <w:rFonts w:asciiTheme="majorBidi" w:hAnsiTheme="majorBidi" w:cstheme="majorBidi"/>
                <w:bCs/>
                <w:szCs w:val="24"/>
              </w:rPr>
              <w:t>484</w:t>
            </w:r>
          </w:p>
        </w:tc>
      </w:tr>
      <w:tr w:rsidR="000F7C1B" w:rsidRPr="008235C9" w14:paraId="480F93C6" w14:textId="77777777" w:rsidTr="00B77458">
        <w:tc>
          <w:tcPr>
            <w:tcW w:w="534" w:type="dxa"/>
          </w:tcPr>
          <w:p w14:paraId="003BF1F2" w14:textId="77777777" w:rsidR="000F7C1B" w:rsidRPr="008235C9" w:rsidRDefault="000F7C1B" w:rsidP="00B77458">
            <w:pPr>
              <w:rPr>
                <w:b/>
              </w:rPr>
            </w:pPr>
            <w:r w:rsidRPr="008235C9">
              <w:t>5</w:t>
            </w:r>
          </w:p>
        </w:tc>
        <w:tc>
          <w:tcPr>
            <w:tcW w:w="7404" w:type="dxa"/>
            <w:vAlign w:val="center"/>
          </w:tcPr>
          <w:p w14:paraId="16BD89DD" w14:textId="5B53C9BE" w:rsidR="000F7C1B" w:rsidRPr="008235C9" w:rsidRDefault="006F738F" w:rsidP="00C77ACD">
            <w:pPr>
              <w:rPr>
                <w:bCs/>
              </w:rPr>
            </w:pPr>
            <w:r w:rsidRPr="008235C9">
              <w:rPr>
                <w:bCs/>
              </w:rPr>
              <w:t xml:space="preserve">Approbation de la Résolution 12 (Rév.CMR-23) </w:t>
            </w:r>
            <w:r w:rsidR="00C77ACD" w:rsidRPr="008235C9">
              <w:rPr>
                <w:bCs/>
              </w:rPr>
              <w:t>–</w:t>
            </w:r>
            <w:r w:rsidRPr="008235C9">
              <w:rPr>
                <w:bCs/>
              </w:rPr>
              <w:t xml:space="preserve"> </w:t>
            </w:r>
            <w:r w:rsidR="000F2719" w:rsidRPr="008235C9">
              <w:rPr>
                <w:bCs/>
              </w:rPr>
              <w:t>p</w:t>
            </w:r>
            <w:r w:rsidRPr="008235C9">
              <w:rPr>
                <w:bCs/>
              </w:rPr>
              <w:t>remière et seconde lecture</w:t>
            </w:r>
          </w:p>
        </w:tc>
        <w:tc>
          <w:tcPr>
            <w:tcW w:w="2093" w:type="dxa"/>
          </w:tcPr>
          <w:p w14:paraId="005E9891" w14:textId="6DFBD9F1" w:rsidR="000F7C1B" w:rsidRPr="008235C9" w:rsidRDefault="000F7C1B" w:rsidP="00B77458">
            <w:pPr>
              <w:jc w:val="center"/>
            </w:pPr>
            <w:r w:rsidRPr="008235C9">
              <w:rPr>
                <w:rFonts w:asciiTheme="majorBidi" w:hAnsiTheme="majorBidi" w:cstheme="majorBidi"/>
                <w:bCs/>
                <w:szCs w:val="24"/>
              </w:rPr>
              <w:t>505</w:t>
            </w:r>
          </w:p>
        </w:tc>
      </w:tr>
      <w:tr w:rsidR="000F7C1B" w:rsidRPr="008235C9" w14:paraId="781F57C5" w14:textId="77777777" w:rsidTr="00B77458">
        <w:tc>
          <w:tcPr>
            <w:tcW w:w="534" w:type="dxa"/>
          </w:tcPr>
          <w:p w14:paraId="18A4FF90" w14:textId="77777777" w:rsidR="000F7C1B" w:rsidRPr="008235C9" w:rsidRDefault="000F7C1B" w:rsidP="00B77458">
            <w:pPr>
              <w:rPr>
                <w:b/>
              </w:rPr>
            </w:pPr>
            <w:r w:rsidRPr="008235C9">
              <w:t>6</w:t>
            </w:r>
          </w:p>
        </w:tc>
        <w:tc>
          <w:tcPr>
            <w:tcW w:w="7404" w:type="dxa"/>
            <w:vAlign w:val="center"/>
          </w:tcPr>
          <w:p w14:paraId="0CECE938" w14:textId="686BC5BE" w:rsidR="000F7C1B" w:rsidRPr="008235C9" w:rsidRDefault="000F7C1B" w:rsidP="00C77ACD">
            <w:pPr>
              <w:rPr>
                <w:b/>
              </w:rPr>
            </w:pPr>
            <w:r w:rsidRPr="008235C9">
              <w:rPr>
                <w:rFonts w:asciiTheme="majorBidi" w:hAnsiTheme="majorBidi" w:cstheme="majorBidi"/>
                <w:bCs/>
                <w:szCs w:val="24"/>
              </w:rPr>
              <w:t>Quarante-neuvième série de textes soumis par la Commission de rédaction en première lecture (B49)</w:t>
            </w:r>
          </w:p>
        </w:tc>
        <w:tc>
          <w:tcPr>
            <w:tcW w:w="2093" w:type="dxa"/>
          </w:tcPr>
          <w:p w14:paraId="77BBBBC4" w14:textId="74115820" w:rsidR="000F7C1B" w:rsidRPr="008235C9" w:rsidRDefault="000F7C1B" w:rsidP="00B77458">
            <w:pPr>
              <w:jc w:val="center"/>
            </w:pPr>
            <w:r w:rsidRPr="008235C9">
              <w:rPr>
                <w:rFonts w:asciiTheme="majorBidi" w:hAnsiTheme="majorBidi" w:cstheme="majorBidi"/>
                <w:bCs/>
                <w:szCs w:val="24"/>
              </w:rPr>
              <w:t>500</w:t>
            </w:r>
          </w:p>
        </w:tc>
      </w:tr>
      <w:tr w:rsidR="000F7C1B" w:rsidRPr="008235C9" w14:paraId="363EBC9F" w14:textId="77777777" w:rsidTr="00B77458">
        <w:tc>
          <w:tcPr>
            <w:tcW w:w="534" w:type="dxa"/>
          </w:tcPr>
          <w:p w14:paraId="65770D49" w14:textId="77777777" w:rsidR="000F7C1B" w:rsidRPr="008235C9" w:rsidRDefault="000F7C1B" w:rsidP="00B77458">
            <w:pPr>
              <w:rPr>
                <w:b/>
              </w:rPr>
            </w:pPr>
            <w:r w:rsidRPr="008235C9">
              <w:t>7</w:t>
            </w:r>
          </w:p>
        </w:tc>
        <w:tc>
          <w:tcPr>
            <w:tcW w:w="7404" w:type="dxa"/>
            <w:vAlign w:val="center"/>
          </w:tcPr>
          <w:p w14:paraId="234598F1" w14:textId="657F12BB" w:rsidR="000F7C1B" w:rsidRPr="008235C9" w:rsidRDefault="000F7C1B" w:rsidP="00C77ACD">
            <w:pPr>
              <w:rPr>
                <w:bCs/>
              </w:rPr>
            </w:pPr>
            <w:r w:rsidRPr="008235C9">
              <w:rPr>
                <w:rFonts w:asciiTheme="majorBidi" w:hAnsiTheme="majorBidi" w:cstheme="majorBidi"/>
                <w:bCs/>
                <w:szCs w:val="24"/>
              </w:rPr>
              <w:t xml:space="preserve">Quarante-neuvième série de textes soumis par la Commission de rédaction (B49) </w:t>
            </w:r>
            <w:r w:rsidRPr="008235C9">
              <w:rPr>
                <w:rFonts w:asciiTheme="majorBidi" w:hAnsiTheme="majorBidi" w:cstheme="majorBidi"/>
                <w:szCs w:val="24"/>
              </w:rPr>
              <w:t>–</w:t>
            </w:r>
            <w:r w:rsidRPr="008235C9">
              <w:rPr>
                <w:rFonts w:asciiTheme="majorBidi" w:hAnsiTheme="majorBidi" w:cstheme="majorBidi"/>
                <w:bCs/>
                <w:szCs w:val="24"/>
              </w:rPr>
              <w:t xml:space="preserve"> seconde lecture</w:t>
            </w:r>
          </w:p>
        </w:tc>
        <w:tc>
          <w:tcPr>
            <w:tcW w:w="2093" w:type="dxa"/>
          </w:tcPr>
          <w:p w14:paraId="40090CD9" w14:textId="2A5BC4C9" w:rsidR="000F7C1B" w:rsidRPr="008235C9" w:rsidRDefault="000F7C1B" w:rsidP="00B77458">
            <w:pPr>
              <w:jc w:val="center"/>
            </w:pPr>
            <w:r w:rsidRPr="008235C9">
              <w:rPr>
                <w:rFonts w:asciiTheme="majorBidi" w:hAnsiTheme="majorBidi" w:cstheme="majorBidi"/>
                <w:bCs/>
                <w:szCs w:val="24"/>
              </w:rPr>
              <w:t>500</w:t>
            </w:r>
          </w:p>
        </w:tc>
      </w:tr>
      <w:tr w:rsidR="000F7C1B" w:rsidRPr="008235C9" w14:paraId="1E7BC8B7" w14:textId="77777777" w:rsidTr="00B77458">
        <w:tc>
          <w:tcPr>
            <w:tcW w:w="534" w:type="dxa"/>
          </w:tcPr>
          <w:p w14:paraId="1FD6E6CC" w14:textId="77777777" w:rsidR="000F7C1B" w:rsidRPr="008235C9" w:rsidRDefault="000F7C1B" w:rsidP="00B77458">
            <w:pPr>
              <w:rPr>
                <w:b/>
              </w:rPr>
            </w:pPr>
            <w:r w:rsidRPr="008235C9">
              <w:t>8</w:t>
            </w:r>
          </w:p>
        </w:tc>
        <w:tc>
          <w:tcPr>
            <w:tcW w:w="7404" w:type="dxa"/>
            <w:vAlign w:val="center"/>
          </w:tcPr>
          <w:p w14:paraId="1260DB15" w14:textId="46B2CB7C" w:rsidR="000F7C1B" w:rsidRPr="008235C9" w:rsidRDefault="000F7C1B" w:rsidP="00C77ACD">
            <w:pPr>
              <w:rPr>
                <w:bCs/>
              </w:rPr>
            </w:pPr>
            <w:r w:rsidRPr="008235C9">
              <w:rPr>
                <w:rFonts w:asciiTheme="majorBidi" w:hAnsiTheme="majorBidi" w:cstheme="majorBidi"/>
                <w:szCs w:val="24"/>
              </w:rPr>
              <w:t>Cinquantième série de textes soumis par la Commission de rédaction en première lecture (B50)</w:t>
            </w:r>
          </w:p>
        </w:tc>
        <w:tc>
          <w:tcPr>
            <w:tcW w:w="2093" w:type="dxa"/>
          </w:tcPr>
          <w:p w14:paraId="28C1663C" w14:textId="1447548B" w:rsidR="000F7C1B" w:rsidRPr="008235C9" w:rsidRDefault="000F7C1B" w:rsidP="00B77458">
            <w:pPr>
              <w:jc w:val="center"/>
            </w:pPr>
            <w:r w:rsidRPr="008235C9">
              <w:rPr>
                <w:rFonts w:asciiTheme="majorBidi" w:hAnsiTheme="majorBidi" w:cstheme="majorBidi"/>
                <w:bCs/>
                <w:szCs w:val="24"/>
              </w:rPr>
              <w:t>501</w:t>
            </w:r>
          </w:p>
        </w:tc>
      </w:tr>
      <w:tr w:rsidR="000F7C1B" w:rsidRPr="008235C9" w14:paraId="1DAC9DD2" w14:textId="77777777" w:rsidTr="00B77458">
        <w:tc>
          <w:tcPr>
            <w:tcW w:w="534" w:type="dxa"/>
          </w:tcPr>
          <w:p w14:paraId="119F33A4" w14:textId="022F3884" w:rsidR="000F7C1B" w:rsidRPr="008235C9" w:rsidRDefault="000F7C1B" w:rsidP="00B77458">
            <w:r w:rsidRPr="008235C9">
              <w:t>9</w:t>
            </w:r>
          </w:p>
        </w:tc>
        <w:tc>
          <w:tcPr>
            <w:tcW w:w="7404" w:type="dxa"/>
            <w:vAlign w:val="center"/>
          </w:tcPr>
          <w:p w14:paraId="238CE822" w14:textId="63178A20" w:rsidR="000F7C1B" w:rsidRPr="008235C9" w:rsidRDefault="000F7C1B" w:rsidP="00C77ACD">
            <w:pPr>
              <w:rPr>
                <w:bCs/>
              </w:rPr>
            </w:pPr>
            <w:r w:rsidRPr="008235C9">
              <w:rPr>
                <w:rFonts w:asciiTheme="majorBidi" w:hAnsiTheme="majorBidi" w:cstheme="majorBidi"/>
                <w:szCs w:val="24"/>
              </w:rPr>
              <w:t>Cinquantième série de textes soumis par la Commission de rédaction (B50) – seconde lecture</w:t>
            </w:r>
          </w:p>
        </w:tc>
        <w:tc>
          <w:tcPr>
            <w:tcW w:w="2093" w:type="dxa"/>
          </w:tcPr>
          <w:p w14:paraId="6FB213C0" w14:textId="0F830B4D" w:rsidR="000F7C1B" w:rsidRPr="008235C9" w:rsidRDefault="000F7C1B" w:rsidP="00B77458">
            <w:pPr>
              <w:jc w:val="center"/>
            </w:pPr>
            <w:r w:rsidRPr="008235C9">
              <w:rPr>
                <w:rFonts w:asciiTheme="majorBidi" w:hAnsiTheme="majorBidi" w:cstheme="majorBidi"/>
                <w:bCs/>
                <w:szCs w:val="24"/>
              </w:rPr>
              <w:t>501</w:t>
            </w:r>
          </w:p>
        </w:tc>
      </w:tr>
    </w:tbl>
    <w:p w14:paraId="28A13D44" w14:textId="6F316344" w:rsidR="00F52F65" w:rsidRPr="008235C9" w:rsidRDefault="00F52F65" w:rsidP="00C77ACD">
      <w:r w:rsidRPr="008235C9">
        <w:br w:type="page"/>
      </w:r>
    </w:p>
    <w:p w14:paraId="54BA0C08" w14:textId="37138B2D" w:rsidR="000F7C1B" w:rsidRPr="008235C9" w:rsidRDefault="00F52F65" w:rsidP="00C77ACD">
      <w:pPr>
        <w:pStyle w:val="Heading1"/>
      </w:pPr>
      <w:r w:rsidRPr="008235C9">
        <w:lastRenderedPageBreak/>
        <w:t>1</w:t>
      </w:r>
      <w:r w:rsidRPr="008235C9">
        <w:tab/>
        <w:t>Rapports verbaux des présidents des commissions</w:t>
      </w:r>
    </w:p>
    <w:p w14:paraId="23C35297" w14:textId="36551030" w:rsidR="00F52F65" w:rsidRPr="008235C9" w:rsidRDefault="00F52F65" w:rsidP="00C77ACD">
      <w:r w:rsidRPr="008235C9">
        <w:t>1.1</w:t>
      </w:r>
      <w:r w:rsidRPr="008235C9">
        <w:tab/>
      </w:r>
      <w:r w:rsidR="00A7023E" w:rsidRPr="008235C9">
        <w:t xml:space="preserve">Le </w:t>
      </w:r>
      <w:r w:rsidR="00A7023E" w:rsidRPr="008235C9">
        <w:rPr>
          <w:b/>
          <w:bCs/>
        </w:rPr>
        <w:t xml:space="preserve">Président de la Commission 4 </w:t>
      </w:r>
      <w:r w:rsidR="00A7023E" w:rsidRPr="008235C9">
        <w:t xml:space="preserve">indique que sa </w:t>
      </w:r>
      <w:r w:rsidR="00F75C28" w:rsidRPr="008235C9">
        <w:t>C</w:t>
      </w:r>
      <w:r w:rsidR="00A7023E" w:rsidRPr="008235C9">
        <w:t>ommission a achevé ses travaux sur les points 1.2 et 1.3 de l'ordre du jour et que les documents correspondants ont été soumis à la Commission de rédaction. Les travaux sur</w:t>
      </w:r>
      <w:r w:rsidR="00F75C28" w:rsidRPr="008235C9">
        <w:t xml:space="preserve"> </w:t>
      </w:r>
      <w:r w:rsidR="00A7023E" w:rsidRPr="008235C9">
        <w:t>le</w:t>
      </w:r>
      <w:r w:rsidR="00F75C28" w:rsidRPr="008235C9">
        <w:t xml:space="preserve"> </w:t>
      </w:r>
      <w:r w:rsidR="00A7023E" w:rsidRPr="008235C9">
        <w:t xml:space="preserve">point 1.5 de l'ordre du jour se poursuivent. Les discussions sur ce point se poursuivront dans le cadre d'un groupe ad hoc de la Commission 4 en vue de </w:t>
      </w:r>
      <w:r w:rsidR="00F75C28" w:rsidRPr="008235C9">
        <w:t>la soumission</w:t>
      </w:r>
      <w:r w:rsidR="00A7023E" w:rsidRPr="008235C9">
        <w:t xml:space="preserve"> </w:t>
      </w:r>
      <w:r w:rsidR="00F75C28" w:rsidRPr="008235C9">
        <w:t>d'</w:t>
      </w:r>
      <w:r w:rsidR="00A7023E" w:rsidRPr="008235C9">
        <w:t>un document à la Commission de rédaction avant minuit.</w:t>
      </w:r>
    </w:p>
    <w:p w14:paraId="3E7755CA" w14:textId="206FD54D" w:rsidR="00F52F65" w:rsidRPr="008235C9" w:rsidRDefault="00F52F65" w:rsidP="00C77ACD">
      <w:r w:rsidRPr="008235C9">
        <w:t>1.2</w:t>
      </w:r>
      <w:r w:rsidRPr="008235C9">
        <w:tab/>
        <w:t xml:space="preserve">Il est </w:t>
      </w:r>
      <w:r w:rsidRPr="008235C9">
        <w:rPr>
          <w:b/>
          <w:bCs/>
        </w:rPr>
        <w:t>pris note</w:t>
      </w:r>
      <w:r w:rsidRPr="008235C9">
        <w:t xml:space="preserve"> du rapport verbal </w:t>
      </w:r>
      <w:r w:rsidR="00A7023E" w:rsidRPr="008235C9">
        <w:t>du</w:t>
      </w:r>
      <w:r w:rsidRPr="008235C9">
        <w:t xml:space="preserve"> Président de la Commission 4.</w:t>
      </w:r>
    </w:p>
    <w:p w14:paraId="447A54E6" w14:textId="72522468" w:rsidR="00F52F65" w:rsidRPr="008235C9" w:rsidRDefault="00F52F65" w:rsidP="00C77ACD">
      <w:r w:rsidRPr="008235C9">
        <w:t>1.3</w:t>
      </w:r>
      <w:r w:rsidRPr="008235C9">
        <w:tab/>
      </w:r>
      <w:r w:rsidR="00A7023E" w:rsidRPr="008235C9">
        <w:t xml:space="preserve">Le </w:t>
      </w:r>
      <w:r w:rsidR="00A7023E" w:rsidRPr="008235C9">
        <w:rPr>
          <w:b/>
          <w:bCs/>
        </w:rPr>
        <w:t>Président de la Commission 6</w:t>
      </w:r>
      <w:r w:rsidR="00A7023E" w:rsidRPr="008235C9">
        <w:t xml:space="preserve"> fait savoir qu'un compromis a été trouvé concernant la proposition de point de l'ordre du jour de la CMR-27 en suspens et le projet de résolution associée. Les textes correspondants ont été soumis à la Commission de rédaction, en vue de leur examen lors d'une prochaine séance plénière. L'orateur remercie toutes les parties </w:t>
      </w:r>
      <w:r w:rsidR="00F75C28" w:rsidRPr="008235C9">
        <w:t>concernées</w:t>
      </w:r>
      <w:r w:rsidR="00A7023E" w:rsidRPr="008235C9">
        <w:t>, y</w:t>
      </w:r>
      <w:r w:rsidR="00C77ACD" w:rsidRPr="008235C9">
        <w:t> </w:t>
      </w:r>
      <w:r w:rsidR="00A7023E" w:rsidRPr="008235C9">
        <w:t xml:space="preserve">compris les groupes régionaux, pour </w:t>
      </w:r>
      <w:r w:rsidR="00F75C28" w:rsidRPr="008235C9">
        <w:t>l'</w:t>
      </w:r>
      <w:r w:rsidR="00A7023E" w:rsidRPr="008235C9">
        <w:t xml:space="preserve">appui </w:t>
      </w:r>
      <w:r w:rsidR="00F75C28" w:rsidRPr="008235C9">
        <w:t xml:space="preserve">apporté </w:t>
      </w:r>
      <w:r w:rsidR="00A7023E" w:rsidRPr="008235C9">
        <w:t xml:space="preserve">et </w:t>
      </w:r>
      <w:r w:rsidR="00F75C28" w:rsidRPr="008235C9">
        <w:t>l'esprit de</w:t>
      </w:r>
      <w:r w:rsidR="00A7023E" w:rsidRPr="008235C9">
        <w:t xml:space="preserve"> coopération </w:t>
      </w:r>
      <w:r w:rsidR="00F75C28" w:rsidRPr="008235C9">
        <w:t>dont elles ont fait preuve afin</w:t>
      </w:r>
      <w:r w:rsidR="00A7023E" w:rsidRPr="008235C9">
        <w:t xml:space="preserve"> de parvenir à un consensus.</w:t>
      </w:r>
    </w:p>
    <w:p w14:paraId="3956A3A6" w14:textId="5D63A768" w:rsidR="00F52F65" w:rsidRPr="008235C9" w:rsidRDefault="00F52F65" w:rsidP="00C77ACD">
      <w:r w:rsidRPr="008235C9">
        <w:t>1.4</w:t>
      </w:r>
      <w:r w:rsidRPr="008235C9">
        <w:tab/>
        <w:t xml:space="preserve">Il est </w:t>
      </w:r>
      <w:r w:rsidRPr="008235C9">
        <w:rPr>
          <w:b/>
          <w:bCs/>
        </w:rPr>
        <w:t>pris note</w:t>
      </w:r>
      <w:r w:rsidRPr="008235C9">
        <w:t xml:space="preserve"> du rapport verbal </w:t>
      </w:r>
      <w:r w:rsidR="00A7023E" w:rsidRPr="008235C9">
        <w:t>du</w:t>
      </w:r>
      <w:r w:rsidRPr="008235C9">
        <w:t xml:space="preserve"> Président de la Commission 6.</w:t>
      </w:r>
    </w:p>
    <w:p w14:paraId="155A88AD" w14:textId="29DC52E2" w:rsidR="00F52F65" w:rsidRPr="008235C9" w:rsidRDefault="00F52F65" w:rsidP="00C77ACD">
      <w:r w:rsidRPr="008235C9">
        <w:t>1.5</w:t>
      </w:r>
      <w:r w:rsidRPr="008235C9">
        <w:tab/>
      </w:r>
      <w:r w:rsidR="00A7023E" w:rsidRPr="008235C9">
        <w:t xml:space="preserve">Le </w:t>
      </w:r>
      <w:r w:rsidR="00A7023E" w:rsidRPr="008235C9">
        <w:rPr>
          <w:b/>
          <w:bCs/>
        </w:rPr>
        <w:t xml:space="preserve">Président de la Commission 7 </w:t>
      </w:r>
      <w:r w:rsidR="00A7023E" w:rsidRPr="008235C9">
        <w:t>indique que sa Commission se tient prête à travailler tard dans la nuit pour préparer les s</w:t>
      </w:r>
      <w:r w:rsidR="00F75C28" w:rsidRPr="008235C9">
        <w:t>é</w:t>
      </w:r>
      <w:r w:rsidR="00A7023E" w:rsidRPr="008235C9">
        <w:t>rie</w:t>
      </w:r>
      <w:r w:rsidR="00F75C28" w:rsidRPr="008235C9">
        <w:t>s</w:t>
      </w:r>
      <w:r w:rsidR="00A7023E" w:rsidRPr="008235C9">
        <w:t xml:space="preserve"> de textes qui seront soumises à la séance plénière le lendemain.</w:t>
      </w:r>
    </w:p>
    <w:p w14:paraId="42ACBD2D" w14:textId="655BFAEE" w:rsidR="00F52F65" w:rsidRPr="008235C9" w:rsidRDefault="00F52F65" w:rsidP="00C77ACD">
      <w:r w:rsidRPr="008235C9">
        <w:t>1.6</w:t>
      </w:r>
      <w:r w:rsidRPr="008235C9">
        <w:tab/>
        <w:t xml:space="preserve">Il est </w:t>
      </w:r>
      <w:r w:rsidRPr="008235C9">
        <w:rPr>
          <w:b/>
          <w:bCs/>
        </w:rPr>
        <w:t>pris note</w:t>
      </w:r>
      <w:r w:rsidRPr="008235C9">
        <w:t xml:space="preserve"> du rapport verbal </w:t>
      </w:r>
      <w:r w:rsidR="00A7023E" w:rsidRPr="008235C9">
        <w:t>du</w:t>
      </w:r>
      <w:r w:rsidRPr="008235C9">
        <w:t xml:space="preserve"> Président de la Commission 7.</w:t>
      </w:r>
    </w:p>
    <w:p w14:paraId="73D7B2BF" w14:textId="2A692813" w:rsidR="00F52F65" w:rsidRPr="008235C9" w:rsidRDefault="00F52F65" w:rsidP="00C77ACD">
      <w:pPr>
        <w:pStyle w:val="Heading1"/>
      </w:pPr>
      <w:r w:rsidRPr="008235C9">
        <w:t>2</w:t>
      </w:r>
      <w:r w:rsidRPr="008235C9">
        <w:tab/>
      </w:r>
      <w:r w:rsidR="00A7023E" w:rsidRPr="008235C9">
        <w:t>Quatrième rapport de la Commission 4 à la plénière</w:t>
      </w:r>
    </w:p>
    <w:p w14:paraId="759789C9" w14:textId="4B3911E9" w:rsidR="00F52F65" w:rsidRPr="008235C9" w:rsidRDefault="00F52F65" w:rsidP="00C77ACD">
      <w:r w:rsidRPr="008235C9">
        <w:t>2.1</w:t>
      </w:r>
      <w:r w:rsidRPr="008235C9">
        <w:tab/>
      </w:r>
      <w:r w:rsidR="008632F5" w:rsidRPr="008235C9">
        <w:t xml:space="preserve">Le </w:t>
      </w:r>
      <w:r w:rsidR="008632F5" w:rsidRPr="008235C9">
        <w:rPr>
          <w:b/>
          <w:bCs/>
        </w:rPr>
        <w:t>Président de la Commission 4</w:t>
      </w:r>
      <w:r w:rsidR="008632F5" w:rsidRPr="008235C9">
        <w:t xml:space="preserve"> présente le Document 476, qui contient le quatriè</w:t>
      </w:r>
      <w:r w:rsidR="00C77ACD" w:rsidRPr="008235C9">
        <w:t>m</w:t>
      </w:r>
      <w:r w:rsidR="008632F5" w:rsidRPr="008235C9">
        <w:t>e</w:t>
      </w:r>
      <w:r w:rsidR="00B77458" w:rsidRPr="008235C9">
        <w:t> </w:t>
      </w:r>
      <w:r w:rsidR="008632F5" w:rsidRPr="008235C9">
        <w:t xml:space="preserve">rapport de la </w:t>
      </w:r>
      <w:r w:rsidR="00F75C28" w:rsidRPr="008235C9">
        <w:t>C</w:t>
      </w:r>
      <w:r w:rsidR="008632F5" w:rsidRPr="008235C9">
        <w:t xml:space="preserve">ommission à la plénière, concernant le point 1.2 de l'ordre du jour (bande de fréquences </w:t>
      </w:r>
      <w:r w:rsidR="005E702F" w:rsidRPr="008235C9">
        <w:t>3</w:t>
      </w:r>
      <w:r w:rsidR="00C77ACD" w:rsidRPr="008235C9">
        <w:t> </w:t>
      </w:r>
      <w:r w:rsidR="005E702F" w:rsidRPr="008235C9">
        <w:t>300</w:t>
      </w:r>
      <w:r w:rsidR="00C77ACD" w:rsidRPr="008235C9">
        <w:noBreakHyphen/>
      </w:r>
      <w:r w:rsidR="005E702F" w:rsidRPr="008235C9">
        <w:t>3</w:t>
      </w:r>
      <w:r w:rsidR="00C77ACD" w:rsidRPr="008235C9">
        <w:t> </w:t>
      </w:r>
      <w:r w:rsidR="005E702F" w:rsidRPr="008235C9">
        <w:t>400</w:t>
      </w:r>
      <w:r w:rsidR="00C77ACD" w:rsidRPr="008235C9">
        <w:t> </w:t>
      </w:r>
      <w:r w:rsidR="005E702F" w:rsidRPr="008235C9">
        <w:t xml:space="preserve">MHz en Région 2). Il est proposé que le texte </w:t>
      </w:r>
      <w:r w:rsidR="00F75C28" w:rsidRPr="008235C9">
        <w:t>ci-après</w:t>
      </w:r>
      <w:r w:rsidR="005E702F" w:rsidRPr="008235C9">
        <w:t>, qui figure dans le Document 476, soit approuvé en même temps que le Document 484 et soit consigné au procès</w:t>
      </w:r>
      <w:r w:rsidR="00C77ACD" w:rsidRPr="008235C9">
        <w:noBreakHyphen/>
      </w:r>
      <w:r w:rsidR="005E702F" w:rsidRPr="008235C9">
        <w:t>verbal de la plénière:</w:t>
      </w:r>
    </w:p>
    <w:p w14:paraId="0F84913C" w14:textId="7CD5BF7A" w:rsidR="00F52F65" w:rsidRPr="008235C9" w:rsidRDefault="00F52F65" w:rsidP="00C77ACD">
      <w:r w:rsidRPr="008235C9">
        <w:t>«Concernant l'application des renvois </w:t>
      </w:r>
      <w:r w:rsidRPr="008235C9">
        <w:rPr>
          <w:b/>
          <w:bCs/>
        </w:rPr>
        <w:t>5.A12</w:t>
      </w:r>
      <w:r w:rsidRPr="008235C9">
        <w:t xml:space="preserve"> et </w:t>
      </w:r>
      <w:r w:rsidRPr="008235C9">
        <w:rPr>
          <w:b/>
          <w:bCs/>
        </w:rPr>
        <w:t>5.429D</w:t>
      </w:r>
      <w:r w:rsidRPr="008235C9">
        <w:t xml:space="preserve"> du RR, le numéro </w:t>
      </w:r>
      <w:r w:rsidRPr="008235C9">
        <w:rPr>
          <w:b/>
          <w:bCs/>
        </w:rPr>
        <w:t>4.8</w:t>
      </w:r>
      <w:r w:rsidRPr="008235C9">
        <w:t xml:space="preserve"> du RR s'applique. Le service de radiolocalisation fonctionnant dans les pays de la Région 1 qui sont voisins de la Région 2 jouit du même statut réglementaire vis-à-vis du service mobile dans la Région 2 que le service de radiolocalisation dans la Région 2. L'expression «pays voisins» mentionnée au numéro </w:t>
      </w:r>
      <w:r w:rsidRPr="008235C9">
        <w:rPr>
          <w:b/>
          <w:bCs/>
        </w:rPr>
        <w:t>5.429D</w:t>
      </w:r>
      <w:r w:rsidRPr="008235C9">
        <w:t xml:space="preserve"> du RR englobe les pays de la Région 1 qui sont voisins de la Région 2.»</w:t>
      </w:r>
    </w:p>
    <w:p w14:paraId="39135038" w14:textId="7DB54827" w:rsidR="00F52F65" w:rsidRPr="008235C9" w:rsidRDefault="00F52F65" w:rsidP="00C77ACD">
      <w:r w:rsidRPr="008235C9">
        <w:t>2.2</w:t>
      </w:r>
      <w:r w:rsidRPr="008235C9">
        <w:tab/>
      </w:r>
      <w:r w:rsidR="005E702F" w:rsidRPr="008235C9">
        <w:t xml:space="preserve">Il en est ainsi </w:t>
      </w:r>
      <w:r w:rsidR="005E702F" w:rsidRPr="008235C9">
        <w:rPr>
          <w:b/>
          <w:bCs/>
        </w:rPr>
        <w:t>décidé</w:t>
      </w:r>
      <w:r w:rsidR="005E702F" w:rsidRPr="008235C9">
        <w:t xml:space="preserve"> et le Document 476 est </w:t>
      </w:r>
      <w:r w:rsidR="005E702F" w:rsidRPr="008235C9">
        <w:rPr>
          <w:b/>
          <w:bCs/>
        </w:rPr>
        <w:t>approuvé</w:t>
      </w:r>
      <w:r w:rsidR="005E702F" w:rsidRPr="008235C9">
        <w:t>.</w:t>
      </w:r>
    </w:p>
    <w:p w14:paraId="3811D441" w14:textId="39791233" w:rsidR="00F52F65" w:rsidRPr="008235C9" w:rsidRDefault="00F52F65" w:rsidP="00C77ACD">
      <w:pPr>
        <w:pStyle w:val="Heading1"/>
      </w:pPr>
      <w:r w:rsidRPr="008235C9">
        <w:t>3</w:t>
      </w:r>
      <w:r w:rsidRPr="008235C9">
        <w:tab/>
        <w:t>Quarante-quatrième série de textes soumis par la Commission de rédaction en première lecture (B44) (Document 484)</w:t>
      </w:r>
    </w:p>
    <w:p w14:paraId="19D26E27" w14:textId="15B2C92E" w:rsidR="00F52F65" w:rsidRPr="008235C9" w:rsidRDefault="00F52F65" w:rsidP="00C77ACD">
      <w:r w:rsidRPr="008235C9">
        <w:t>3.1</w:t>
      </w:r>
      <w:r w:rsidRPr="008235C9">
        <w:tab/>
      </w:r>
      <w:r w:rsidR="00F75C28" w:rsidRPr="008235C9">
        <w:t xml:space="preserve">Le </w:t>
      </w:r>
      <w:r w:rsidR="00F75C28" w:rsidRPr="008235C9">
        <w:rPr>
          <w:b/>
          <w:bCs/>
        </w:rPr>
        <w:t xml:space="preserve">Président de la Commission de rédaction </w:t>
      </w:r>
      <w:r w:rsidR="00F75C28" w:rsidRPr="008235C9">
        <w:t>présente le Document 484</w:t>
      </w:r>
      <w:r w:rsidR="002B3B1A" w:rsidRPr="008235C9">
        <w:t>.</w:t>
      </w:r>
    </w:p>
    <w:p w14:paraId="2BB4696F" w14:textId="3B3FD399" w:rsidR="00F52F65" w:rsidRPr="008235C9" w:rsidRDefault="00F52F65" w:rsidP="00C77ACD">
      <w:r w:rsidRPr="008235C9">
        <w:t>3.2</w:t>
      </w:r>
      <w:r w:rsidRPr="008235C9">
        <w:tab/>
      </w:r>
      <w:r w:rsidR="002B3B1A" w:rsidRPr="008235C9">
        <w:t xml:space="preserve">Le </w:t>
      </w:r>
      <w:r w:rsidR="002B3B1A" w:rsidRPr="008235C9">
        <w:rPr>
          <w:b/>
          <w:bCs/>
        </w:rPr>
        <w:t>Président</w:t>
      </w:r>
      <w:r w:rsidR="002B3B1A" w:rsidRPr="008235C9">
        <w:t xml:space="preserve"> invite les participants à examiner le Document 484.</w:t>
      </w:r>
    </w:p>
    <w:p w14:paraId="3CBC1CCB" w14:textId="54D53613" w:rsidR="00F52F65" w:rsidRPr="008235C9" w:rsidRDefault="00F52F65" w:rsidP="00C77ACD">
      <w:pPr>
        <w:pStyle w:val="Headingb"/>
      </w:pPr>
      <w:r w:rsidRPr="008235C9">
        <w:t>Article 5 (MOD Table</w:t>
      </w:r>
      <w:r w:rsidR="002B3B1A" w:rsidRPr="008235C9">
        <w:t>au</w:t>
      </w:r>
      <w:r w:rsidRPr="008235C9">
        <w:t xml:space="preserve"> 2 700-3 600 MHz, ADD 5.A12, MOD 5.429C, MOD 5.429D)</w:t>
      </w:r>
    </w:p>
    <w:p w14:paraId="34724758" w14:textId="12884C06" w:rsidR="00F52F65" w:rsidRPr="008235C9" w:rsidRDefault="00F52F65" w:rsidP="00C77ACD">
      <w:r w:rsidRPr="008235C9">
        <w:t>3.3</w:t>
      </w:r>
      <w:r w:rsidRPr="008235C9">
        <w:tab/>
      </w:r>
      <w:r w:rsidR="007F7536" w:rsidRPr="008235C9">
        <w:rPr>
          <w:b/>
          <w:bCs/>
        </w:rPr>
        <w:t>Approuvé</w:t>
      </w:r>
      <w:r w:rsidR="007F7536" w:rsidRPr="008235C9">
        <w:t>.</w:t>
      </w:r>
    </w:p>
    <w:p w14:paraId="00187D3C" w14:textId="0FC03C2C" w:rsidR="00F52F65" w:rsidRPr="008235C9" w:rsidRDefault="00F52F65" w:rsidP="00C77ACD">
      <w:r w:rsidRPr="008235C9">
        <w:t>3.4</w:t>
      </w:r>
      <w:r w:rsidRPr="008235C9">
        <w:tab/>
      </w:r>
      <w:r w:rsidR="007F7536" w:rsidRPr="008235C9">
        <w:t xml:space="preserve">La quarante-quatrième série de textes soumis par la Commission de rédaction en première lecture (B44) (Document 484) est </w:t>
      </w:r>
      <w:r w:rsidR="007F7536" w:rsidRPr="008235C9">
        <w:rPr>
          <w:b/>
          <w:bCs/>
        </w:rPr>
        <w:t>approuvée</w:t>
      </w:r>
      <w:r w:rsidR="007F7536" w:rsidRPr="008235C9">
        <w:t>.</w:t>
      </w:r>
    </w:p>
    <w:p w14:paraId="0DC0E6B9" w14:textId="03FC389E" w:rsidR="007F7536" w:rsidRPr="008235C9" w:rsidRDefault="007F7536" w:rsidP="00C77ACD">
      <w:pPr>
        <w:pStyle w:val="Heading1"/>
      </w:pPr>
      <w:r w:rsidRPr="008235C9">
        <w:lastRenderedPageBreak/>
        <w:t>4</w:t>
      </w:r>
      <w:r w:rsidRPr="008235C9">
        <w:tab/>
        <w:t>Quarante-quatrième série de textes soumis par la Commission de rédaction (B44) – seconde lecture (Document 484)</w:t>
      </w:r>
    </w:p>
    <w:p w14:paraId="0E0055C4" w14:textId="1D4AA840" w:rsidR="007F7536" w:rsidRPr="008235C9" w:rsidRDefault="007F7536" w:rsidP="00C77ACD">
      <w:r w:rsidRPr="008235C9">
        <w:t>4.1</w:t>
      </w:r>
      <w:r w:rsidRPr="008235C9">
        <w:tab/>
        <w:t xml:space="preserve">La quarante-quatrième série de textes soumis par la Commission de rédaction (B44) (Document 484) est </w:t>
      </w:r>
      <w:r w:rsidRPr="008235C9">
        <w:rPr>
          <w:b/>
          <w:bCs/>
        </w:rPr>
        <w:t xml:space="preserve">approuvée </w:t>
      </w:r>
      <w:r w:rsidRPr="008235C9">
        <w:t>en deuxième lecture.</w:t>
      </w:r>
    </w:p>
    <w:p w14:paraId="14F144A0" w14:textId="26668CAD" w:rsidR="007F7536" w:rsidRPr="008235C9" w:rsidRDefault="007F7536" w:rsidP="00C77ACD">
      <w:pPr>
        <w:pStyle w:val="Heading1"/>
      </w:pPr>
      <w:r w:rsidRPr="008235C9">
        <w:t>5</w:t>
      </w:r>
      <w:r w:rsidRPr="008235C9">
        <w:tab/>
      </w:r>
      <w:r w:rsidR="002B3B1A" w:rsidRPr="008235C9">
        <w:t xml:space="preserve">Approbation de la Résolution 12 (Rév.CMR-23) </w:t>
      </w:r>
      <w:r w:rsidR="00C77ACD" w:rsidRPr="008235C9">
        <w:t>–</w:t>
      </w:r>
      <w:r w:rsidR="002B3B1A" w:rsidRPr="008235C9">
        <w:t xml:space="preserve"> </w:t>
      </w:r>
      <w:r w:rsidR="000F2719" w:rsidRPr="008235C9">
        <w:t>p</w:t>
      </w:r>
      <w:r w:rsidR="002B3B1A" w:rsidRPr="008235C9">
        <w:t>remière et seconde lecture</w:t>
      </w:r>
    </w:p>
    <w:p w14:paraId="1F16D653" w14:textId="17BCBA25" w:rsidR="007F7536" w:rsidRPr="008235C9" w:rsidRDefault="007F7536" w:rsidP="00C77ACD">
      <w:r w:rsidRPr="008235C9">
        <w:t>5.1</w:t>
      </w:r>
      <w:r w:rsidRPr="008235C9">
        <w:tab/>
      </w:r>
      <w:r w:rsidR="002B3B1A" w:rsidRPr="008235C9">
        <w:t xml:space="preserve">La </w:t>
      </w:r>
      <w:r w:rsidR="002B3B1A" w:rsidRPr="008235C9">
        <w:rPr>
          <w:b/>
          <w:bCs/>
        </w:rPr>
        <w:t>Secrétaire générale</w:t>
      </w:r>
      <w:r w:rsidR="002B3B1A" w:rsidRPr="008235C9">
        <w:t xml:space="preserve"> présente le Document 505, qui contient le texte de la Résolution</w:t>
      </w:r>
      <w:r w:rsidR="00C77ACD" w:rsidRPr="008235C9">
        <w:t> </w:t>
      </w:r>
      <w:r w:rsidR="002B3B1A" w:rsidRPr="008235C9">
        <w:t xml:space="preserve">12 (Rév.CMR-23) relative à l'assistance et à l'appui à la Palestine. La proposition </w:t>
      </w:r>
      <w:r w:rsidR="00587A78" w:rsidRPr="008235C9">
        <w:t xml:space="preserve">de rédaction d'un texte révisé a été soumise au départ par le Groupe chargé de la gestion du spectre dans les États arabes. Elle a été </w:t>
      </w:r>
      <w:r w:rsidR="001F71DD" w:rsidRPr="008235C9">
        <w:t xml:space="preserve">longuement </w:t>
      </w:r>
      <w:r w:rsidR="00587A78" w:rsidRPr="008235C9">
        <w:t>examinée en marge de la</w:t>
      </w:r>
      <w:r w:rsidR="001F71DD" w:rsidRPr="008235C9">
        <w:t xml:space="preserve"> C</w:t>
      </w:r>
      <w:r w:rsidR="00587A78" w:rsidRPr="008235C9">
        <w:t>onférence</w:t>
      </w:r>
      <w:r w:rsidR="009C235B" w:rsidRPr="008235C9">
        <w:t xml:space="preserve"> </w:t>
      </w:r>
      <w:r w:rsidR="009C235B" w:rsidRPr="008235C9">
        <w:t>par les parties concernées</w:t>
      </w:r>
      <w:r w:rsidR="001F71DD" w:rsidRPr="008235C9">
        <w:t>,</w:t>
      </w:r>
      <w:r w:rsidR="00587A78" w:rsidRPr="008235C9">
        <w:t xml:space="preserve"> et la Secrétaire générale est heureuse de pouvoir présenter à la plénière le texte modifiée de cette Résolution pour approbation. Ce texte est un compromis délicat qui aura des retombées positives pour la poursuite du développement du secteur des télécommunications en Palestine. En sa qualité de Secrétaire générale, et conformément aux dispositions de cette Résolution, elle </w:t>
      </w:r>
      <w:r w:rsidR="00D72B76" w:rsidRPr="008235C9">
        <w:t>s'engagera personnellement pour garantir la mise en œuvre de cette Résolution et soumettra</w:t>
      </w:r>
      <w:r w:rsidR="000F2719" w:rsidRPr="008235C9">
        <w:t xml:space="preserve"> au Conseil un rapport sur les progrès accom</w:t>
      </w:r>
      <w:r w:rsidR="001F71DD" w:rsidRPr="008235C9">
        <w:t>p</w:t>
      </w:r>
      <w:r w:rsidR="000F2719" w:rsidRPr="008235C9">
        <w:t>lis. Elle remercie toutes celles et tous ceux qui</w:t>
      </w:r>
      <w:r w:rsidR="001F71DD" w:rsidRPr="008235C9">
        <w:t xml:space="preserve"> </w:t>
      </w:r>
      <w:r w:rsidR="000F2719" w:rsidRPr="008235C9">
        <w:t xml:space="preserve">ont pris part aux négociations, </w:t>
      </w:r>
      <w:r w:rsidR="001F71DD" w:rsidRPr="008235C9">
        <w:t>placées sous le signe de la</w:t>
      </w:r>
      <w:r w:rsidR="000F2719" w:rsidRPr="008235C9">
        <w:t xml:space="preserve"> </w:t>
      </w:r>
      <w:r w:rsidR="00D63665" w:rsidRPr="008235C9">
        <w:t>coopération</w:t>
      </w:r>
      <w:r w:rsidR="000F2719" w:rsidRPr="008235C9">
        <w:t>. Elle propose que le document soit approuvé par acclamation.</w:t>
      </w:r>
    </w:p>
    <w:p w14:paraId="4EBCE678" w14:textId="4FAB6CCB" w:rsidR="007F7536" w:rsidRPr="008235C9" w:rsidRDefault="007F7536" w:rsidP="00C77ACD">
      <w:r w:rsidRPr="008235C9">
        <w:t>5.2</w:t>
      </w:r>
      <w:r w:rsidRPr="008235C9">
        <w:tab/>
      </w:r>
      <w:r w:rsidR="000F2719" w:rsidRPr="008235C9">
        <w:t xml:space="preserve">La Résolution 12 (Rév.CMR-23) est </w:t>
      </w:r>
      <w:r w:rsidR="000F2719" w:rsidRPr="008235C9">
        <w:rPr>
          <w:b/>
          <w:bCs/>
        </w:rPr>
        <w:t>approuvée</w:t>
      </w:r>
      <w:r w:rsidR="000F2719" w:rsidRPr="008235C9">
        <w:t xml:space="preserve"> en première et seconde lecture.</w:t>
      </w:r>
    </w:p>
    <w:p w14:paraId="74B11B84" w14:textId="00872149" w:rsidR="007F7536" w:rsidRPr="008235C9" w:rsidRDefault="007F7536" w:rsidP="00C77ACD">
      <w:pPr>
        <w:pStyle w:val="Heading1"/>
        <w:rPr>
          <w:szCs w:val="28"/>
        </w:rPr>
      </w:pPr>
      <w:r w:rsidRPr="008235C9">
        <w:t>6</w:t>
      </w:r>
      <w:r w:rsidRPr="008235C9">
        <w:tab/>
        <w:t xml:space="preserve">Quarante-neuvième série de textes soumis par la Commission de rédaction en première lecture (B49) </w:t>
      </w:r>
      <w:r w:rsidRPr="008235C9">
        <w:rPr>
          <w:szCs w:val="28"/>
        </w:rPr>
        <w:t>(Document 500)</w:t>
      </w:r>
    </w:p>
    <w:p w14:paraId="4BCE792D" w14:textId="2A953C9E" w:rsidR="007F7536" w:rsidRPr="008235C9" w:rsidRDefault="007F7536" w:rsidP="00C77ACD">
      <w:r w:rsidRPr="008235C9">
        <w:t>6.1</w:t>
      </w:r>
      <w:r w:rsidRPr="008235C9">
        <w:tab/>
      </w:r>
      <w:r w:rsidR="000F2719" w:rsidRPr="008235C9">
        <w:t xml:space="preserve">Le </w:t>
      </w:r>
      <w:r w:rsidR="000F2719" w:rsidRPr="008235C9">
        <w:rPr>
          <w:b/>
          <w:bCs/>
        </w:rPr>
        <w:t xml:space="preserve">Président de la Commission de rédaction </w:t>
      </w:r>
      <w:r w:rsidR="000F2719" w:rsidRPr="008235C9">
        <w:t>présente le Document 500.</w:t>
      </w:r>
    </w:p>
    <w:p w14:paraId="07554A4D" w14:textId="45C483C5" w:rsidR="007F7536" w:rsidRPr="008235C9" w:rsidRDefault="007F7536" w:rsidP="00C77ACD">
      <w:r w:rsidRPr="008235C9">
        <w:t>6.2</w:t>
      </w:r>
      <w:r w:rsidRPr="008235C9">
        <w:tab/>
      </w:r>
      <w:r w:rsidR="000F2719" w:rsidRPr="008235C9">
        <w:t xml:space="preserve">Le </w:t>
      </w:r>
      <w:r w:rsidR="000F2719" w:rsidRPr="008235C9">
        <w:rPr>
          <w:b/>
          <w:bCs/>
        </w:rPr>
        <w:t>Président</w:t>
      </w:r>
      <w:r w:rsidR="000F2719" w:rsidRPr="008235C9">
        <w:t xml:space="preserve"> invite les participants à examiner le Document 500.</w:t>
      </w:r>
    </w:p>
    <w:p w14:paraId="5162BD03" w14:textId="0EF9A4FB" w:rsidR="007F7536" w:rsidRPr="008235C9" w:rsidRDefault="007F7536" w:rsidP="00C77ACD">
      <w:pPr>
        <w:pStyle w:val="Headingb"/>
      </w:pPr>
      <w:r w:rsidRPr="008235C9">
        <w:t>Article 5 (MOD Table</w:t>
      </w:r>
      <w:r w:rsidR="000F2719" w:rsidRPr="008235C9">
        <w:t>au</w:t>
      </w:r>
      <w:r w:rsidRPr="008235C9">
        <w:t xml:space="preserve"> 10-10</w:t>
      </w:r>
      <w:r w:rsidR="000F2719" w:rsidRPr="008235C9">
        <w:t>,</w:t>
      </w:r>
      <w:r w:rsidRPr="008235C9">
        <w:t>7 GHz, ADD 5.10B12, MOD 5.480, MOD 5.481); ADD</w:t>
      </w:r>
      <w:r w:rsidR="00D63665" w:rsidRPr="008235C9">
        <w:t> </w:t>
      </w:r>
      <w:r w:rsidRPr="008235C9">
        <w:t xml:space="preserve">Résolution COM4/6 (CMR-23) – </w:t>
      </w:r>
      <w:r w:rsidR="000F2719" w:rsidRPr="008235C9">
        <w:t>Composante de Terre des Télécommunications mobiles</w:t>
      </w:r>
      <w:r w:rsidR="00D63665" w:rsidRPr="008235C9">
        <w:t> </w:t>
      </w:r>
      <w:r w:rsidR="000F2719" w:rsidRPr="008235C9">
        <w:t>international</w:t>
      </w:r>
      <w:r w:rsidR="001F71DD" w:rsidRPr="008235C9">
        <w:t>e</w:t>
      </w:r>
      <w:r w:rsidR="000F2719" w:rsidRPr="008235C9">
        <w:t>s dans les bandes de fréquences 10-10,5 GHz en Région 2</w:t>
      </w:r>
    </w:p>
    <w:p w14:paraId="2B5AC956" w14:textId="51DF8CE8" w:rsidR="007F7536" w:rsidRPr="008235C9" w:rsidRDefault="007F7536" w:rsidP="00C77ACD">
      <w:r w:rsidRPr="008235C9">
        <w:t>6.3</w:t>
      </w:r>
      <w:r w:rsidRPr="008235C9">
        <w:tab/>
      </w:r>
      <w:r w:rsidRPr="008235C9">
        <w:rPr>
          <w:b/>
          <w:bCs/>
        </w:rPr>
        <w:t>Approuvés</w:t>
      </w:r>
      <w:r w:rsidRPr="008235C9">
        <w:t>.</w:t>
      </w:r>
    </w:p>
    <w:p w14:paraId="44F6C1CC" w14:textId="75CE329A" w:rsidR="007F7536" w:rsidRPr="008235C9" w:rsidRDefault="007F7536" w:rsidP="00C77ACD">
      <w:r w:rsidRPr="008235C9">
        <w:t>6.4</w:t>
      </w:r>
      <w:r w:rsidRPr="008235C9">
        <w:tab/>
        <w:t xml:space="preserve">La quarante-neuvième série de textes soumis par la Commission de rédaction en première lecture (B49) (Document 500) est </w:t>
      </w:r>
      <w:r w:rsidRPr="008235C9">
        <w:rPr>
          <w:b/>
          <w:bCs/>
        </w:rPr>
        <w:t>approuvée</w:t>
      </w:r>
      <w:r w:rsidRPr="008235C9">
        <w:t>.</w:t>
      </w:r>
    </w:p>
    <w:p w14:paraId="3A4DC6C9" w14:textId="11EAC6C6" w:rsidR="007F7536" w:rsidRPr="008235C9" w:rsidRDefault="007F7536" w:rsidP="00C77ACD">
      <w:pPr>
        <w:pStyle w:val="Heading1"/>
      </w:pPr>
      <w:r w:rsidRPr="008235C9">
        <w:t>7</w:t>
      </w:r>
      <w:r w:rsidRPr="008235C9">
        <w:tab/>
        <w:t>Quarante-neuvième série de textes soumis par la Commission de rédaction (B49) – seconde lecture (Document 500)</w:t>
      </w:r>
    </w:p>
    <w:p w14:paraId="114DBCA3" w14:textId="30E647F1" w:rsidR="007F7536" w:rsidRPr="008235C9" w:rsidRDefault="007F7536" w:rsidP="00C77ACD">
      <w:r w:rsidRPr="008235C9">
        <w:t>7.1</w:t>
      </w:r>
      <w:r w:rsidRPr="008235C9">
        <w:tab/>
        <w:t xml:space="preserve">La quarante-neuvième série de textes soumis par la Commission de rédaction (B49) (Document 500) est </w:t>
      </w:r>
      <w:r w:rsidRPr="008235C9">
        <w:rPr>
          <w:b/>
          <w:bCs/>
        </w:rPr>
        <w:t xml:space="preserve">approuvée </w:t>
      </w:r>
      <w:r w:rsidRPr="008235C9">
        <w:t>en deuxième lecture.</w:t>
      </w:r>
    </w:p>
    <w:p w14:paraId="15A574CA" w14:textId="6E5DC6CB" w:rsidR="007F7536" w:rsidRPr="008235C9" w:rsidRDefault="007F7536" w:rsidP="00C77ACD">
      <w:pPr>
        <w:pStyle w:val="Heading1"/>
      </w:pPr>
      <w:r w:rsidRPr="008235C9">
        <w:t>8</w:t>
      </w:r>
      <w:r w:rsidRPr="008235C9">
        <w:tab/>
        <w:t>Cinquantième série de textes soumis par la Commission de rédaction en première lecture (B50) (Document 501)</w:t>
      </w:r>
    </w:p>
    <w:p w14:paraId="3E8B57CE" w14:textId="26914F71" w:rsidR="007F7536" w:rsidRPr="008235C9" w:rsidRDefault="007F7536" w:rsidP="00C77ACD">
      <w:r w:rsidRPr="008235C9">
        <w:t>8.1</w:t>
      </w:r>
      <w:r w:rsidRPr="008235C9">
        <w:tab/>
      </w:r>
      <w:r w:rsidR="000F2719" w:rsidRPr="008235C9">
        <w:t xml:space="preserve">Le </w:t>
      </w:r>
      <w:r w:rsidR="000F2719" w:rsidRPr="008235C9">
        <w:rPr>
          <w:b/>
          <w:bCs/>
        </w:rPr>
        <w:t xml:space="preserve">Président de la Commission de rédaction </w:t>
      </w:r>
      <w:r w:rsidR="000F2719" w:rsidRPr="008235C9">
        <w:t>présente le Document 501.</w:t>
      </w:r>
    </w:p>
    <w:p w14:paraId="0198D4C4" w14:textId="0C465E45" w:rsidR="007F7536" w:rsidRPr="008235C9" w:rsidRDefault="007F7536" w:rsidP="00C77ACD">
      <w:r w:rsidRPr="008235C9">
        <w:t>8.2</w:t>
      </w:r>
      <w:r w:rsidRPr="008235C9">
        <w:tab/>
      </w:r>
      <w:r w:rsidR="000F2719" w:rsidRPr="008235C9">
        <w:t xml:space="preserve">Le </w:t>
      </w:r>
      <w:r w:rsidR="000F2719" w:rsidRPr="008235C9">
        <w:rPr>
          <w:b/>
          <w:bCs/>
        </w:rPr>
        <w:t>Président</w:t>
      </w:r>
      <w:r w:rsidR="000F2719" w:rsidRPr="008235C9">
        <w:t xml:space="preserve"> invite les participants à examiner le Document 501.</w:t>
      </w:r>
    </w:p>
    <w:p w14:paraId="3D9EE409" w14:textId="35F8D6C0" w:rsidR="007F7536" w:rsidRPr="008235C9" w:rsidRDefault="007F7536" w:rsidP="00D63665">
      <w:pPr>
        <w:pStyle w:val="Headingb"/>
        <w:keepLines/>
      </w:pPr>
      <w:r w:rsidRPr="008235C9">
        <w:lastRenderedPageBreak/>
        <w:t>Article 5 (MOD Table</w:t>
      </w:r>
      <w:r w:rsidR="000F2719" w:rsidRPr="008235C9">
        <w:t>au</w:t>
      </w:r>
      <w:r w:rsidRPr="008235C9">
        <w:t xml:space="preserve"> 1 610-1 660 MHz, ADD 5.111Z, MOD 5.368, MOD</w:t>
      </w:r>
      <w:r w:rsidR="00D63665" w:rsidRPr="008235C9">
        <w:t xml:space="preserve"> </w:t>
      </w:r>
      <w:r w:rsidRPr="008235C9">
        <w:t>Table</w:t>
      </w:r>
      <w:r w:rsidR="000F2719" w:rsidRPr="008235C9">
        <w:t>au</w:t>
      </w:r>
      <w:r w:rsidR="00D63665" w:rsidRPr="008235C9">
        <w:t> </w:t>
      </w:r>
      <w:r w:rsidRPr="008235C9">
        <w:t>2</w:t>
      </w:r>
      <w:r w:rsidR="00D63665" w:rsidRPr="008235C9">
        <w:t> </w:t>
      </w:r>
      <w:r w:rsidRPr="008235C9">
        <w:t>170</w:t>
      </w:r>
      <w:r w:rsidR="00D63665" w:rsidRPr="008235C9">
        <w:noBreakHyphen/>
      </w:r>
      <w:r w:rsidRPr="008235C9">
        <w:t>2</w:t>
      </w:r>
      <w:r w:rsidR="00D63665" w:rsidRPr="008235C9">
        <w:t> </w:t>
      </w:r>
      <w:r w:rsidRPr="008235C9">
        <w:t>520 MHz); Article 33 (MOD 33.50, MOD 33.53); Appendi</w:t>
      </w:r>
      <w:r w:rsidR="000F2719" w:rsidRPr="008235C9">
        <w:t>ce</w:t>
      </w:r>
      <w:r w:rsidRPr="008235C9">
        <w:t xml:space="preserve"> 15 (MOD</w:t>
      </w:r>
      <w:r w:rsidR="00D63665" w:rsidRPr="008235C9">
        <w:t xml:space="preserve"> </w:t>
      </w:r>
      <w:r w:rsidRPr="008235C9">
        <w:t>Table</w:t>
      </w:r>
      <w:r w:rsidR="000F2719" w:rsidRPr="008235C9">
        <w:t>au</w:t>
      </w:r>
      <w:r w:rsidRPr="008235C9">
        <w:t> 15-2); ADD R</w:t>
      </w:r>
      <w:r w:rsidR="000F2719" w:rsidRPr="008235C9">
        <w:t>é</w:t>
      </w:r>
      <w:r w:rsidRPr="008235C9">
        <w:t xml:space="preserve">solution COM4/5 (CMR-23) </w:t>
      </w:r>
      <w:r w:rsidR="00D63665" w:rsidRPr="008235C9">
        <w:t>–</w:t>
      </w:r>
      <w:r w:rsidRPr="008235C9">
        <w:t xml:space="preserve"> </w:t>
      </w:r>
      <w:r w:rsidR="000F2719" w:rsidRPr="008235C9">
        <w:t>Application provisoire du Règlement des radiocommunications pour la mise</w:t>
      </w:r>
      <w:r w:rsidR="00BA0FBD" w:rsidRPr="008235C9">
        <w:t xml:space="preserve"> </w:t>
      </w:r>
      <w:r w:rsidR="000F2719" w:rsidRPr="008235C9">
        <w:t>en œuvre des nouveaux réseaux à satellite géostationnaire dans le</w:t>
      </w:r>
      <w:r w:rsidR="00BA0FBD" w:rsidRPr="008235C9">
        <w:t xml:space="preserve"> </w:t>
      </w:r>
      <w:r w:rsidR="000F2719" w:rsidRPr="008235C9">
        <w:t>Système mondial de détresse et de sécurité en mer</w:t>
      </w:r>
      <w:r w:rsidRPr="008235C9">
        <w:t>; SUP</w:t>
      </w:r>
      <w:r w:rsidR="00D63665" w:rsidRPr="008235C9">
        <w:t> </w:t>
      </w:r>
      <w:r w:rsidRPr="008235C9">
        <w:t>R</w:t>
      </w:r>
      <w:r w:rsidR="00BA0FBD" w:rsidRPr="008235C9">
        <w:t>é</w:t>
      </w:r>
      <w:r w:rsidRPr="008235C9">
        <w:t>solution</w:t>
      </w:r>
      <w:r w:rsidR="00D63665" w:rsidRPr="008235C9">
        <w:t> </w:t>
      </w:r>
      <w:r w:rsidRPr="008235C9">
        <w:t>361 (Rév.CMR-19)</w:t>
      </w:r>
    </w:p>
    <w:p w14:paraId="0F253838" w14:textId="1566862A" w:rsidR="007F7536" w:rsidRPr="008235C9" w:rsidRDefault="007F7536" w:rsidP="00C77ACD">
      <w:r w:rsidRPr="008235C9">
        <w:t>8.3</w:t>
      </w:r>
      <w:r w:rsidRPr="008235C9">
        <w:tab/>
      </w:r>
      <w:r w:rsidRPr="008235C9">
        <w:rPr>
          <w:b/>
          <w:bCs/>
        </w:rPr>
        <w:t>Approuvés</w:t>
      </w:r>
      <w:r w:rsidRPr="008235C9">
        <w:t>.</w:t>
      </w:r>
    </w:p>
    <w:p w14:paraId="7FE1C11F" w14:textId="486ADDD5" w:rsidR="007F7536" w:rsidRPr="008235C9" w:rsidRDefault="007F7536" w:rsidP="00C77ACD">
      <w:r w:rsidRPr="008235C9">
        <w:t>8.4</w:t>
      </w:r>
      <w:r w:rsidRPr="008235C9">
        <w:tab/>
        <w:t xml:space="preserve">La cinquantième série de textes soumis par la Commission de rédaction en première lecture (B50) (Document 501) est </w:t>
      </w:r>
      <w:r w:rsidRPr="008235C9">
        <w:rPr>
          <w:b/>
          <w:bCs/>
        </w:rPr>
        <w:t>approuvée</w:t>
      </w:r>
      <w:r w:rsidRPr="008235C9">
        <w:t>.</w:t>
      </w:r>
    </w:p>
    <w:p w14:paraId="189A9580" w14:textId="0C4B4EE0" w:rsidR="007F7536" w:rsidRPr="008235C9" w:rsidRDefault="007F7536" w:rsidP="00C77ACD">
      <w:pPr>
        <w:pStyle w:val="Heading1"/>
      </w:pPr>
      <w:r w:rsidRPr="008235C9">
        <w:t>9</w:t>
      </w:r>
      <w:r w:rsidRPr="008235C9">
        <w:tab/>
        <w:t>Cinquantième série de textes soumis par la Commission de rédaction (B50) – seconde lecture (Document 501)</w:t>
      </w:r>
    </w:p>
    <w:p w14:paraId="15102A38" w14:textId="5055491E" w:rsidR="007F7536" w:rsidRPr="008235C9" w:rsidRDefault="007F7536" w:rsidP="00C77ACD">
      <w:r w:rsidRPr="008235C9">
        <w:t>9.1</w:t>
      </w:r>
      <w:r w:rsidRPr="008235C9">
        <w:tab/>
      </w:r>
      <w:r w:rsidR="00E964FB" w:rsidRPr="008235C9">
        <w:t xml:space="preserve">La cinquantième série de textes soumis par la Commission de rédaction (B50) (Document 501) est </w:t>
      </w:r>
      <w:r w:rsidR="00E964FB" w:rsidRPr="008235C9">
        <w:rPr>
          <w:b/>
          <w:bCs/>
        </w:rPr>
        <w:t xml:space="preserve">approuvée </w:t>
      </w:r>
      <w:r w:rsidR="00E964FB" w:rsidRPr="008235C9">
        <w:t>en deuxième lecture.</w:t>
      </w:r>
    </w:p>
    <w:p w14:paraId="5E5A1379" w14:textId="38789E4A" w:rsidR="007F7536" w:rsidRPr="008235C9" w:rsidRDefault="007F7536" w:rsidP="00C77ACD">
      <w:pPr>
        <w:keepNext/>
        <w:keepLines/>
        <w:rPr>
          <w:rFonts w:eastAsia="MS Mincho"/>
          <w:b/>
          <w:bCs/>
          <w:szCs w:val="24"/>
        </w:rPr>
      </w:pPr>
      <w:r w:rsidRPr="008235C9">
        <w:rPr>
          <w:rFonts w:eastAsia="MS Mincho"/>
          <w:b/>
          <w:bCs/>
          <w:szCs w:val="24"/>
        </w:rPr>
        <w:t>La séance est levée à 20 heures.</w:t>
      </w:r>
    </w:p>
    <w:p w14:paraId="75315A1D" w14:textId="065D42F2" w:rsidR="007F7536" w:rsidRPr="008235C9" w:rsidRDefault="007F7536" w:rsidP="00D63665">
      <w:pPr>
        <w:keepNext/>
        <w:keepLines/>
        <w:tabs>
          <w:tab w:val="clear" w:pos="1134"/>
          <w:tab w:val="clear" w:pos="1871"/>
          <w:tab w:val="clear" w:pos="2268"/>
          <w:tab w:val="left" w:pos="7371"/>
        </w:tabs>
        <w:spacing w:before="840"/>
        <w:rPr>
          <w:bCs/>
        </w:rPr>
      </w:pPr>
      <w:r w:rsidRPr="008235C9">
        <w:rPr>
          <w:rFonts w:eastAsia="MS Mincho"/>
          <w:szCs w:val="24"/>
        </w:rPr>
        <w:t>La Secrétaire générale:</w:t>
      </w:r>
      <w:r w:rsidRPr="008235C9">
        <w:rPr>
          <w:rFonts w:eastAsia="MS Mincho"/>
          <w:szCs w:val="24"/>
        </w:rPr>
        <w:tab/>
        <w:t>Le Président:</w:t>
      </w:r>
      <w:r w:rsidRPr="008235C9">
        <w:rPr>
          <w:rFonts w:eastAsia="MS Mincho"/>
          <w:szCs w:val="24"/>
        </w:rPr>
        <w:br/>
        <w:t>D. BOGDAN-MARTIN</w:t>
      </w:r>
      <w:r w:rsidRPr="008235C9">
        <w:rPr>
          <w:rFonts w:eastAsia="MS Mincho"/>
          <w:szCs w:val="24"/>
        </w:rPr>
        <w:tab/>
        <w:t>M. AL RAMSI</w:t>
      </w:r>
    </w:p>
    <w:sectPr w:rsidR="007F7536" w:rsidRPr="008235C9">
      <w:headerReference w:type="default" r:id="rId9"/>
      <w:footerReference w:type="even" r:id="rId10"/>
      <w:footerReference w:type="default" r:id="rId11"/>
      <w:footerReference w:type="first" r:id="rId12"/>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6D890" w14:textId="77777777" w:rsidR="000F7C1B" w:rsidRDefault="000F7C1B">
      <w:r>
        <w:separator/>
      </w:r>
    </w:p>
  </w:endnote>
  <w:endnote w:type="continuationSeparator" w:id="0">
    <w:p w14:paraId="44414127" w14:textId="77777777" w:rsidR="000F7C1B" w:rsidRDefault="000F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06E1" w14:textId="592F4B8B" w:rsidR="00936D25" w:rsidRDefault="00936D25">
    <w:pPr>
      <w:rPr>
        <w:lang w:val="en-US"/>
      </w:rPr>
    </w:pPr>
    <w:r>
      <w:fldChar w:fldCharType="begin"/>
    </w:r>
    <w:r>
      <w:rPr>
        <w:lang w:val="en-US"/>
      </w:rPr>
      <w:instrText xml:space="preserve"> FILENAME \p  \* MERGEFORMAT </w:instrText>
    </w:r>
    <w:r>
      <w:fldChar w:fldCharType="separate"/>
    </w:r>
    <w:r w:rsidR="006A1DD6">
      <w:rPr>
        <w:noProof/>
        <w:lang w:val="en-US"/>
      </w:rPr>
      <w:t>P:\TRAD\F\ITU-R\CONF-R\CMR23\DIV\063FMontage.docx</w:t>
    </w:r>
    <w:r>
      <w:fldChar w:fldCharType="end"/>
    </w:r>
    <w:r>
      <w:rPr>
        <w:lang w:val="en-US"/>
      </w:rPr>
      <w:tab/>
    </w:r>
    <w:r>
      <w:fldChar w:fldCharType="begin"/>
    </w:r>
    <w:r>
      <w:instrText xml:space="preserve"> SAVEDATE \@ DD.MM.YY </w:instrText>
    </w:r>
    <w:r>
      <w:fldChar w:fldCharType="separate"/>
    </w:r>
    <w:r w:rsidR="006E7026">
      <w:rPr>
        <w:noProof/>
      </w:rPr>
      <w:t>18.01.24</w:t>
    </w:r>
    <w:r>
      <w:fldChar w:fldCharType="end"/>
    </w:r>
    <w:r>
      <w:rPr>
        <w:lang w:val="en-US"/>
      </w:rPr>
      <w:tab/>
    </w:r>
    <w:r>
      <w:fldChar w:fldCharType="begin"/>
    </w:r>
    <w:r>
      <w:instrText xml:space="preserve"> PRINTDATE \@ DD.MM.YY </w:instrText>
    </w:r>
    <w:r>
      <w:fldChar w:fldCharType="separate"/>
    </w:r>
    <w:r w:rsidR="006A1DD6">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8399" w14:textId="7DA44754" w:rsidR="00936D25" w:rsidRDefault="00F52F65" w:rsidP="003E5E3D">
    <w:pPr>
      <w:pStyle w:val="Footer"/>
      <w:rPr>
        <w:lang w:val="en-US"/>
      </w:rPr>
    </w:pPr>
    <w:r>
      <w:fldChar w:fldCharType="begin"/>
    </w:r>
    <w:r>
      <w:rPr>
        <w:lang w:val="en-US"/>
      </w:rPr>
      <w:instrText xml:space="preserve"> FILENAME \p  \* MERGEFORMAT </w:instrText>
    </w:r>
    <w:r>
      <w:fldChar w:fldCharType="separate"/>
    </w:r>
    <w:r w:rsidR="005852C1">
      <w:rPr>
        <w:lang w:val="en-US"/>
      </w:rPr>
      <w:t>P:\FRA\ITU-R\CONF-R\CMR23\500\527F.docx</w:t>
    </w:r>
    <w:r>
      <w:fldChar w:fldCharType="end"/>
    </w:r>
    <w:r>
      <w:t xml:space="preserve"> (533</w:t>
    </w:r>
    <w:r w:rsidR="005852C1">
      <w:t>282)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4C7AA" w14:textId="09BD11E2" w:rsidR="00936D25" w:rsidRDefault="00936D25" w:rsidP="003E5E3D">
    <w:pPr>
      <w:pStyle w:val="Footer"/>
      <w:rPr>
        <w:lang w:val="en-US"/>
      </w:rPr>
    </w:pPr>
    <w:r>
      <w:fldChar w:fldCharType="begin"/>
    </w:r>
    <w:r>
      <w:rPr>
        <w:lang w:val="en-US"/>
      </w:rPr>
      <w:instrText xml:space="preserve"> FILENAME \p  \* MERGEFORMAT </w:instrText>
    </w:r>
    <w:r>
      <w:fldChar w:fldCharType="separate"/>
    </w:r>
    <w:r w:rsidR="005852C1">
      <w:rPr>
        <w:lang w:val="en-US"/>
      </w:rPr>
      <w:t>P:\FRA\ITU-R\CONF-R\CMR23\500\527F.docx</w:t>
    </w:r>
    <w:r>
      <w:fldChar w:fldCharType="end"/>
    </w:r>
    <w:r w:rsidR="00F52F65">
      <w:t xml:space="preserve"> (533</w:t>
    </w:r>
    <w:r w:rsidR="005852C1">
      <w:t>282</w:t>
    </w:r>
    <w:r w:rsidR="00F52F6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9D21" w14:textId="77777777" w:rsidR="000F7C1B" w:rsidRDefault="000F7C1B">
      <w:r>
        <w:rPr>
          <w:b/>
        </w:rPr>
        <w:t>_______________</w:t>
      </w:r>
    </w:p>
  </w:footnote>
  <w:footnote w:type="continuationSeparator" w:id="0">
    <w:p w14:paraId="5E02E385" w14:textId="77777777" w:rsidR="000F7C1B" w:rsidRDefault="000F7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A3C2" w14:textId="77777777" w:rsidR="004F1F8E" w:rsidRDefault="004F1F8E" w:rsidP="004F1F8E">
    <w:pPr>
      <w:pStyle w:val="Header"/>
    </w:pPr>
    <w:r>
      <w:fldChar w:fldCharType="begin"/>
    </w:r>
    <w:r>
      <w:instrText xml:space="preserve"> PAGE </w:instrText>
    </w:r>
    <w:r>
      <w:fldChar w:fldCharType="separate"/>
    </w:r>
    <w:r w:rsidR="003E5E3D">
      <w:rPr>
        <w:noProof/>
      </w:rPr>
      <w:t>2</w:t>
    </w:r>
    <w:r>
      <w:fldChar w:fldCharType="end"/>
    </w:r>
  </w:p>
  <w:p w14:paraId="766B52F8" w14:textId="2E59C74F" w:rsidR="004F1F8E" w:rsidRDefault="00F372DE" w:rsidP="00587A4E">
    <w:pPr>
      <w:pStyle w:val="Header"/>
    </w:pPr>
    <w:r>
      <w:t>WRC</w:t>
    </w:r>
    <w:r w:rsidR="00CD3928">
      <w:t>23</w:t>
    </w:r>
    <w:r w:rsidR="004F1F8E">
      <w:t>/</w:t>
    </w:r>
    <w:r w:rsidR="00F52F65">
      <w:t>527</w:t>
    </w:r>
    <w:r w:rsidR="004F1F8E">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426220872">
    <w:abstractNumId w:val="0"/>
  </w:num>
  <w:num w:numId="2" w16cid:durableId="10663024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1B"/>
    <w:rsid w:val="00016648"/>
    <w:rsid w:val="0003522F"/>
    <w:rsid w:val="00080E2C"/>
    <w:rsid w:val="000A4755"/>
    <w:rsid w:val="000B2E0C"/>
    <w:rsid w:val="000B3D0C"/>
    <w:rsid w:val="000F2719"/>
    <w:rsid w:val="000F7C1B"/>
    <w:rsid w:val="001167B9"/>
    <w:rsid w:val="001267A0"/>
    <w:rsid w:val="00134655"/>
    <w:rsid w:val="00160C64"/>
    <w:rsid w:val="0019352B"/>
    <w:rsid w:val="001960D0"/>
    <w:rsid w:val="001F71DD"/>
    <w:rsid w:val="00232FD2"/>
    <w:rsid w:val="002A4622"/>
    <w:rsid w:val="002B17E5"/>
    <w:rsid w:val="002B3B1A"/>
    <w:rsid w:val="002C0EBF"/>
    <w:rsid w:val="002C5FCD"/>
    <w:rsid w:val="00315AFE"/>
    <w:rsid w:val="003606A6"/>
    <w:rsid w:val="0036650C"/>
    <w:rsid w:val="003A583E"/>
    <w:rsid w:val="003E112B"/>
    <w:rsid w:val="003E5E3D"/>
    <w:rsid w:val="00416F68"/>
    <w:rsid w:val="00457428"/>
    <w:rsid w:val="00466211"/>
    <w:rsid w:val="004D01FC"/>
    <w:rsid w:val="004E28C3"/>
    <w:rsid w:val="004F1F8E"/>
    <w:rsid w:val="00567812"/>
    <w:rsid w:val="00584FF8"/>
    <w:rsid w:val="005852C1"/>
    <w:rsid w:val="00586CF2"/>
    <w:rsid w:val="00587A4E"/>
    <w:rsid w:val="00587A78"/>
    <w:rsid w:val="005C3768"/>
    <w:rsid w:val="005C6C3F"/>
    <w:rsid w:val="005E702F"/>
    <w:rsid w:val="00613635"/>
    <w:rsid w:val="0062093D"/>
    <w:rsid w:val="00637ECF"/>
    <w:rsid w:val="00647B59"/>
    <w:rsid w:val="00654E39"/>
    <w:rsid w:val="006A1DD6"/>
    <w:rsid w:val="006E7026"/>
    <w:rsid w:val="006F738F"/>
    <w:rsid w:val="006F7F9D"/>
    <w:rsid w:val="00701BAE"/>
    <w:rsid w:val="00730E95"/>
    <w:rsid w:val="00774362"/>
    <w:rsid w:val="007A04E8"/>
    <w:rsid w:val="007F7536"/>
    <w:rsid w:val="008235C9"/>
    <w:rsid w:val="0084553F"/>
    <w:rsid w:val="008632F5"/>
    <w:rsid w:val="0088162E"/>
    <w:rsid w:val="008A3120"/>
    <w:rsid w:val="008C000E"/>
    <w:rsid w:val="008D41BE"/>
    <w:rsid w:val="008D58D3"/>
    <w:rsid w:val="008D6821"/>
    <w:rsid w:val="00923064"/>
    <w:rsid w:val="00936D25"/>
    <w:rsid w:val="00941EA5"/>
    <w:rsid w:val="00966C16"/>
    <w:rsid w:val="009765A8"/>
    <w:rsid w:val="0098732F"/>
    <w:rsid w:val="009C235B"/>
    <w:rsid w:val="009C7E7C"/>
    <w:rsid w:val="00A00473"/>
    <w:rsid w:val="00A03C9B"/>
    <w:rsid w:val="00A606C3"/>
    <w:rsid w:val="00A65163"/>
    <w:rsid w:val="00A7023E"/>
    <w:rsid w:val="00A83B09"/>
    <w:rsid w:val="00A84541"/>
    <w:rsid w:val="00AE36A0"/>
    <w:rsid w:val="00B00294"/>
    <w:rsid w:val="00B23EDF"/>
    <w:rsid w:val="00B64FD0"/>
    <w:rsid w:val="00B77458"/>
    <w:rsid w:val="00B93117"/>
    <w:rsid w:val="00BA0FBD"/>
    <w:rsid w:val="00BF26E7"/>
    <w:rsid w:val="00C01C69"/>
    <w:rsid w:val="00C77ACD"/>
    <w:rsid w:val="00C814B9"/>
    <w:rsid w:val="00CD3928"/>
    <w:rsid w:val="00CD516F"/>
    <w:rsid w:val="00CE2C8D"/>
    <w:rsid w:val="00CE6A1C"/>
    <w:rsid w:val="00D119A7"/>
    <w:rsid w:val="00D25FBA"/>
    <w:rsid w:val="00D63665"/>
    <w:rsid w:val="00D66EAC"/>
    <w:rsid w:val="00D72B76"/>
    <w:rsid w:val="00D730DF"/>
    <w:rsid w:val="00D772F0"/>
    <w:rsid w:val="00D77BDC"/>
    <w:rsid w:val="00D8241C"/>
    <w:rsid w:val="00DC402B"/>
    <w:rsid w:val="00DE0932"/>
    <w:rsid w:val="00E049F1"/>
    <w:rsid w:val="00E37A25"/>
    <w:rsid w:val="00E70A31"/>
    <w:rsid w:val="00E964FB"/>
    <w:rsid w:val="00E977A2"/>
    <w:rsid w:val="00EA3F38"/>
    <w:rsid w:val="00EA5AB6"/>
    <w:rsid w:val="00EC7615"/>
    <w:rsid w:val="00ED16AA"/>
    <w:rsid w:val="00EF662E"/>
    <w:rsid w:val="00F148F1"/>
    <w:rsid w:val="00F372DE"/>
    <w:rsid w:val="00F52F65"/>
    <w:rsid w:val="00F75C28"/>
    <w:rsid w:val="00F9722E"/>
    <w:rsid w:val="00FA3BBF"/>
    <w:rsid w:val="00FC0101"/>
    <w:rsid w:val="00FC41F8"/>
    <w:rsid w:val="00FC4ADC"/>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C87BE"/>
  <w15:docId w15:val="{D96E13A2-532D-4DE9-9C3B-EFEF3349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ADC"/>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FC4ADC"/>
    <w:pPr>
      <w:keepNext/>
      <w:keepLines/>
      <w:spacing w:before="280"/>
      <w:ind w:left="1134" w:hanging="1134"/>
      <w:outlineLvl w:val="0"/>
    </w:pPr>
    <w:rPr>
      <w:b/>
      <w:sz w:val="28"/>
    </w:rPr>
  </w:style>
  <w:style w:type="paragraph" w:styleId="Heading2">
    <w:name w:val="heading 2"/>
    <w:basedOn w:val="Heading1"/>
    <w:next w:val="Normal"/>
    <w:qFormat/>
    <w:rsid w:val="00FC4ADC"/>
    <w:pPr>
      <w:spacing w:before="200"/>
      <w:outlineLvl w:val="1"/>
    </w:pPr>
    <w:rPr>
      <w:sz w:val="24"/>
    </w:rPr>
  </w:style>
  <w:style w:type="paragraph" w:styleId="Heading3">
    <w:name w:val="heading 3"/>
    <w:basedOn w:val="Heading1"/>
    <w:next w:val="Normal"/>
    <w:qFormat/>
    <w:rsid w:val="00FC4ADC"/>
    <w:pPr>
      <w:tabs>
        <w:tab w:val="clear" w:pos="1134"/>
      </w:tabs>
      <w:spacing w:before="200"/>
      <w:outlineLvl w:val="2"/>
    </w:pPr>
    <w:rPr>
      <w:sz w:val="24"/>
    </w:rPr>
  </w:style>
  <w:style w:type="paragraph" w:styleId="Heading4">
    <w:name w:val="heading 4"/>
    <w:basedOn w:val="Heading3"/>
    <w:next w:val="Normal"/>
    <w:qFormat/>
    <w:rsid w:val="00FC4ADC"/>
    <w:pPr>
      <w:outlineLvl w:val="3"/>
    </w:pPr>
  </w:style>
  <w:style w:type="paragraph" w:styleId="Heading5">
    <w:name w:val="heading 5"/>
    <w:basedOn w:val="Heading4"/>
    <w:next w:val="Normal"/>
    <w:qFormat/>
    <w:rsid w:val="00FC4ADC"/>
    <w:pPr>
      <w:outlineLvl w:val="4"/>
    </w:pPr>
  </w:style>
  <w:style w:type="paragraph" w:styleId="Heading6">
    <w:name w:val="heading 6"/>
    <w:basedOn w:val="Heading4"/>
    <w:next w:val="Normal"/>
    <w:qFormat/>
    <w:rsid w:val="00FC4ADC"/>
    <w:pPr>
      <w:outlineLvl w:val="5"/>
    </w:pPr>
  </w:style>
  <w:style w:type="paragraph" w:styleId="Heading7">
    <w:name w:val="heading 7"/>
    <w:basedOn w:val="Heading6"/>
    <w:next w:val="Normal"/>
    <w:qFormat/>
    <w:rsid w:val="00FC4ADC"/>
    <w:pPr>
      <w:outlineLvl w:val="6"/>
    </w:pPr>
  </w:style>
  <w:style w:type="paragraph" w:styleId="Heading8">
    <w:name w:val="heading 8"/>
    <w:basedOn w:val="Heading6"/>
    <w:next w:val="Normal"/>
    <w:qFormat/>
    <w:rsid w:val="00FC4ADC"/>
    <w:pPr>
      <w:outlineLvl w:val="7"/>
    </w:pPr>
  </w:style>
  <w:style w:type="paragraph" w:styleId="Heading9">
    <w:name w:val="heading 9"/>
    <w:basedOn w:val="Heading6"/>
    <w:next w:val="Normal"/>
    <w:qFormat/>
    <w:rsid w:val="00FC4A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rsid w:val="00FC4ADC"/>
    <w:pPr>
      <w:keepNext/>
      <w:keepLines/>
      <w:spacing w:before="480" w:after="80"/>
      <w:jc w:val="center"/>
    </w:pPr>
    <w:rPr>
      <w:caps/>
      <w:sz w:val="28"/>
    </w:rPr>
  </w:style>
  <w:style w:type="paragraph" w:customStyle="1" w:styleId="Annexref">
    <w:name w:val="Annex_ref"/>
    <w:basedOn w:val="Normal"/>
    <w:next w:val="Annextitle"/>
    <w:rsid w:val="00FC4ADC"/>
    <w:pPr>
      <w:keepNext/>
      <w:keepLines/>
      <w:spacing w:after="280"/>
      <w:jc w:val="center"/>
    </w:pPr>
  </w:style>
  <w:style w:type="paragraph" w:customStyle="1" w:styleId="Annextitle">
    <w:name w:val="Annex_title"/>
    <w:basedOn w:val="Normal"/>
    <w:next w:val="Normalaftertitle"/>
    <w:rsid w:val="00FC4AD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FC4ADC"/>
  </w:style>
  <w:style w:type="paragraph" w:customStyle="1" w:styleId="Appendixref">
    <w:name w:val="Appendix_ref"/>
    <w:basedOn w:val="Annexref"/>
    <w:next w:val="Annextitle"/>
    <w:rsid w:val="00FC4ADC"/>
  </w:style>
  <w:style w:type="paragraph" w:customStyle="1" w:styleId="Appendixtitle">
    <w:name w:val="Appendix_title"/>
    <w:basedOn w:val="Annextitle"/>
    <w:next w:val="Normalaftertitle"/>
    <w:rsid w:val="00FC4ADC"/>
  </w:style>
  <w:style w:type="paragraph" w:customStyle="1" w:styleId="Artheading">
    <w:name w:val="Art_heading"/>
    <w:basedOn w:val="Normal"/>
    <w:next w:val="Normalaftertitle"/>
    <w:rsid w:val="00FC4ADC"/>
    <w:pPr>
      <w:spacing w:before="480"/>
      <w:jc w:val="center"/>
    </w:pPr>
    <w:rPr>
      <w:rFonts w:ascii="Times New Roman Bold" w:hAnsi="Times New Roman Bold"/>
      <w:b/>
      <w:sz w:val="28"/>
    </w:rPr>
  </w:style>
  <w:style w:type="paragraph" w:customStyle="1" w:styleId="ArtNo">
    <w:name w:val="Art_No"/>
    <w:basedOn w:val="Normal"/>
    <w:next w:val="Arttitle"/>
    <w:rsid w:val="00FC4ADC"/>
    <w:pPr>
      <w:keepNext/>
      <w:keepLines/>
      <w:spacing w:before="480"/>
      <w:jc w:val="center"/>
    </w:pPr>
    <w:rPr>
      <w:caps/>
      <w:sz w:val="28"/>
    </w:rPr>
  </w:style>
  <w:style w:type="paragraph" w:customStyle="1" w:styleId="Arttitle">
    <w:name w:val="Art_title"/>
    <w:basedOn w:val="Normal"/>
    <w:next w:val="Normalaftertitle"/>
    <w:rsid w:val="00FC4ADC"/>
    <w:pPr>
      <w:keepNext/>
      <w:keepLines/>
      <w:spacing w:before="240"/>
      <w:jc w:val="center"/>
    </w:pPr>
    <w:rPr>
      <w:b/>
      <w:sz w:val="28"/>
    </w:rPr>
  </w:style>
  <w:style w:type="paragraph" w:customStyle="1" w:styleId="Call">
    <w:name w:val="Call"/>
    <w:basedOn w:val="Normal"/>
    <w:next w:val="Normal"/>
    <w:rsid w:val="00FC4ADC"/>
    <w:pPr>
      <w:keepNext/>
      <w:keepLines/>
      <w:spacing w:before="160"/>
      <w:ind w:left="1134"/>
    </w:pPr>
    <w:rPr>
      <w:i/>
    </w:rPr>
  </w:style>
  <w:style w:type="paragraph" w:customStyle="1" w:styleId="ChapNo">
    <w:name w:val="Chap_No"/>
    <w:basedOn w:val="ArtNo"/>
    <w:next w:val="Chaptitle"/>
    <w:rsid w:val="00FC4ADC"/>
    <w:rPr>
      <w:rFonts w:ascii="Times New Roman Bold" w:hAnsi="Times New Roman Bold"/>
      <w:b/>
    </w:rPr>
  </w:style>
  <w:style w:type="paragraph" w:customStyle="1" w:styleId="Chaptitle">
    <w:name w:val="Chap_title"/>
    <w:basedOn w:val="Arttitle"/>
    <w:next w:val="Normalaftertitle"/>
    <w:rsid w:val="00FC4ADC"/>
  </w:style>
  <w:style w:type="paragraph" w:customStyle="1" w:styleId="ddate">
    <w:name w:val="ddate"/>
    <w:basedOn w:val="Normal"/>
    <w:rsid w:val="00FC4ADC"/>
    <w:pPr>
      <w:framePr w:hSpace="181" w:wrap="around" w:vAnchor="page" w:hAnchor="margin" w:y="852"/>
      <w:shd w:val="solid" w:color="FFFFFF" w:fill="FFFFFF"/>
      <w:spacing w:before="0"/>
    </w:pPr>
    <w:rPr>
      <w:b/>
      <w:bCs/>
    </w:rPr>
  </w:style>
  <w:style w:type="paragraph" w:customStyle="1" w:styleId="dnum">
    <w:name w:val="dnum"/>
    <w:basedOn w:val="Normal"/>
    <w:rsid w:val="00FC4ADC"/>
    <w:pPr>
      <w:framePr w:hSpace="181" w:wrap="around" w:vAnchor="page" w:hAnchor="margin" w:y="852"/>
      <w:shd w:val="solid" w:color="FFFFFF" w:fill="FFFFFF"/>
    </w:pPr>
    <w:rPr>
      <w:b/>
      <w:bCs/>
    </w:rPr>
  </w:style>
  <w:style w:type="paragraph" w:customStyle="1" w:styleId="dorlang">
    <w:name w:val="dorlang"/>
    <w:basedOn w:val="Normal"/>
    <w:rsid w:val="00FC4ADC"/>
    <w:pPr>
      <w:framePr w:hSpace="181" w:wrap="around" w:vAnchor="page" w:hAnchor="margin" w:y="852"/>
      <w:shd w:val="solid" w:color="FFFFFF" w:fill="FFFFFF"/>
      <w:spacing w:before="0"/>
    </w:pPr>
    <w:rPr>
      <w:b/>
      <w:bCs/>
    </w:rPr>
  </w:style>
  <w:style w:type="character" w:styleId="EndnoteReference">
    <w:name w:val="endnote reference"/>
    <w:semiHidden/>
    <w:rsid w:val="00FC4ADC"/>
    <w:rPr>
      <w:vertAlign w:val="superscript"/>
    </w:rPr>
  </w:style>
  <w:style w:type="paragraph" w:customStyle="1" w:styleId="enumlev1">
    <w:name w:val="enumlev1"/>
    <w:basedOn w:val="Normal"/>
    <w:rsid w:val="00FC4ADC"/>
    <w:pPr>
      <w:tabs>
        <w:tab w:val="clear" w:pos="2268"/>
        <w:tab w:val="left" w:pos="2608"/>
        <w:tab w:val="left" w:pos="3345"/>
      </w:tabs>
      <w:spacing w:before="80"/>
      <w:ind w:left="1134" w:hanging="1134"/>
    </w:pPr>
  </w:style>
  <w:style w:type="paragraph" w:customStyle="1" w:styleId="enumlev2">
    <w:name w:val="enumlev2"/>
    <w:basedOn w:val="enumlev1"/>
    <w:rsid w:val="00FC4ADC"/>
    <w:pPr>
      <w:ind w:left="1871" w:hanging="737"/>
    </w:pPr>
  </w:style>
  <w:style w:type="paragraph" w:customStyle="1" w:styleId="enumlev3">
    <w:name w:val="enumlev3"/>
    <w:basedOn w:val="enumlev2"/>
    <w:rsid w:val="00FC4ADC"/>
    <w:pPr>
      <w:ind w:left="2268" w:hanging="397"/>
    </w:pPr>
  </w:style>
  <w:style w:type="paragraph" w:customStyle="1" w:styleId="Equation">
    <w:name w:val="Equation"/>
    <w:basedOn w:val="Normal"/>
    <w:rsid w:val="00FC4ADC"/>
    <w:pPr>
      <w:tabs>
        <w:tab w:val="clear" w:pos="1871"/>
        <w:tab w:val="clear" w:pos="2268"/>
        <w:tab w:val="center" w:pos="4820"/>
        <w:tab w:val="right" w:pos="9639"/>
      </w:tabs>
    </w:pPr>
  </w:style>
  <w:style w:type="paragraph" w:styleId="NormalIndent">
    <w:name w:val="Normal Indent"/>
    <w:basedOn w:val="Normal"/>
    <w:rsid w:val="00FC4ADC"/>
    <w:pPr>
      <w:ind w:left="1134"/>
    </w:pPr>
  </w:style>
  <w:style w:type="paragraph" w:customStyle="1" w:styleId="Equationlegend">
    <w:name w:val="Equation_legend"/>
    <w:basedOn w:val="NormalIndent"/>
    <w:rsid w:val="00FC4ADC"/>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FC4ADC"/>
    <w:pPr>
      <w:keepNext/>
      <w:keepLines/>
      <w:spacing w:before="20" w:after="20"/>
    </w:pPr>
    <w:rPr>
      <w:sz w:val="18"/>
    </w:rPr>
  </w:style>
  <w:style w:type="paragraph" w:customStyle="1" w:styleId="FigureNo">
    <w:name w:val="Figure_No"/>
    <w:basedOn w:val="Normal"/>
    <w:next w:val="Figuretitle"/>
    <w:rsid w:val="00FC4ADC"/>
    <w:pPr>
      <w:keepNext/>
      <w:keepLines/>
      <w:spacing w:before="480" w:after="120"/>
      <w:jc w:val="center"/>
    </w:pPr>
    <w:rPr>
      <w:caps/>
      <w:sz w:val="20"/>
    </w:rPr>
  </w:style>
  <w:style w:type="paragraph" w:customStyle="1" w:styleId="Figuretitle">
    <w:name w:val="Figure_title"/>
    <w:basedOn w:val="Normal"/>
    <w:next w:val="Normal"/>
    <w:rsid w:val="00FC4ADC"/>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rsid w:val="00FC4ADC"/>
    <w:pPr>
      <w:keepNext w:val="0"/>
    </w:pPr>
  </w:style>
  <w:style w:type="paragraph" w:styleId="Footer">
    <w:name w:val="footer"/>
    <w:basedOn w:val="Normal"/>
    <w:rsid w:val="00FC4ADC"/>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FC4ADC"/>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FC4ADC"/>
    <w:rPr>
      <w:position w:val="6"/>
      <w:sz w:val="18"/>
    </w:rPr>
  </w:style>
  <w:style w:type="paragraph" w:styleId="FootnoteText">
    <w:name w:val="footnote text"/>
    <w:basedOn w:val="Normal"/>
    <w:rsid w:val="00FC4ADC"/>
    <w:pPr>
      <w:keepLines/>
      <w:tabs>
        <w:tab w:val="left" w:pos="255"/>
      </w:tabs>
    </w:pPr>
  </w:style>
  <w:style w:type="paragraph" w:styleId="Header">
    <w:name w:val="header"/>
    <w:basedOn w:val="Normal"/>
    <w:link w:val="HeaderChar"/>
    <w:rsid w:val="00FC4ADC"/>
    <w:pPr>
      <w:spacing w:before="0"/>
      <w:jc w:val="center"/>
    </w:pPr>
    <w:rPr>
      <w:sz w:val="18"/>
    </w:rPr>
  </w:style>
  <w:style w:type="paragraph" w:customStyle="1" w:styleId="Headingb">
    <w:name w:val="Heading_b"/>
    <w:basedOn w:val="Normal"/>
    <w:next w:val="Normal"/>
    <w:rsid w:val="00FC4ADC"/>
    <w:pPr>
      <w:keepNext/>
      <w:spacing w:before="160"/>
    </w:pPr>
    <w:rPr>
      <w:b/>
    </w:rPr>
  </w:style>
  <w:style w:type="paragraph" w:customStyle="1" w:styleId="Headingi">
    <w:name w:val="Heading_i"/>
    <w:basedOn w:val="Normal"/>
    <w:next w:val="Normal"/>
    <w:rsid w:val="00FC4ADC"/>
    <w:pPr>
      <w:keepNext/>
      <w:spacing w:before="160"/>
    </w:pPr>
    <w:rPr>
      <w:rFonts w:ascii="Times" w:hAnsi="Times"/>
      <w:i/>
    </w:rPr>
  </w:style>
  <w:style w:type="paragraph" w:styleId="Index1">
    <w:name w:val="index 1"/>
    <w:basedOn w:val="Normal"/>
    <w:next w:val="Normal"/>
    <w:semiHidden/>
    <w:rsid w:val="00FC4ADC"/>
  </w:style>
  <w:style w:type="paragraph" w:styleId="Index2">
    <w:name w:val="index 2"/>
    <w:basedOn w:val="Normal"/>
    <w:next w:val="Normal"/>
    <w:semiHidden/>
    <w:rsid w:val="00FC4ADC"/>
    <w:pPr>
      <w:ind w:left="283"/>
    </w:pPr>
  </w:style>
  <w:style w:type="paragraph" w:styleId="Index3">
    <w:name w:val="index 3"/>
    <w:basedOn w:val="Normal"/>
    <w:next w:val="Normal"/>
    <w:semiHidden/>
    <w:rsid w:val="00FC4ADC"/>
    <w:pPr>
      <w:ind w:left="566"/>
    </w:pPr>
  </w:style>
  <w:style w:type="paragraph" w:styleId="Index4">
    <w:name w:val="index 4"/>
    <w:basedOn w:val="Normal"/>
    <w:next w:val="Normal"/>
    <w:semiHidden/>
    <w:rsid w:val="00FC4ADC"/>
    <w:pPr>
      <w:ind w:left="849"/>
    </w:pPr>
  </w:style>
  <w:style w:type="paragraph" w:styleId="Index5">
    <w:name w:val="index 5"/>
    <w:basedOn w:val="Normal"/>
    <w:next w:val="Normal"/>
    <w:semiHidden/>
    <w:rsid w:val="00FC4ADC"/>
    <w:pPr>
      <w:ind w:left="1132"/>
    </w:pPr>
  </w:style>
  <w:style w:type="paragraph" w:styleId="Index6">
    <w:name w:val="index 6"/>
    <w:basedOn w:val="Normal"/>
    <w:next w:val="Normal"/>
    <w:semiHidden/>
    <w:rsid w:val="00FC4ADC"/>
    <w:pPr>
      <w:ind w:left="1415"/>
    </w:pPr>
  </w:style>
  <w:style w:type="paragraph" w:styleId="Index7">
    <w:name w:val="index 7"/>
    <w:basedOn w:val="Normal"/>
    <w:next w:val="Normal"/>
    <w:semiHidden/>
    <w:rsid w:val="00FC4ADC"/>
    <w:pPr>
      <w:ind w:left="1698"/>
    </w:pPr>
  </w:style>
  <w:style w:type="paragraph" w:styleId="IndexHeading">
    <w:name w:val="index heading"/>
    <w:basedOn w:val="Normal"/>
    <w:next w:val="Index1"/>
    <w:semiHidden/>
    <w:rsid w:val="00FC4ADC"/>
  </w:style>
  <w:style w:type="character" w:styleId="LineNumber">
    <w:name w:val="line number"/>
    <w:basedOn w:val="DefaultParagraphFont"/>
    <w:rsid w:val="00FC4ADC"/>
  </w:style>
  <w:style w:type="paragraph" w:customStyle="1" w:styleId="Normalaftertitle">
    <w:name w:val="Normal after title"/>
    <w:basedOn w:val="Normal"/>
    <w:next w:val="Normal"/>
    <w:rsid w:val="00FC4ADC"/>
    <w:pPr>
      <w:spacing w:before="280"/>
    </w:pPr>
  </w:style>
  <w:style w:type="character" w:customStyle="1" w:styleId="Appdef">
    <w:name w:val="App_def"/>
    <w:rsid w:val="00FC4ADC"/>
    <w:rPr>
      <w:rFonts w:ascii="Times New Roman" w:hAnsi="Times New Roman"/>
      <w:b/>
    </w:rPr>
  </w:style>
  <w:style w:type="character" w:customStyle="1" w:styleId="Appref">
    <w:name w:val="App_ref"/>
    <w:basedOn w:val="DefaultParagraphFont"/>
    <w:rsid w:val="00FC4ADC"/>
  </w:style>
  <w:style w:type="character" w:customStyle="1" w:styleId="Artdef">
    <w:name w:val="Art_def"/>
    <w:rsid w:val="00FC4ADC"/>
    <w:rPr>
      <w:rFonts w:ascii="Times New Roman" w:hAnsi="Times New Roman"/>
      <w:b/>
    </w:rPr>
  </w:style>
  <w:style w:type="character" w:customStyle="1" w:styleId="Artref">
    <w:name w:val="Art_ref"/>
    <w:basedOn w:val="DefaultParagraphFont"/>
    <w:rsid w:val="00FC4ADC"/>
  </w:style>
  <w:style w:type="paragraph" w:customStyle="1" w:styleId="Border">
    <w:name w:val="Border"/>
    <w:basedOn w:val="Normal"/>
    <w:rsid w:val="00FC4ADC"/>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rsid w:val="00FC4ADC"/>
    <w:pPr>
      <w:keepNext/>
      <w:keepLines/>
      <w:jc w:val="center"/>
    </w:pPr>
  </w:style>
  <w:style w:type="paragraph" w:customStyle="1" w:styleId="Agendaitem">
    <w:name w:val="Agenda_item"/>
    <w:basedOn w:val="Normal"/>
    <w:next w:val="Normalaftertitle"/>
    <w:qFormat/>
    <w:rsid w:val="00FC4ADC"/>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FC4ADC"/>
  </w:style>
  <w:style w:type="paragraph" w:customStyle="1" w:styleId="ApptoAnnex">
    <w:name w:val="App_to_Annex"/>
    <w:basedOn w:val="AppendixNo"/>
    <w:qFormat/>
    <w:rsid w:val="00FC4ADC"/>
  </w:style>
  <w:style w:type="paragraph" w:customStyle="1" w:styleId="Note">
    <w:name w:val="Note"/>
    <w:basedOn w:val="Normal"/>
    <w:rsid w:val="00FC4ADC"/>
    <w:pPr>
      <w:tabs>
        <w:tab w:val="left" w:pos="284"/>
      </w:tabs>
      <w:spacing w:before="80"/>
    </w:pPr>
  </w:style>
  <w:style w:type="character" w:styleId="PageNumber">
    <w:name w:val="page number"/>
    <w:basedOn w:val="DefaultParagraphFont"/>
    <w:rsid w:val="00FC4ADC"/>
  </w:style>
  <w:style w:type="paragraph" w:customStyle="1" w:styleId="Proposal">
    <w:name w:val="Proposal"/>
    <w:basedOn w:val="Normal"/>
    <w:next w:val="Normal"/>
    <w:rsid w:val="00FC4ADC"/>
    <w:pPr>
      <w:keepNext/>
      <w:spacing w:before="240"/>
    </w:pPr>
    <w:rPr>
      <w:rFonts w:hAnsi="Times New Roman Bold"/>
      <w:b/>
    </w:rPr>
  </w:style>
  <w:style w:type="paragraph" w:customStyle="1" w:styleId="Part1">
    <w:name w:val="Part_1"/>
    <w:basedOn w:val="Normal"/>
    <w:next w:val="Normal"/>
    <w:qFormat/>
    <w:rsid w:val="00FC4ADC"/>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FC4ADC"/>
  </w:style>
  <w:style w:type="paragraph" w:customStyle="1" w:styleId="Parttitle">
    <w:name w:val="Part_title"/>
    <w:basedOn w:val="Annextitle"/>
    <w:next w:val="Normalaftertitle"/>
    <w:rsid w:val="00FC4ADC"/>
  </w:style>
  <w:style w:type="paragraph" w:styleId="TOC1">
    <w:name w:val="toc 1"/>
    <w:basedOn w:val="Normal"/>
    <w:rsid w:val="00FC4AD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C4ADC"/>
    <w:pPr>
      <w:spacing w:before="120"/>
    </w:pPr>
  </w:style>
  <w:style w:type="paragraph" w:styleId="TOC3">
    <w:name w:val="toc 3"/>
    <w:basedOn w:val="TOC2"/>
    <w:rsid w:val="00FC4ADC"/>
  </w:style>
  <w:style w:type="paragraph" w:styleId="TOC4">
    <w:name w:val="toc 4"/>
    <w:basedOn w:val="TOC3"/>
    <w:rsid w:val="00FC4ADC"/>
  </w:style>
  <w:style w:type="paragraph" w:styleId="TOC5">
    <w:name w:val="toc 5"/>
    <w:basedOn w:val="TOC4"/>
    <w:rsid w:val="00FC4ADC"/>
  </w:style>
  <w:style w:type="paragraph" w:styleId="TOC6">
    <w:name w:val="toc 6"/>
    <w:basedOn w:val="TOC4"/>
    <w:rsid w:val="00FC4ADC"/>
  </w:style>
  <w:style w:type="paragraph" w:styleId="TOC7">
    <w:name w:val="toc 7"/>
    <w:basedOn w:val="TOC4"/>
    <w:rsid w:val="00FC4ADC"/>
  </w:style>
  <w:style w:type="paragraph" w:styleId="TOC8">
    <w:name w:val="toc 8"/>
    <w:basedOn w:val="TOC4"/>
    <w:rsid w:val="00FC4ADC"/>
  </w:style>
  <w:style w:type="paragraph" w:customStyle="1" w:styleId="Title1">
    <w:name w:val="Title 1"/>
    <w:basedOn w:val="Normal"/>
    <w:next w:val="Normal"/>
    <w:rsid w:val="00FC4ADC"/>
    <w:pPr>
      <w:tabs>
        <w:tab w:val="left" w:pos="567"/>
        <w:tab w:val="left" w:pos="1701"/>
        <w:tab w:val="left" w:pos="2835"/>
      </w:tabs>
      <w:spacing w:before="240"/>
      <w:jc w:val="center"/>
    </w:pPr>
    <w:rPr>
      <w:caps/>
      <w:sz w:val="28"/>
    </w:rPr>
  </w:style>
  <w:style w:type="paragraph" w:customStyle="1" w:styleId="Title2">
    <w:name w:val="Title 2"/>
    <w:basedOn w:val="Normal"/>
    <w:next w:val="Normal"/>
    <w:rsid w:val="00FC4ADC"/>
    <w:pPr>
      <w:overflowPunct/>
      <w:autoSpaceDE/>
      <w:autoSpaceDN/>
      <w:adjustRightInd/>
      <w:spacing w:before="480"/>
      <w:jc w:val="center"/>
      <w:textAlignment w:val="auto"/>
    </w:pPr>
    <w:rPr>
      <w:caps/>
      <w:sz w:val="28"/>
    </w:rPr>
  </w:style>
  <w:style w:type="paragraph" w:customStyle="1" w:styleId="Title3">
    <w:name w:val="Title 3"/>
    <w:basedOn w:val="Title2"/>
    <w:next w:val="Normal"/>
    <w:rsid w:val="00FC4ADC"/>
    <w:pPr>
      <w:spacing w:before="240"/>
    </w:pPr>
    <w:rPr>
      <w:caps w:val="0"/>
    </w:rPr>
  </w:style>
  <w:style w:type="paragraph" w:customStyle="1" w:styleId="Title4">
    <w:name w:val="Title 4"/>
    <w:basedOn w:val="Title3"/>
    <w:next w:val="Heading1"/>
    <w:rsid w:val="00FC4ADC"/>
    <w:rPr>
      <w:b/>
    </w:rPr>
  </w:style>
  <w:style w:type="paragraph" w:customStyle="1" w:styleId="toc0">
    <w:name w:val="toc 0"/>
    <w:basedOn w:val="Normal"/>
    <w:next w:val="TOC1"/>
    <w:rsid w:val="00FC4ADC"/>
    <w:pPr>
      <w:tabs>
        <w:tab w:val="clear" w:pos="1134"/>
        <w:tab w:val="clear" w:pos="1871"/>
        <w:tab w:val="clear" w:pos="2268"/>
        <w:tab w:val="right" w:pos="9781"/>
      </w:tabs>
    </w:pPr>
    <w:rPr>
      <w:b/>
    </w:rPr>
  </w:style>
  <w:style w:type="paragraph" w:customStyle="1" w:styleId="RecNo">
    <w:name w:val="Rec_No"/>
    <w:basedOn w:val="Normal"/>
    <w:next w:val="Normal"/>
    <w:rsid w:val="00FC4ADC"/>
    <w:pPr>
      <w:keepNext/>
      <w:keepLines/>
      <w:spacing w:before="480"/>
      <w:jc w:val="center"/>
    </w:pPr>
    <w:rPr>
      <w:caps/>
      <w:sz w:val="28"/>
    </w:rPr>
  </w:style>
  <w:style w:type="paragraph" w:customStyle="1" w:styleId="Rectitle">
    <w:name w:val="Rec_title"/>
    <w:basedOn w:val="RecNo"/>
    <w:next w:val="Normal"/>
    <w:rsid w:val="00FC4ADC"/>
    <w:pPr>
      <w:spacing w:before="240"/>
    </w:pPr>
    <w:rPr>
      <w:rFonts w:ascii="Times New Roman Bold" w:hAnsi="Times New Roman Bold"/>
      <w:b/>
      <w:caps w:val="0"/>
    </w:rPr>
  </w:style>
  <w:style w:type="paragraph" w:customStyle="1" w:styleId="Recdate">
    <w:name w:val="Rec_date"/>
    <w:basedOn w:val="Normal"/>
    <w:next w:val="Normalaftertitle"/>
    <w:rsid w:val="00FC4ADC"/>
    <w:pPr>
      <w:keepNext/>
      <w:keepLines/>
      <w:jc w:val="right"/>
    </w:pPr>
    <w:rPr>
      <w:sz w:val="22"/>
    </w:rPr>
  </w:style>
  <w:style w:type="paragraph" w:customStyle="1" w:styleId="Questiondate">
    <w:name w:val="Question_date"/>
    <w:basedOn w:val="Recdate"/>
    <w:next w:val="Normalaftertitle"/>
    <w:rsid w:val="00FC4ADC"/>
  </w:style>
  <w:style w:type="paragraph" w:customStyle="1" w:styleId="QuestionNo">
    <w:name w:val="Question_No"/>
    <w:basedOn w:val="RecNo"/>
    <w:next w:val="Normal"/>
    <w:rsid w:val="00FC4ADC"/>
  </w:style>
  <w:style w:type="paragraph" w:customStyle="1" w:styleId="Questiontitle">
    <w:name w:val="Question_title"/>
    <w:basedOn w:val="Rectitle"/>
    <w:next w:val="Normal"/>
    <w:rsid w:val="00FC4ADC"/>
  </w:style>
  <w:style w:type="paragraph" w:customStyle="1" w:styleId="Reasons">
    <w:name w:val="Reasons"/>
    <w:basedOn w:val="Normal"/>
    <w:rsid w:val="00FC4ADC"/>
    <w:pPr>
      <w:tabs>
        <w:tab w:val="clear" w:pos="1871"/>
        <w:tab w:val="clear" w:pos="2268"/>
        <w:tab w:val="left" w:pos="1588"/>
        <w:tab w:val="left" w:pos="1985"/>
      </w:tabs>
    </w:pPr>
  </w:style>
  <w:style w:type="character" w:customStyle="1" w:styleId="Recdef">
    <w:name w:val="Rec_def"/>
    <w:rsid w:val="00FC4ADC"/>
    <w:rPr>
      <w:b/>
    </w:rPr>
  </w:style>
  <w:style w:type="paragraph" w:customStyle="1" w:styleId="Reftext">
    <w:name w:val="Ref_text"/>
    <w:basedOn w:val="Normal"/>
    <w:rsid w:val="00FC4ADC"/>
    <w:pPr>
      <w:ind w:left="1134" w:hanging="1134"/>
    </w:pPr>
  </w:style>
  <w:style w:type="paragraph" w:customStyle="1" w:styleId="Reftitle">
    <w:name w:val="Ref_title"/>
    <w:basedOn w:val="Normal"/>
    <w:next w:val="Reftext"/>
    <w:rsid w:val="00FC4ADC"/>
    <w:pPr>
      <w:spacing w:before="480"/>
      <w:jc w:val="center"/>
    </w:pPr>
    <w:rPr>
      <w:caps/>
    </w:rPr>
  </w:style>
  <w:style w:type="paragraph" w:customStyle="1" w:styleId="Repdate">
    <w:name w:val="Rep_date"/>
    <w:basedOn w:val="Recdate"/>
    <w:next w:val="Normalaftertitle"/>
    <w:rsid w:val="00FC4ADC"/>
  </w:style>
  <w:style w:type="paragraph" w:customStyle="1" w:styleId="RepNo">
    <w:name w:val="Rep_No"/>
    <w:basedOn w:val="RecNo"/>
    <w:next w:val="Normal"/>
    <w:rsid w:val="00FC4ADC"/>
  </w:style>
  <w:style w:type="paragraph" w:customStyle="1" w:styleId="Repref">
    <w:name w:val="Rep_ref"/>
    <w:basedOn w:val="Normal"/>
    <w:next w:val="Repdate"/>
    <w:rsid w:val="00FC4ADC"/>
    <w:pPr>
      <w:keepNext/>
      <w:keepLines/>
      <w:jc w:val="center"/>
    </w:pPr>
  </w:style>
  <w:style w:type="paragraph" w:customStyle="1" w:styleId="Reptitle">
    <w:name w:val="Rep_title"/>
    <w:basedOn w:val="Rectitle"/>
    <w:next w:val="Repref"/>
    <w:rsid w:val="00FC4ADC"/>
  </w:style>
  <w:style w:type="paragraph" w:customStyle="1" w:styleId="Resdate">
    <w:name w:val="Res_date"/>
    <w:basedOn w:val="Recdate"/>
    <w:next w:val="Normalaftertitle"/>
    <w:rsid w:val="00FC4ADC"/>
  </w:style>
  <w:style w:type="character" w:customStyle="1" w:styleId="Resdef">
    <w:name w:val="Res_def"/>
    <w:rsid w:val="00FC4ADC"/>
    <w:rPr>
      <w:rFonts w:ascii="Times New Roman" w:hAnsi="Times New Roman"/>
      <w:b/>
    </w:rPr>
  </w:style>
  <w:style w:type="paragraph" w:customStyle="1" w:styleId="ResNo">
    <w:name w:val="Res_No"/>
    <w:basedOn w:val="RecNo"/>
    <w:next w:val="Normal"/>
    <w:rsid w:val="00FC4ADC"/>
  </w:style>
  <w:style w:type="paragraph" w:customStyle="1" w:styleId="Restitle">
    <w:name w:val="Res_title"/>
    <w:basedOn w:val="Rectitle"/>
    <w:next w:val="Normal"/>
    <w:rsid w:val="00FC4ADC"/>
  </w:style>
  <w:style w:type="paragraph" w:customStyle="1" w:styleId="Section1">
    <w:name w:val="Section_1"/>
    <w:basedOn w:val="Normal"/>
    <w:rsid w:val="00FC4ADC"/>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C4ADC"/>
    <w:rPr>
      <w:b w:val="0"/>
      <w:i/>
    </w:rPr>
  </w:style>
  <w:style w:type="paragraph" w:customStyle="1" w:styleId="Section3">
    <w:name w:val="Section_3"/>
    <w:basedOn w:val="Section1"/>
    <w:rsid w:val="00FC4ADC"/>
    <w:rPr>
      <w:b w:val="0"/>
    </w:rPr>
  </w:style>
  <w:style w:type="paragraph" w:customStyle="1" w:styleId="SectionNo">
    <w:name w:val="Section_No"/>
    <w:basedOn w:val="AnnexNo"/>
    <w:next w:val="Normal"/>
    <w:rsid w:val="00FC4ADC"/>
  </w:style>
  <w:style w:type="paragraph" w:customStyle="1" w:styleId="Sectiontitle">
    <w:name w:val="Section_title"/>
    <w:basedOn w:val="Annextitle"/>
    <w:next w:val="Normalaftertitle"/>
    <w:rsid w:val="00FC4ADC"/>
  </w:style>
  <w:style w:type="paragraph" w:customStyle="1" w:styleId="Source">
    <w:name w:val="Source"/>
    <w:basedOn w:val="Normal"/>
    <w:next w:val="Normal"/>
    <w:rsid w:val="00FC4ADC"/>
    <w:pPr>
      <w:spacing w:before="840"/>
      <w:jc w:val="center"/>
    </w:pPr>
    <w:rPr>
      <w:b/>
      <w:sz w:val="28"/>
    </w:rPr>
  </w:style>
  <w:style w:type="paragraph" w:customStyle="1" w:styleId="SpecialFooter">
    <w:name w:val="Special Footer"/>
    <w:basedOn w:val="Footer"/>
    <w:rsid w:val="00FC4ADC"/>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FC4ADC"/>
  </w:style>
  <w:style w:type="character" w:customStyle="1" w:styleId="Tablefreq">
    <w:name w:val="Table_freq"/>
    <w:rsid w:val="00FC4ADC"/>
    <w:rPr>
      <w:b/>
      <w:color w:val="auto"/>
      <w:sz w:val="20"/>
    </w:rPr>
  </w:style>
  <w:style w:type="paragraph" w:customStyle="1" w:styleId="Tabletext">
    <w:name w:val="Table_text"/>
    <w:basedOn w:val="Normal"/>
    <w:rsid w:val="00FC4AD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FC4ADC"/>
    <w:pPr>
      <w:keepNext/>
      <w:spacing w:before="80" w:after="80"/>
      <w:jc w:val="center"/>
    </w:pPr>
    <w:rPr>
      <w:b/>
    </w:rPr>
  </w:style>
  <w:style w:type="paragraph" w:customStyle="1" w:styleId="Tablelegend">
    <w:name w:val="Table_legend"/>
    <w:basedOn w:val="Tabletext"/>
    <w:rsid w:val="00FC4ADC"/>
    <w:pPr>
      <w:tabs>
        <w:tab w:val="clear" w:pos="284"/>
      </w:tabs>
      <w:spacing w:before="120"/>
    </w:pPr>
  </w:style>
  <w:style w:type="paragraph" w:customStyle="1" w:styleId="TableNo">
    <w:name w:val="Table_No"/>
    <w:basedOn w:val="Normal"/>
    <w:next w:val="Normal"/>
    <w:rsid w:val="00FC4ADC"/>
    <w:pPr>
      <w:keepNext/>
      <w:spacing w:before="560" w:after="120"/>
      <w:jc w:val="center"/>
    </w:pPr>
    <w:rPr>
      <w:caps/>
      <w:sz w:val="20"/>
    </w:rPr>
  </w:style>
  <w:style w:type="paragraph" w:customStyle="1" w:styleId="TableTextS5">
    <w:name w:val="Table_TextS5"/>
    <w:basedOn w:val="Normal"/>
    <w:rsid w:val="00FC0101"/>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FC4ADC"/>
    <w:pPr>
      <w:keepNext/>
      <w:keepLines/>
      <w:spacing w:before="0" w:after="120"/>
      <w:jc w:val="center"/>
    </w:pPr>
    <w:rPr>
      <w:rFonts w:ascii="Times New Roman Bold" w:hAnsi="Times New Roman Bold"/>
      <w:b/>
      <w:sz w:val="20"/>
    </w:rPr>
  </w:style>
  <w:style w:type="table" w:styleId="TableGrid">
    <w:name w:val="Table Grid"/>
    <w:basedOn w:val="TableNormal"/>
    <w:rsid w:val="00FC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C4ADC"/>
    <w:rPr>
      <w:rFonts w:ascii="Times New Roman" w:hAnsi="Times New Roman"/>
      <w:sz w:val="18"/>
      <w:lang w:val="fr-FR" w:eastAsia="en-US"/>
    </w:rPr>
  </w:style>
  <w:style w:type="paragraph" w:customStyle="1" w:styleId="AppArttitle">
    <w:name w:val="App_Art_title"/>
    <w:basedOn w:val="Arttitle"/>
    <w:next w:val="Normalaftertitle"/>
    <w:qFormat/>
    <w:rsid w:val="00FC4ADC"/>
    <w:rPr>
      <w:lang w:val="fr-CH"/>
    </w:rPr>
  </w:style>
  <w:style w:type="paragraph" w:customStyle="1" w:styleId="AppArtNo">
    <w:name w:val="App_Art_No"/>
    <w:basedOn w:val="ArtNo"/>
    <w:next w:val="AppArttitle"/>
    <w:qFormat/>
    <w:rsid w:val="00FC4ADC"/>
  </w:style>
  <w:style w:type="paragraph" w:customStyle="1" w:styleId="Headingsplit">
    <w:name w:val="Heading_split"/>
    <w:basedOn w:val="Headingi"/>
    <w:qFormat/>
    <w:rsid w:val="00FC4ADC"/>
  </w:style>
  <w:style w:type="paragraph" w:customStyle="1" w:styleId="Normalsplit">
    <w:name w:val="Normal_split"/>
    <w:basedOn w:val="Normal"/>
    <w:next w:val="Normal"/>
    <w:qFormat/>
    <w:rsid w:val="00FC4ADC"/>
  </w:style>
  <w:style w:type="character" w:customStyle="1" w:styleId="Provsplit">
    <w:name w:val="Prov_split"/>
    <w:basedOn w:val="DefaultParagraphFont"/>
    <w:uiPriority w:val="1"/>
    <w:qFormat/>
    <w:rsid w:val="00FC4ADC"/>
  </w:style>
  <w:style w:type="paragraph" w:customStyle="1" w:styleId="Tablesplit">
    <w:name w:val="Table_split"/>
    <w:basedOn w:val="Normal"/>
    <w:qFormat/>
    <w:rsid w:val="00FC4ADC"/>
    <w:pPr>
      <w:tabs>
        <w:tab w:val="clear" w:pos="1134"/>
        <w:tab w:val="clear" w:pos="1871"/>
        <w:tab w:val="clear" w:pos="2268"/>
        <w:tab w:val="left" w:pos="7825"/>
      </w:tabs>
      <w:spacing w:before="40" w:after="40"/>
    </w:pPr>
    <w:rPr>
      <w:b/>
      <w:sz w:val="20"/>
      <w:lang w:val="en-GB"/>
    </w:rPr>
  </w:style>
  <w:style w:type="paragraph" w:customStyle="1" w:styleId="Committee">
    <w:name w:val="Committee"/>
    <w:basedOn w:val="Normal"/>
    <w:qFormat/>
    <w:rsid w:val="00FC4ADC"/>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MethodHeadingb">
    <w:name w:val="Method_Headingb"/>
    <w:basedOn w:val="Headingb"/>
    <w:qFormat/>
    <w:rsid w:val="00FC4ADC"/>
  </w:style>
  <w:style w:type="paragraph" w:customStyle="1" w:styleId="Methodheading1">
    <w:name w:val="Method_heading1"/>
    <w:basedOn w:val="Heading1"/>
    <w:next w:val="Normal"/>
    <w:qFormat/>
    <w:rsid w:val="00FC4ADC"/>
  </w:style>
  <w:style w:type="paragraph" w:customStyle="1" w:styleId="Methodheading2">
    <w:name w:val="Method_heading2"/>
    <w:basedOn w:val="Heading2"/>
    <w:next w:val="Normal"/>
    <w:qFormat/>
    <w:rsid w:val="00FC4ADC"/>
  </w:style>
  <w:style w:type="paragraph" w:customStyle="1" w:styleId="Methodheading3">
    <w:name w:val="Method_heading3"/>
    <w:basedOn w:val="Heading3"/>
    <w:next w:val="Normal"/>
    <w:qFormat/>
    <w:rsid w:val="00FC4ADC"/>
  </w:style>
  <w:style w:type="paragraph" w:customStyle="1" w:styleId="Methodheading4">
    <w:name w:val="Method_heading4"/>
    <w:basedOn w:val="Heading4"/>
    <w:next w:val="Normal"/>
    <w:qFormat/>
    <w:rsid w:val="00FC4ADC"/>
  </w:style>
  <w:style w:type="paragraph" w:customStyle="1" w:styleId="Volumetitle">
    <w:name w:val="Volume_title"/>
    <w:basedOn w:val="ArtNo"/>
    <w:qFormat/>
    <w:rsid w:val="00FC4ADC"/>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BR\PF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PF_WRC23.dotx</Template>
  <TotalTime>4</TotalTime>
  <Pages>4</Pages>
  <Words>1208</Words>
  <Characters>6343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7536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Conférence mondiale des radiocommunications - 2023</dc:subject>
  <dc:creator>French</dc:creator>
  <cp:keywords>WRC-23</cp:keywords>
  <cp:lastModifiedBy>French</cp:lastModifiedBy>
  <cp:revision>5</cp:revision>
  <cp:lastPrinted>2003-06-05T19:34:00Z</cp:lastPrinted>
  <dcterms:created xsi:type="dcterms:W3CDTF">2024-02-09T07:56:00Z</dcterms:created>
  <dcterms:modified xsi:type="dcterms:W3CDTF">2024-02-09T08:00:00Z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