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1877C4" w14:paraId="6DFFF071" w14:textId="77777777" w:rsidTr="00B23EDF">
        <w:trPr>
          <w:cantSplit/>
        </w:trPr>
        <w:tc>
          <w:tcPr>
            <w:tcW w:w="1418" w:type="dxa"/>
            <w:vAlign w:val="center"/>
          </w:tcPr>
          <w:p w14:paraId="4F9635F3" w14:textId="77777777" w:rsidR="00B23EDF" w:rsidRPr="001877C4" w:rsidRDefault="00B23EDF" w:rsidP="00E71694">
            <w:pPr>
              <w:spacing w:before="100" w:beforeAutospacing="1"/>
              <w:rPr>
                <w:rFonts w:ascii="Verdana" w:hAnsi="Verdana"/>
                <w:b/>
                <w:bCs/>
                <w:sz w:val="20"/>
              </w:rPr>
            </w:pPr>
            <w:r w:rsidRPr="001877C4">
              <w:drawing>
                <wp:inline distT="0" distB="0" distL="0" distR="0" wp14:anchorId="18BB210D" wp14:editId="5DEFB4F4">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50A085CA" w14:textId="0319E4DD" w:rsidR="00B23EDF" w:rsidRPr="001877C4" w:rsidRDefault="00B23EDF" w:rsidP="00E71694">
            <w:pPr>
              <w:spacing w:before="400" w:after="48"/>
              <w:rPr>
                <w:rFonts w:ascii="Verdana" w:hAnsi="Verdana"/>
                <w:b/>
                <w:bCs/>
                <w:sz w:val="20"/>
              </w:rPr>
            </w:pPr>
            <w:r w:rsidRPr="001877C4">
              <w:rPr>
                <w:rFonts w:ascii="Verdana" w:hAnsi="Verdana"/>
                <w:b/>
                <w:bCs/>
                <w:sz w:val="20"/>
              </w:rPr>
              <w:t>Conférence mondiale des radiocommunications (CMR-23)</w:t>
            </w:r>
            <w:r w:rsidRPr="001877C4">
              <w:rPr>
                <w:rFonts w:ascii="Verdana" w:hAnsi="Verdana"/>
                <w:b/>
                <w:bCs/>
                <w:sz w:val="20"/>
              </w:rPr>
              <w:br/>
            </w:r>
            <w:r w:rsidRPr="001877C4">
              <w:rPr>
                <w:rFonts w:ascii="Verdana" w:hAnsi="Verdana"/>
                <w:b/>
                <w:bCs/>
                <w:sz w:val="18"/>
                <w:szCs w:val="18"/>
              </w:rPr>
              <w:t xml:space="preserve">Dubaï, 20 novembre </w:t>
            </w:r>
            <w:r w:rsidR="003C6DF0" w:rsidRPr="001877C4">
              <w:rPr>
                <w:rFonts w:ascii="Verdana" w:hAnsi="Verdana"/>
                <w:b/>
                <w:bCs/>
                <w:sz w:val="18"/>
                <w:szCs w:val="18"/>
              </w:rPr>
              <w:t>–</w:t>
            </w:r>
            <w:r w:rsidRPr="001877C4">
              <w:rPr>
                <w:rFonts w:ascii="Verdana" w:hAnsi="Verdana"/>
                <w:b/>
                <w:bCs/>
                <w:sz w:val="18"/>
                <w:szCs w:val="18"/>
              </w:rPr>
              <w:t xml:space="preserve"> 15 décembre 2023</w:t>
            </w:r>
          </w:p>
        </w:tc>
        <w:tc>
          <w:tcPr>
            <w:tcW w:w="1667" w:type="dxa"/>
            <w:vAlign w:val="center"/>
          </w:tcPr>
          <w:p w14:paraId="39398068" w14:textId="77777777" w:rsidR="00B23EDF" w:rsidRPr="001877C4" w:rsidRDefault="00B23EDF" w:rsidP="00E71694">
            <w:pPr>
              <w:spacing w:before="0"/>
            </w:pPr>
            <w:bookmarkStart w:id="0" w:name="ditulogo"/>
            <w:bookmarkEnd w:id="0"/>
            <w:r w:rsidRPr="001877C4">
              <w:drawing>
                <wp:inline distT="0" distB="0" distL="0" distR="0" wp14:anchorId="4FFDEE8C" wp14:editId="5BB55F01">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1877C4" w14:paraId="07B873CF" w14:textId="77777777" w:rsidTr="00773113">
        <w:trPr>
          <w:cantSplit/>
        </w:trPr>
        <w:tc>
          <w:tcPr>
            <w:tcW w:w="6911" w:type="dxa"/>
            <w:gridSpan w:val="2"/>
            <w:tcBorders>
              <w:bottom w:val="single" w:sz="12" w:space="0" w:color="auto"/>
            </w:tcBorders>
          </w:tcPr>
          <w:p w14:paraId="0EB81704" w14:textId="77777777" w:rsidR="00587A4E" w:rsidRPr="001877C4" w:rsidRDefault="00587A4E" w:rsidP="00E71694">
            <w:pPr>
              <w:spacing w:before="0" w:after="48"/>
              <w:rPr>
                <w:b/>
                <w:smallCaps/>
                <w:szCs w:val="24"/>
              </w:rPr>
            </w:pPr>
            <w:bookmarkStart w:id="1" w:name="dhead"/>
          </w:p>
        </w:tc>
        <w:tc>
          <w:tcPr>
            <w:tcW w:w="3120" w:type="dxa"/>
            <w:gridSpan w:val="2"/>
            <w:tcBorders>
              <w:bottom w:val="single" w:sz="12" w:space="0" w:color="auto"/>
            </w:tcBorders>
          </w:tcPr>
          <w:p w14:paraId="4757A096" w14:textId="77777777" w:rsidR="00587A4E" w:rsidRPr="001877C4" w:rsidRDefault="00587A4E" w:rsidP="00E71694">
            <w:pPr>
              <w:spacing w:before="0"/>
              <w:rPr>
                <w:rFonts w:ascii="Verdana" w:hAnsi="Verdana"/>
                <w:szCs w:val="24"/>
              </w:rPr>
            </w:pPr>
          </w:p>
        </w:tc>
      </w:tr>
      <w:tr w:rsidR="00587A4E" w:rsidRPr="001877C4" w14:paraId="5EA2B7D7" w14:textId="77777777" w:rsidTr="00773113">
        <w:trPr>
          <w:cantSplit/>
        </w:trPr>
        <w:tc>
          <w:tcPr>
            <w:tcW w:w="6911" w:type="dxa"/>
            <w:gridSpan w:val="2"/>
            <w:tcBorders>
              <w:top w:val="single" w:sz="12" w:space="0" w:color="auto"/>
            </w:tcBorders>
          </w:tcPr>
          <w:p w14:paraId="4A3F9375" w14:textId="77777777" w:rsidR="00587A4E" w:rsidRPr="001877C4" w:rsidRDefault="00587A4E" w:rsidP="00E71694">
            <w:pPr>
              <w:spacing w:before="0" w:after="48"/>
              <w:rPr>
                <w:rFonts w:ascii="Verdana" w:hAnsi="Verdana"/>
                <w:b/>
                <w:smallCaps/>
                <w:sz w:val="20"/>
              </w:rPr>
            </w:pPr>
          </w:p>
        </w:tc>
        <w:tc>
          <w:tcPr>
            <w:tcW w:w="3120" w:type="dxa"/>
            <w:gridSpan w:val="2"/>
            <w:tcBorders>
              <w:top w:val="single" w:sz="12" w:space="0" w:color="auto"/>
            </w:tcBorders>
          </w:tcPr>
          <w:p w14:paraId="0408BF62" w14:textId="77777777" w:rsidR="00587A4E" w:rsidRPr="001877C4" w:rsidRDefault="00587A4E" w:rsidP="00E71694">
            <w:pPr>
              <w:spacing w:before="0"/>
              <w:rPr>
                <w:rFonts w:ascii="Verdana" w:hAnsi="Verdana"/>
                <w:sz w:val="20"/>
              </w:rPr>
            </w:pPr>
          </w:p>
        </w:tc>
      </w:tr>
      <w:tr w:rsidR="00587A4E" w:rsidRPr="001877C4" w14:paraId="19F33378" w14:textId="77777777" w:rsidTr="00773113">
        <w:trPr>
          <w:cantSplit/>
        </w:trPr>
        <w:tc>
          <w:tcPr>
            <w:tcW w:w="6911" w:type="dxa"/>
            <w:gridSpan w:val="2"/>
          </w:tcPr>
          <w:p w14:paraId="23739783" w14:textId="77777777" w:rsidR="00587A4E" w:rsidRPr="001877C4" w:rsidRDefault="008D6821" w:rsidP="00E71694">
            <w:pPr>
              <w:spacing w:before="0"/>
              <w:rPr>
                <w:rFonts w:ascii="Verdana" w:hAnsi="Verdana"/>
                <w:b/>
                <w:sz w:val="20"/>
              </w:rPr>
            </w:pPr>
            <w:r w:rsidRPr="001877C4">
              <w:rPr>
                <w:rFonts w:ascii="Verdana" w:hAnsi="Verdana"/>
                <w:b/>
                <w:sz w:val="20"/>
              </w:rPr>
              <w:t>SÉANCE PLÉNIÈRE</w:t>
            </w:r>
          </w:p>
        </w:tc>
        <w:tc>
          <w:tcPr>
            <w:tcW w:w="3120" w:type="dxa"/>
            <w:gridSpan w:val="2"/>
          </w:tcPr>
          <w:p w14:paraId="24883F5A" w14:textId="42561D08" w:rsidR="00587A4E" w:rsidRPr="001877C4" w:rsidRDefault="00587A4E" w:rsidP="00E71694">
            <w:pPr>
              <w:spacing w:before="0"/>
              <w:rPr>
                <w:rFonts w:ascii="Verdana" w:hAnsi="Verdana"/>
                <w:sz w:val="20"/>
              </w:rPr>
            </w:pPr>
            <w:r w:rsidRPr="001877C4">
              <w:rPr>
                <w:rFonts w:ascii="Verdana" w:hAnsi="Verdana"/>
                <w:b/>
                <w:sz w:val="20"/>
              </w:rPr>
              <w:t>Document</w:t>
            </w:r>
            <w:r w:rsidR="00602866" w:rsidRPr="001877C4">
              <w:rPr>
                <w:rFonts w:ascii="Verdana" w:hAnsi="Verdana"/>
                <w:b/>
                <w:sz w:val="20"/>
              </w:rPr>
              <w:t xml:space="preserve"> </w:t>
            </w:r>
            <w:r w:rsidR="006C3B7D" w:rsidRPr="001877C4">
              <w:rPr>
                <w:rFonts w:ascii="Verdana" w:hAnsi="Verdana"/>
                <w:b/>
                <w:sz w:val="20"/>
              </w:rPr>
              <w:t>526</w:t>
            </w:r>
            <w:r w:rsidRPr="001877C4">
              <w:rPr>
                <w:rFonts w:ascii="Verdana" w:hAnsi="Verdana"/>
                <w:b/>
                <w:sz w:val="20"/>
              </w:rPr>
              <w:t>-F</w:t>
            </w:r>
          </w:p>
        </w:tc>
      </w:tr>
      <w:bookmarkEnd w:id="1"/>
      <w:tr w:rsidR="00587A4E" w:rsidRPr="001877C4" w14:paraId="29A602DB" w14:textId="77777777" w:rsidTr="00773113">
        <w:trPr>
          <w:cantSplit/>
        </w:trPr>
        <w:tc>
          <w:tcPr>
            <w:tcW w:w="6911" w:type="dxa"/>
            <w:gridSpan w:val="2"/>
          </w:tcPr>
          <w:p w14:paraId="220A38EB" w14:textId="77777777" w:rsidR="00587A4E" w:rsidRPr="001877C4" w:rsidRDefault="00587A4E" w:rsidP="00E71694">
            <w:pPr>
              <w:spacing w:before="0"/>
              <w:rPr>
                <w:rFonts w:ascii="Verdana" w:hAnsi="Verdana"/>
                <w:b/>
                <w:sz w:val="20"/>
              </w:rPr>
            </w:pPr>
          </w:p>
        </w:tc>
        <w:tc>
          <w:tcPr>
            <w:tcW w:w="3120" w:type="dxa"/>
            <w:gridSpan w:val="2"/>
          </w:tcPr>
          <w:p w14:paraId="7D365D4B" w14:textId="03970669" w:rsidR="00587A4E" w:rsidRPr="001877C4" w:rsidRDefault="006C3B7D" w:rsidP="00E71694">
            <w:pPr>
              <w:spacing w:before="0"/>
              <w:rPr>
                <w:rFonts w:ascii="Verdana" w:hAnsi="Verdana"/>
                <w:b/>
                <w:sz w:val="20"/>
              </w:rPr>
            </w:pPr>
            <w:r w:rsidRPr="001877C4">
              <w:rPr>
                <w:rFonts w:ascii="Verdana" w:hAnsi="Verdana"/>
                <w:b/>
                <w:sz w:val="20"/>
              </w:rPr>
              <w:t>15 janvier 2024</w:t>
            </w:r>
          </w:p>
        </w:tc>
      </w:tr>
      <w:tr w:rsidR="00587A4E" w:rsidRPr="001877C4" w14:paraId="60359401" w14:textId="77777777" w:rsidTr="00773113">
        <w:trPr>
          <w:cantSplit/>
        </w:trPr>
        <w:tc>
          <w:tcPr>
            <w:tcW w:w="6911" w:type="dxa"/>
            <w:gridSpan w:val="2"/>
          </w:tcPr>
          <w:p w14:paraId="60C841BB" w14:textId="77777777" w:rsidR="00587A4E" w:rsidRPr="001877C4" w:rsidRDefault="00587A4E" w:rsidP="00E71694">
            <w:pPr>
              <w:spacing w:before="0" w:after="48"/>
              <w:rPr>
                <w:rFonts w:ascii="Verdana" w:hAnsi="Verdana"/>
                <w:b/>
                <w:smallCaps/>
                <w:sz w:val="20"/>
              </w:rPr>
            </w:pPr>
          </w:p>
        </w:tc>
        <w:tc>
          <w:tcPr>
            <w:tcW w:w="3120" w:type="dxa"/>
            <w:gridSpan w:val="2"/>
          </w:tcPr>
          <w:p w14:paraId="7D8E8948" w14:textId="77777777" w:rsidR="00587A4E" w:rsidRPr="001877C4" w:rsidRDefault="00587A4E" w:rsidP="00E71694">
            <w:pPr>
              <w:spacing w:before="0"/>
              <w:rPr>
                <w:rFonts w:ascii="Verdana" w:hAnsi="Verdana"/>
                <w:b/>
                <w:sz w:val="20"/>
              </w:rPr>
            </w:pPr>
            <w:r w:rsidRPr="001877C4">
              <w:rPr>
                <w:rFonts w:ascii="Verdana" w:hAnsi="Verdana"/>
                <w:b/>
                <w:sz w:val="20"/>
              </w:rPr>
              <w:t>Original: anglais</w:t>
            </w:r>
          </w:p>
        </w:tc>
      </w:tr>
      <w:tr w:rsidR="00587A4E" w:rsidRPr="001877C4" w14:paraId="616D8D33" w14:textId="77777777" w:rsidTr="00773113">
        <w:trPr>
          <w:cantSplit/>
        </w:trPr>
        <w:tc>
          <w:tcPr>
            <w:tcW w:w="10031" w:type="dxa"/>
            <w:gridSpan w:val="4"/>
          </w:tcPr>
          <w:p w14:paraId="027BC628" w14:textId="77777777" w:rsidR="00587A4E" w:rsidRPr="001877C4" w:rsidRDefault="00587A4E" w:rsidP="00E71694">
            <w:pPr>
              <w:spacing w:before="0"/>
              <w:rPr>
                <w:rFonts w:ascii="Verdana" w:hAnsi="Verdana"/>
                <w:b/>
                <w:sz w:val="20"/>
              </w:rPr>
            </w:pPr>
          </w:p>
        </w:tc>
      </w:tr>
      <w:tr w:rsidR="00587A4E" w:rsidRPr="001877C4" w14:paraId="107CECE5" w14:textId="77777777" w:rsidTr="00773113">
        <w:trPr>
          <w:cantSplit/>
        </w:trPr>
        <w:tc>
          <w:tcPr>
            <w:tcW w:w="10031" w:type="dxa"/>
            <w:gridSpan w:val="4"/>
          </w:tcPr>
          <w:p w14:paraId="42CEBEDD" w14:textId="77777777" w:rsidR="00587A4E" w:rsidRPr="001877C4" w:rsidRDefault="00587A4E" w:rsidP="00E71694">
            <w:pPr>
              <w:pStyle w:val="Source"/>
            </w:pPr>
            <w:bookmarkStart w:id="2" w:name="dsource" w:colFirst="0" w:colLast="0"/>
          </w:p>
        </w:tc>
      </w:tr>
      <w:tr w:rsidR="00587A4E" w:rsidRPr="001877C4" w14:paraId="36329126" w14:textId="77777777" w:rsidTr="00773113">
        <w:trPr>
          <w:cantSplit/>
        </w:trPr>
        <w:tc>
          <w:tcPr>
            <w:tcW w:w="10031" w:type="dxa"/>
            <w:gridSpan w:val="4"/>
          </w:tcPr>
          <w:p w14:paraId="51958E01" w14:textId="77777777" w:rsidR="00E511AB" w:rsidRPr="001877C4" w:rsidRDefault="00F96E10" w:rsidP="00E71694">
            <w:pPr>
              <w:pStyle w:val="Title1"/>
            </w:pPr>
            <w:bookmarkStart w:id="3" w:name="dtitle1" w:colFirst="0" w:colLast="0"/>
            <w:bookmarkEnd w:id="2"/>
            <w:r w:rsidRPr="001877C4">
              <w:t>PROCÈS-VERBAL</w:t>
            </w:r>
          </w:p>
          <w:p w14:paraId="08963030" w14:textId="77777777" w:rsidR="00E511AB" w:rsidRPr="001877C4" w:rsidRDefault="00F96E10" w:rsidP="00E71694">
            <w:pPr>
              <w:pStyle w:val="Title1"/>
            </w:pPr>
            <w:r w:rsidRPr="001877C4">
              <w:t>DE LA</w:t>
            </w:r>
          </w:p>
          <w:p w14:paraId="2398C10B" w14:textId="0E84634A" w:rsidR="00587A4E" w:rsidRPr="001877C4" w:rsidRDefault="006C3B7D" w:rsidP="00E71694">
            <w:pPr>
              <w:pStyle w:val="Title1"/>
            </w:pPr>
            <w:r w:rsidRPr="001877C4">
              <w:t>ONziÈme</w:t>
            </w:r>
            <w:r w:rsidR="00F96E10" w:rsidRPr="001877C4">
              <w:t xml:space="preserve"> SÉANCE PLÉNIÈRE</w:t>
            </w:r>
          </w:p>
        </w:tc>
      </w:tr>
      <w:tr w:rsidR="00587A4E" w:rsidRPr="001877C4" w14:paraId="401D27F4" w14:textId="77777777" w:rsidTr="00773113">
        <w:trPr>
          <w:cantSplit/>
        </w:trPr>
        <w:tc>
          <w:tcPr>
            <w:tcW w:w="10031" w:type="dxa"/>
            <w:gridSpan w:val="4"/>
          </w:tcPr>
          <w:p w14:paraId="4CF72397" w14:textId="27FCDC9B" w:rsidR="00587A4E" w:rsidRPr="001877C4" w:rsidRDefault="006C3B7D" w:rsidP="00E71694">
            <w:pPr>
              <w:pStyle w:val="Title2"/>
              <w:rPr>
                <w:sz w:val="24"/>
                <w:szCs w:val="24"/>
              </w:rPr>
            </w:pPr>
            <w:bookmarkStart w:id="4" w:name="dtitle2" w:colFirst="0" w:colLast="0"/>
            <w:bookmarkEnd w:id="3"/>
            <w:r w:rsidRPr="001877C4">
              <w:rPr>
                <w:caps w:val="0"/>
                <w:sz w:val="24"/>
                <w:szCs w:val="24"/>
              </w:rPr>
              <w:t>Mercredi 13 décembre 2023</w:t>
            </w:r>
            <w:r w:rsidR="00E511AB" w:rsidRPr="001877C4">
              <w:rPr>
                <w:caps w:val="0"/>
                <w:sz w:val="24"/>
                <w:szCs w:val="24"/>
              </w:rPr>
              <w:t>, à 1</w:t>
            </w:r>
            <w:r w:rsidRPr="001877C4">
              <w:rPr>
                <w:caps w:val="0"/>
                <w:sz w:val="24"/>
                <w:szCs w:val="24"/>
              </w:rPr>
              <w:t>5</w:t>
            </w:r>
            <w:r w:rsidR="00E511AB" w:rsidRPr="001877C4">
              <w:rPr>
                <w:caps w:val="0"/>
                <w:sz w:val="24"/>
                <w:szCs w:val="24"/>
              </w:rPr>
              <w:t xml:space="preserve"> h </w:t>
            </w:r>
            <w:r w:rsidRPr="001877C4">
              <w:rPr>
                <w:caps w:val="0"/>
                <w:sz w:val="24"/>
                <w:szCs w:val="24"/>
              </w:rPr>
              <w:t>45</w:t>
            </w:r>
          </w:p>
        </w:tc>
      </w:tr>
      <w:tr w:rsidR="00587A4E" w:rsidRPr="001877C4" w14:paraId="487D35D8" w14:textId="77777777" w:rsidTr="00773113">
        <w:trPr>
          <w:cantSplit/>
        </w:trPr>
        <w:tc>
          <w:tcPr>
            <w:tcW w:w="10031" w:type="dxa"/>
            <w:gridSpan w:val="4"/>
          </w:tcPr>
          <w:p w14:paraId="39929C26" w14:textId="43AC61DB" w:rsidR="00587A4E" w:rsidRPr="001877C4" w:rsidRDefault="00F96E10" w:rsidP="00E71694">
            <w:pPr>
              <w:pStyle w:val="Agendaitem"/>
              <w:rPr>
                <w:sz w:val="24"/>
                <w:szCs w:val="24"/>
                <w:lang w:val="fr-FR"/>
              </w:rPr>
            </w:pPr>
            <w:bookmarkStart w:id="5" w:name="dtitle3" w:colFirst="0" w:colLast="0"/>
            <w:bookmarkEnd w:id="4"/>
            <w:r w:rsidRPr="001877C4">
              <w:rPr>
                <w:b/>
                <w:bCs/>
                <w:sz w:val="24"/>
                <w:szCs w:val="24"/>
                <w:lang w:val="fr-FR"/>
              </w:rPr>
              <w:t>Président:</w:t>
            </w:r>
            <w:r w:rsidRPr="001877C4">
              <w:rPr>
                <w:sz w:val="24"/>
                <w:szCs w:val="24"/>
                <w:lang w:val="fr-FR"/>
              </w:rPr>
              <w:t xml:space="preserve"> </w:t>
            </w:r>
            <w:r w:rsidR="00BC512B" w:rsidRPr="001877C4">
              <w:rPr>
                <w:sz w:val="24"/>
                <w:szCs w:val="24"/>
                <w:lang w:val="fr-FR"/>
              </w:rPr>
              <w:t>S.</w:t>
            </w:r>
            <w:r w:rsidR="0070204B" w:rsidRPr="001877C4">
              <w:rPr>
                <w:sz w:val="24"/>
                <w:szCs w:val="24"/>
                <w:lang w:val="fr-FR"/>
              </w:rPr>
              <w:t xml:space="preserve"> </w:t>
            </w:r>
            <w:r w:rsidR="00BC512B" w:rsidRPr="001877C4">
              <w:rPr>
                <w:sz w:val="24"/>
                <w:szCs w:val="24"/>
                <w:lang w:val="fr-FR"/>
              </w:rPr>
              <w:t>E.</w:t>
            </w:r>
            <w:r w:rsidRPr="001877C4">
              <w:rPr>
                <w:sz w:val="24"/>
                <w:szCs w:val="24"/>
                <w:lang w:val="fr-FR"/>
              </w:rPr>
              <w:t xml:space="preserve"> </w:t>
            </w:r>
            <w:r w:rsidR="00BC512B" w:rsidRPr="001877C4">
              <w:rPr>
                <w:sz w:val="24"/>
                <w:szCs w:val="24"/>
                <w:lang w:val="fr-FR"/>
              </w:rPr>
              <w:t>M.</w:t>
            </w:r>
            <w:r w:rsidRPr="001877C4">
              <w:rPr>
                <w:sz w:val="24"/>
                <w:szCs w:val="24"/>
                <w:lang w:val="fr-FR"/>
              </w:rPr>
              <w:t xml:space="preserve"> </w:t>
            </w:r>
            <w:r w:rsidR="00E1259E" w:rsidRPr="001877C4">
              <w:rPr>
                <w:sz w:val="24"/>
                <w:szCs w:val="24"/>
                <w:lang w:val="fr-FR"/>
              </w:rPr>
              <w:t xml:space="preserve">M. </w:t>
            </w:r>
            <w:r w:rsidR="00BC512B" w:rsidRPr="001877C4">
              <w:rPr>
                <w:sz w:val="24"/>
                <w:szCs w:val="24"/>
                <w:lang w:val="fr-FR"/>
              </w:rPr>
              <w:t xml:space="preserve">AL RAMSI </w:t>
            </w:r>
            <w:r w:rsidRPr="001877C4">
              <w:rPr>
                <w:sz w:val="24"/>
                <w:szCs w:val="24"/>
                <w:lang w:val="fr-FR"/>
              </w:rPr>
              <w:t>(</w:t>
            </w:r>
            <w:r w:rsidR="00BC741F" w:rsidRPr="001877C4">
              <w:rPr>
                <w:sz w:val="24"/>
                <w:szCs w:val="24"/>
                <w:lang w:val="fr-FR"/>
              </w:rPr>
              <w:t>Émirats arabes unis</w:t>
            </w:r>
            <w:r w:rsidRPr="001877C4">
              <w:rPr>
                <w:sz w:val="24"/>
                <w:szCs w:val="24"/>
                <w:lang w:val="fr-FR"/>
              </w:rPr>
              <w:t>)</w:t>
            </w:r>
          </w:p>
        </w:tc>
      </w:tr>
      <w:bookmarkEnd w:id="5"/>
    </w:tbl>
    <w:p w14:paraId="068789B9" w14:textId="77777777" w:rsidR="00F372DE" w:rsidRPr="001877C4" w:rsidRDefault="00F372DE" w:rsidP="00E71694"/>
    <w:tbl>
      <w:tblPr>
        <w:tblW w:w="10031" w:type="dxa"/>
        <w:tblLook w:val="0000" w:firstRow="0" w:lastRow="0" w:firstColumn="0" w:lastColumn="0" w:noHBand="0" w:noVBand="0"/>
      </w:tblPr>
      <w:tblGrid>
        <w:gridCol w:w="534"/>
        <w:gridCol w:w="7404"/>
        <w:gridCol w:w="2093"/>
      </w:tblGrid>
      <w:tr w:rsidR="00F96E10" w:rsidRPr="001877C4" w14:paraId="2E6937FC" w14:textId="77777777" w:rsidTr="00E511AB">
        <w:tc>
          <w:tcPr>
            <w:tcW w:w="534" w:type="dxa"/>
          </w:tcPr>
          <w:p w14:paraId="13A3197F" w14:textId="77777777" w:rsidR="00F96E10" w:rsidRPr="001877C4" w:rsidRDefault="00F96E10" w:rsidP="00E71694"/>
        </w:tc>
        <w:tc>
          <w:tcPr>
            <w:tcW w:w="7404" w:type="dxa"/>
          </w:tcPr>
          <w:p w14:paraId="7315D182" w14:textId="77777777" w:rsidR="00F96E10" w:rsidRPr="001877C4" w:rsidRDefault="00F96E10" w:rsidP="00E71694">
            <w:pPr>
              <w:rPr>
                <w:b/>
                <w:bCs/>
              </w:rPr>
            </w:pPr>
            <w:r w:rsidRPr="001877C4">
              <w:rPr>
                <w:b/>
                <w:bCs/>
              </w:rPr>
              <w:t>Sujets examinés</w:t>
            </w:r>
          </w:p>
        </w:tc>
        <w:tc>
          <w:tcPr>
            <w:tcW w:w="2093" w:type="dxa"/>
          </w:tcPr>
          <w:p w14:paraId="27136728" w14:textId="77777777" w:rsidR="00F96E10" w:rsidRPr="001877C4" w:rsidRDefault="00F96E10" w:rsidP="00E71694">
            <w:pPr>
              <w:jc w:val="center"/>
              <w:rPr>
                <w:b/>
                <w:bCs/>
              </w:rPr>
            </w:pPr>
            <w:r w:rsidRPr="001877C4">
              <w:rPr>
                <w:b/>
                <w:bCs/>
              </w:rPr>
              <w:t>Documents</w:t>
            </w:r>
          </w:p>
        </w:tc>
      </w:tr>
      <w:tr w:rsidR="00F96E10" w:rsidRPr="001877C4" w14:paraId="723FA82B" w14:textId="77777777" w:rsidTr="00E511AB">
        <w:tc>
          <w:tcPr>
            <w:tcW w:w="534" w:type="dxa"/>
          </w:tcPr>
          <w:p w14:paraId="159578D8" w14:textId="77777777" w:rsidR="00F96E10" w:rsidRPr="001877C4" w:rsidRDefault="00F96E10" w:rsidP="00E71694">
            <w:pPr>
              <w:rPr>
                <w:b/>
                <w:bCs/>
              </w:rPr>
            </w:pPr>
            <w:r w:rsidRPr="001877C4">
              <w:rPr>
                <w:bCs/>
              </w:rPr>
              <w:t>1</w:t>
            </w:r>
          </w:p>
        </w:tc>
        <w:tc>
          <w:tcPr>
            <w:tcW w:w="7404" w:type="dxa"/>
          </w:tcPr>
          <w:p w14:paraId="2249B616" w14:textId="598FE84C" w:rsidR="00F96E10" w:rsidRPr="001877C4" w:rsidRDefault="00F96E10" w:rsidP="00E71694">
            <w:pPr>
              <w:rPr>
                <w:b/>
                <w:bCs/>
              </w:rPr>
            </w:pPr>
            <w:r w:rsidRPr="001877C4">
              <w:rPr>
                <w:bCs/>
              </w:rPr>
              <w:t>Rapports verbaux des Présidents des Commissions</w:t>
            </w:r>
          </w:p>
        </w:tc>
        <w:tc>
          <w:tcPr>
            <w:tcW w:w="2093" w:type="dxa"/>
          </w:tcPr>
          <w:p w14:paraId="00DB25A4" w14:textId="79A0FD45" w:rsidR="00F96E10" w:rsidRPr="001877C4" w:rsidRDefault="00F96E10" w:rsidP="00E71694">
            <w:pPr>
              <w:jc w:val="center"/>
            </w:pPr>
            <w:r w:rsidRPr="001877C4">
              <w:t>–</w:t>
            </w:r>
          </w:p>
        </w:tc>
      </w:tr>
      <w:tr w:rsidR="006C3B7D" w:rsidRPr="001877C4" w14:paraId="3B508D10" w14:textId="77777777" w:rsidTr="00E511AB">
        <w:tc>
          <w:tcPr>
            <w:tcW w:w="534" w:type="dxa"/>
          </w:tcPr>
          <w:p w14:paraId="0F235E2E" w14:textId="77777777" w:rsidR="006C3B7D" w:rsidRPr="001877C4" w:rsidRDefault="006C3B7D" w:rsidP="00E71694">
            <w:pPr>
              <w:rPr>
                <w:b/>
                <w:bCs/>
              </w:rPr>
            </w:pPr>
            <w:r w:rsidRPr="001877C4">
              <w:rPr>
                <w:bCs/>
              </w:rPr>
              <w:t>2</w:t>
            </w:r>
          </w:p>
        </w:tc>
        <w:tc>
          <w:tcPr>
            <w:tcW w:w="7404" w:type="dxa"/>
          </w:tcPr>
          <w:p w14:paraId="5AE0C095" w14:textId="3568D914" w:rsidR="006C3B7D" w:rsidRPr="001877C4" w:rsidRDefault="008937B0" w:rsidP="00E71694">
            <w:r w:rsidRPr="001877C4">
              <w:t>Quatrième rapport de la Commission 6 à la plénière</w:t>
            </w:r>
          </w:p>
        </w:tc>
        <w:tc>
          <w:tcPr>
            <w:tcW w:w="2093" w:type="dxa"/>
          </w:tcPr>
          <w:p w14:paraId="7B4904F8" w14:textId="40615291" w:rsidR="006C3B7D" w:rsidRPr="001877C4" w:rsidRDefault="006C3B7D" w:rsidP="00E71694">
            <w:pPr>
              <w:jc w:val="center"/>
            </w:pPr>
            <w:r w:rsidRPr="001877C4">
              <w:t>497</w:t>
            </w:r>
          </w:p>
        </w:tc>
      </w:tr>
      <w:tr w:rsidR="006C3B7D" w:rsidRPr="001877C4" w14:paraId="1B20F028" w14:textId="77777777" w:rsidTr="00E511AB">
        <w:tc>
          <w:tcPr>
            <w:tcW w:w="534" w:type="dxa"/>
          </w:tcPr>
          <w:p w14:paraId="1C40791B" w14:textId="77777777" w:rsidR="006C3B7D" w:rsidRPr="001877C4" w:rsidRDefault="006C3B7D" w:rsidP="00E71694">
            <w:pPr>
              <w:rPr>
                <w:b/>
                <w:bCs/>
              </w:rPr>
            </w:pPr>
            <w:r w:rsidRPr="001877C4">
              <w:rPr>
                <w:bCs/>
              </w:rPr>
              <w:t>3</w:t>
            </w:r>
          </w:p>
        </w:tc>
        <w:tc>
          <w:tcPr>
            <w:tcW w:w="7404" w:type="dxa"/>
          </w:tcPr>
          <w:p w14:paraId="7072AF90" w14:textId="18C4E942" w:rsidR="006C3B7D" w:rsidRPr="001877C4" w:rsidRDefault="006C3B7D" w:rsidP="00E71694">
            <w:pPr>
              <w:rPr>
                <w:b/>
                <w:bCs/>
              </w:rPr>
            </w:pPr>
            <w:r w:rsidRPr="001877C4">
              <w:rPr>
                <w:bCs/>
              </w:rPr>
              <w:t>Trente-troisième série de textes soumis par la Commission de rédaction en première lecture (B33)</w:t>
            </w:r>
          </w:p>
        </w:tc>
        <w:tc>
          <w:tcPr>
            <w:tcW w:w="2093" w:type="dxa"/>
          </w:tcPr>
          <w:p w14:paraId="7AC60E56" w14:textId="2DCC71EB" w:rsidR="006C3B7D" w:rsidRPr="001877C4" w:rsidRDefault="006C3B7D" w:rsidP="00E71694">
            <w:pPr>
              <w:jc w:val="center"/>
            </w:pPr>
            <w:r w:rsidRPr="001877C4">
              <w:t>455</w:t>
            </w:r>
          </w:p>
        </w:tc>
      </w:tr>
      <w:tr w:rsidR="006C3B7D" w:rsidRPr="001877C4" w14:paraId="6F40D136" w14:textId="77777777" w:rsidTr="00E511AB">
        <w:tc>
          <w:tcPr>
            <w:tcW w:w="534" w:type="dxa"/>
          </w:tcPr>
          <w:p w14:paraId="59A9EC32" w14:textId="77777777" w:rsidR="006C3B7D" w:rsidRPr="001877C4" w:rsidRDefault="006C3B7D" w:rsidP="00E71694">
            <w:pPr>
              <w:rPr>
                <w:b/>
              </w:rPr>
            </w:pPr>
            <w:r w:rsidRPr="001877C4">
              <w:t>4</w:t>
            </w:r>
          </w:p>
        </w:tc>
        <w:tc>
          <w:tcPr>
            <w:tcW w:w="7404" w:type="dxa"/>
          </w:tcPr>
          <w:p w14:paraId="66D726CF" w14:textId="78FDA18C" w:rsidR="006C3B7D" w:rsidRPr="001877C4" w:rsidRDefault="006C3B7D" w:rsidP="00E71694">
            <w:pPr>
              <w:rPr>
                <w:b/>
              </w:rPr>
            </w:pPr>
            <w:r w:rsidRPr="001877C4">
              <w:t>Trente-troisième série de textes soumis par la Commission de rédaction (B33) – deuxième lecture</w:t>
            </w:r>
          </w:p>
        </w:tc>
        <w:tc>
          <w:tcPr>
            <w:tcW w:w="2093" w:type="dxa"/>
          </w:tcPr>
          <w:p w14:paraId="66F8BB93" w14:textId="4FB869AC" w:rsidR="006C3B7D" w:rsidRPr="001877C4" w:rsidRDefault="006C3B7D" w:rsidP="00E71694">
            <w:pPr>
              <w:jc w:val="center"/>
            </w:pPr>
            <w:r w:rsidRPr="001877C4">
              <w:t>455</w:t>
            </w:r>
          </w:p>
        </w:tc>
      </w:tr>
      <w:tr w:rsidR="006C3B7D" w:rsidRPr="001877C4" w14:paraId="43389D01" w14:textId="77777777" w:rsidTr="00E511AB">
        <w:tc>
          <w:tcPr>
            <w:tcW w:w="534" w:type="dxa"/>
          </w:tcPr>
          <w:p w14:paraId="24A70A84" w14:textId="77777777" w:rsidR="006C3B7D" w:rsidRPr="001877C4" w:rsidRDefault="006C3B7D" w:rsidP="00E71694">
            <w:pPr>
              <w:rPr>
                <w:b/>
              </w:rPr>
            </w:pPr>
            <w:r w:rsidRPr="001877C4">
              <w:t>5</w:t>
            </w:r>
          </w:p>
        </w:tc>
        <w:tc>
          <w:tcPr>
            <w:tcW w:w="7404" w:type="dxa"/>
          </w:tcPr>
          <w:p w14:paraId="374B3435" w14:textId="53A5119E" w:rsidR="006C3B7D" w:rsidRPr="001877C4" w:rsidRDefault="006C3B7D" w:rsidP="00E71694">
            <w:pPr>
              <w:rPr>
                <w:b/>
              </w:rPr>
            </w:pPr>
            <w:r w:rsidRPr="001877C4">
              <w:t>Trente-cinquième série de textes soumis par la Commission de rédaction en première lecture (B35)</w:t>
            </w:r>
          </w:p>
        </w:tc>
        <w:tc>
          <w:tcPr>
            <w:tcW w:w="2093" w:type="dxa"/>
          </w:tcPr>
          <w:p w14:paraId="5B1EAF51" w14:textId="3C819085" w:rsidR="006C3B7D" w:rsidRPr="001877C4" w:rsidRDefault="006C3B7D" w:rsidP="00E71694">
            <w:pPr>
              <w:jc w:val="center"/>
            </w:pPr>
            <w:r w:rsidRPr="001877C4">
              <w:t>457(R</w:t>
            </w:r>
            <w:r w:rsidR="00E71694" w:rsidRPr="001877C4">
              <w:t>é</w:t>
            </w:r>
            <w:r w:rsidRPr="001877C4">
              <w:t>v.1)</w:t>
            </w:r>
          </w:p>
        </w:tc>
      </w:tr>
      <w:tr w:rsidR="006C3B7D" w:rsidRPr="001877C4" w14:paraId="34DF56D0" w14:textId="77777777" w:rsidTr="00E511AB">
        <w:tc>
          <w:tcPr>
            <w:tcW w:w="534" w:type="dxa"/>
          </w:tcPr>
          <w:p w14:paraId="6DEBFC63" w14:textId="77777777" w:rsidR="006C3B7D" w:rsidRPr="001877C4" w:rsidRDefault="006C3B7D" w:rsidP="00E71694">
            <w:pPr>
              <w:rPr>
                <w:b/>
              </w:rPr>
            </w:pPr>
            <w:r w:rsidRPr="001877C4">
              <w:t>6</w:t>
            </w:r>
          </w:p>
        </w:tc>
        <w:tc>
          <w:tcPr>
            <w:tcW w:w="7404" w:type="dxa"/>
          </w:tcPr>
          <w:p w14:paraId="113E57AE" w14:textId="3955DE50" w:rsidR="006C3B7D" w:rsidRPr="001877C4" w:rsidRDefault="006C3B7D" w:rsidP="00E71694">
            <w:pPr>
              <w:rPr>
                <w:b/>
              </w:rPr>
            </w:pPr>
            <w:r w:rsidRPr="001877C4">
              <w:t>Trente-cinquième série de textes soumis par la Commission de rédaction (B35) – deuxième lecture</w:t>
            </w:r>
          </w:p>
        </w:tc>
        <w:tc>
          <w:tcPr>
            <w:tcW w:w="2093" w:type="dxa"/>
          </w:tcPr>
          <w:p w14:paraId="1FB66F7A" w14:textId="7E6EB34B" w:rsidR="006C3B7D" w:rsidRPr="001877C4" w:rsidRDefault="006C3B7D" w:rsidP="00E71694">
            <w:pPr>
              <w:jc w:val="center"/>
            </w:pPr>
            <w:r w:rsidRPr="001877C4">
              <w:t>457(R</w:t>
            </w:r>
            <w:r w:rsidR="00E71694" w:rsidRPr="001877C4">
              <w:t>é</w:t>
            </w:r>
            <w:r w:rsidRPr="001877C4">
              <w:t>v.1)</w:t>
            </w:r>
          </w:p>
        </w:tc>
      </w:tr>
      <w:tr w:rsidR="006C3B7D" w:rsidRPr="001877C4" w14:paraId="4811BBBA" w14:textId="77777777" w:rsidTr="00E511AB">
        <w:tc>
          <w:tcPr>
            <w:tcW w:w="534" w:type="dxa"/>
          </w:tcPr>
          <w:p w14:paraId="77124BF1" w14:textId="77777777" w:rsidR="006C3B7D" w:rsidRPr="001877C4" w:rsidRDefault="006C3B7D" w:rsidP="00E71694">
            <w:pPr>
              <w:rPr>
                <w:b/>
              </w:rPr>
            </w:pPr>
            <w:r w:rsidRPr="001877C4">
              <w:t>7</w:t>
            </w:r>
          </w:p>
        </w:tc>
        <w:tc>
          <w:tcPr>
            <w:tcW w:w="7404" w:type="dxa"/>
          </w:tcPr>
          <w:p w14:paraId="13F8495A" w14:textId="4CD7460F" w:rsidR="006C3B7D" w:rsidRPr="001877C4" w:rsidRDefault="006C3B7D" w:rsidP="00E71694">
            <w:pPr>
              <w:rPr>
                <w:bCs/>
              </w:rPr>
            </w:pPr>
            <w:bookmarkStart w:id="6" w:name="lt_pId041"/>
            <w:r w:rsidRPr="001877C4">
              <w:t>Quarantième série de textes soumis par la Commission de rédaction en première lecture (B40)</w:t>
            </w:r>
            <w:bookmarkEnd w:id="6"/>
          </w:p>
        </w:tc>
        <w:tc>
          <w:tcPr>
            <w:tcW w:w="2093" w:type="dxa"/>
          </w:tcPr>
          <w:p w14:paraId="3722AB48" w14:textId="709E8585" w:rsidR="006C3B7D" w:rsidRPr="001877C4" w:rsidRDefault="006C3B7D" w:rsidP="00E71694">
            <w:pPr>
              <w:jc w:val="center"/>
            </w:pPr>
            <w:r w:rsidRPr="001877C4">
              <w:t>474</w:t>
            </w:r>
          </w:p>
        </w:tc>
      </w:tr>
      <w:tr w:rsidR="006C3B7D" w:rsidRPr="001877C4" w14:paraId="60B77F16" w14:textId="77777777" w:rsidTr="00E511AB">
        <w:tc>
          <w:tcPr>
            <w:tcW w:w="534" w:type="dxa"/>
          </w:tcPr>
          <w:p w14:paraId="6B5BAEDA" w14:textId="77777777" w:rsidR="006C3B7D" w:rsidRPr="001877C4" w:rsidRDefault="006C3B7D" w:rsidP="00E71694">
            <w:pPr>
              <w:rPr>
                <w:b/>
              </w:rPr>
            </w:pPr>
            <w:r w:rsidRPr="001877C4">
              <w:t>8</w:t>
            </w:r>
          </w:p>
        </w:tc>
        <w:tc>
          <w:tcPr>
            <w:tcW w:w="7404" w:type="dxa"/>
          </w:tcPr>
          <w:p w14:paraId="374FCAB2" w14:textId="55733E73" w:rsidR="006C3B7D" w:rsidRPr="001877C4" w:rsidRDefault="006C3B7D" w:rsidP="00E71694">
            <w:pPr>
              <w:rPr>
                <w:bCs/>
              </w:rPr>
            </w:pPr>
            <w:bookmarkStart w:id="7" w:name="lt_pId044"/>
            <w:r w:rsidRPr="001877C4">
              <w:t>Quarantième série de textes soumis par la Commission de rédaction (B40)</w:t>
            </w:r>
            <w:r w:rsidR="00E71694" w:rsidRPr="001877C4">
              <w:t> </w:t>
            </w:r>
            <w:r w:rsidRPr="001877C4">
              <w:t xml:space="preserve">– </w:t>
            </w:r>
            <w:bookmarkEnd w:id="7"/>
            <w:r w:rsidRPr="001877C4">
              <w:t>deuxième</w:t>
            </w:r>
            <w:r w:rsidR="008D5D73" w:rsidRPr="001877C4">
              <w:t xml:space="preserve"> lecture</w:t>
            </w:r>
          </w:p>
        </w:tc>
        <w:tc>
          <w:tcPr>
            <w:tcW w:w="2093" w:type="dxa"/>
          </w:tcPr>
          <w:p w14:paraId="0B1FDEEA" w14:textId="07973423" w:rsidR="006C3B7D" w:rsidRPr="001877C4" w:rsidRDefault="006C3B7D" w:rsidP="00E71694">
            <w:pPr>
              <w:jc w:val="center"/>
            </w:pPr>
            <w:r w:rsidRPr="001877C4">
              <w:t>474</w:t>
            </w:r>
          </w:p>
        </w:tc>
      </w:tr>
      <w:tr w:rsidR="006C3B7D" w:rsidRPr="001877C4" w14:paraId="50C0BC75" w14:textId="77777777" w:rsidTr="00E511AB">
        <w:tc>
          <w:tcPr>
            <w:tcW w:w="534" w:type="dxa"/>
          </w:tcPr>
          <w:p w14:paraId="0BBE1B72" w14:textId="666C36E0" w:rsidR="006C3B7D" w:rsidRPr="001877C4" w:rsidRDefault="006C3B7D" w:rsidP="00E71694">
            <w:r w:rsidRPr="001877C4">
              <w:t>9</w:t>
            </w:r>
          </w:p>
        </w:tc>
        <w:tc>
          <w:tcPr>
            <w:tcW w:w="7404" w:type="dxa"/>
          </w:tcPr>
          <w:p w14:paraId="172FA1C8" w14:textId="60FA78F3" w:rsidR="006C3B7D" w:rsidRPr="001877C4" w:rsidRDefault="006C3B7D" w:rsidP="00E71694">
            <w:pPr>
              <w:rPr>
                <w:bCs/>
              </w:rPr>
            </w:pPr>
            <w:r w:rsidRPr="001877C4">
              <w:t>Quarante-deuxième série de textes soumis par la Commission de rédaction en première lecture (B42)</w:t>
            </w:r>
          </w:p>
        </w:tc>
        <w:tc>
          <w:tcPr>
            <w:tcW w:w="2093" w:type="dxa"/>
          </w:tcPr>
          <w:p w14:paraId="195E466E" w14:textId="4EB7E39A" w:rsidR="006C3B7D" w:rsidRPr="001877C4" w:rsidRDefault="006C3B7D" w:rsidP="00E71694">
            <w:pPr>
              <w:jc w:val="center"/>
            </w:pPr>
            <w:r w:rsidRPr="001877C4">
              <w:t>482</w:t>
            </w:r>
          </w:p>
        </w:tc>
      </w:tr>
      <w:tr w:rsidR="006C3B7D" w:rsidRPr="001877C4" w14:paraId="0862DC24" w14:textId="77777777" w:rsidTr="00E511AB">
        <w:tc>
          <w:tcPr>
            <w:tcW w:w="534" w:type="dxa"/>
          </w:tcPr>
          <w:p w14:paraId="4AEAEE2B" w14:textId="7C655E13" w:rsidR="006C3B7D" w:rsidRPr="001877C4" w:rsidRDefault="006C3B7D" w:rsidP="00E71694">
            <w:r w:rsidRPr="001877C4">
              <w:t>10</w:t>
            </w:r>
          </w:p>
        </w:tc>
        <w:tc>
          <w:tcPr>
            <w:tcW w:w="7404" w:type="dxa"/>
          </w:tcPr>
          <w:p w14:paraId="31BFC894" w14:textId="142EE19B" w:rsidR="006C3B7D" w:rsidRPr="001877C4" w:rsidRDefault="006C3B7D" w:rsidP="00E71694">
            <w:pPr>
              <w:rPr>
                <w:bCs/>
              </w:rPr>
            </w:pPr>
            <w:r w:rsidRPr="001877C4">
              <w:t>Quarante-deuxième série de textes soumis par la Commission de rédaction (B42) – deuxième lecture</w:t>
            </w:r>
          </w:p>
        </w:tc>
        <w:tc>
          <w:tcPr>
            <w:tcW w:w="2093" w:type="dxa"/>
          </w:tcPr>
          <w:p w14:paraId="257EB141" w14:textId="7FA37052" w:rsidR="006C3B7D" w:rsidRPr="001877C4" w:rsidRDefault="006C3B7D" w:rsidP="00E71694">
            <w:pPr>
              <w:jc w:val="center"/>
            </w:pPr>
            <w:r w:rsidRPr="001877C4">
              <w:t>482</w:t>
            </w:r>
          </w:p>
        </w:tc>
      </w:tr>
      <w:tr w:rsidR="006C3B7D" w:rsidRPr="001877C4" w14:paraId="0636D773" w14:textId="77777777" w:rsidTr="00E511AB">
        <w:tc>
          <w:tcPr>
            <w:tcW w:w="534" w:type="dxa"/>
          </w:tcPr>
          <w:p w14:paraId="42B8F05F" w14:textId="35BD957B" w:rsidR="006C3B7D" w:rsidRPr="001877C4" w:rsidRDefault="006C3B7D" w:rsidP="00E71694">
            <w:r w:rsidRPr="001877C4">
              <w:lastRenderedPageBreak/>
              <w:t>11</w:t>
            </w:r>
          </w:p>
        </w:tc>
        <w:tc>
          <w:tcPr>
            <w:tcW w:w="7404" w:type="dxa"/>
          </w:tcPr>
          <w:p w14:paraId="4BEA4BE5" w14:textId="4BB3DEA4" w:rsidR="006C3B7D" w:rsidRPr="001877C4" w:rsidRDefault="006C3B7D" w:rsidP="00E71694">
            <w:pPr>
              <w:rPr>
                <w:bCs/>
              </w:rPr>
            </w:pPr>
            <w:r w:rsidRPr="001877C4">
              <w:t>Quarante-troisième série de textes soumis par la Commission de rédaction en première lecture (B43)</w:t>
            </w:r>
          </w:p>
        </w:tc>
        <w:tc>
          <w:tcPr>
            <w:tcW w:w="2093" w:type="dxa"/>
          </w:tcPr>
          <w:p w14:paraId="766E72CB" w14:textId="3C18F0C7" w:rsidR="006C3B7D" w:rsidRPr="001877C4" w:rsidRDefault="006C3B7D" w:rsidP="00E71694">
            <w:pPr>
              <w:jc w:val="center"/>
            </w:pPr>
            <w:r w:rsidRPr="001877C4">
              <w:t>483</w:t>
            </w:r>
          </w:p>
        </w:tc>
      </w:tr>
      <w:tr w:rsidR="006C3B7D" w:rsidRPr="001877C4" w14:paraId="43718B7E" w14:textId="77777777" w:rsidTr="00E511AB">
        <w:tc>
          <w:tcPr>
            <w:tcW w:w="534" w:type="dxa"/>
          </w:tcPr>
          <w:p w14:paraId="6BA7AF94" w14:textId="6EF7A09D" w:rsidR="006C3B7D" w:rsidRPr="001877C4" w:rsidRDefault="006C3B7D" w:rsidP="00E71694">
            <w:r w:rsidRPr="001877C4">
              <w:t>12</w:t>
            </w:r>
          </w:p>
        </w:tc>
        <w:tc>
          <w:tcPr>
            <w:tcW w:w="7404" w:type="dxa"/>
          </w:tcPr>
          <w:p w14:paraId="1B07A6D2" w14:textId="641D6FEA" w:rsidR="006C3B7D" w:rsidRPr="001877C4" w:rsidRDefault="006C3B7D" w:rsidP="00E71694">
            <w:pPr>
              <w:rPr>
                <w:bCs/>
              </w:rPr>
            </w:pPr>
            <w:r w:rsidRPr="001877C4">
              <w:t>Quarante-troisième série de textes soumis par la Commission de rédaction (B43) – deuxième lecture</w:t>
            </w:r>
          </w:p>
        </w:tc>
        <w:tc>
          <w:tcPr>
            <w:tcW w:w="2093" w:type="dxa"/>
          </w:tcPr>
          <w:p w14:paraId="0F97890E" w14:textId="23D9C6DB" w:rsidR="006C3B7D" w:rsidRPr="001877C4" w:rsidRDefault="006C3B7D" w:rsidP="00E71694">
            <w:pPr>
              <w:jc w:val="center"/>
            </w:pPr>
            <w:r w:rsidRPr="001877C4">
              <w:t>483</w:t>
            </w:r>
          </w:p>
        </w:tc>
      </w:tr>
      <w:tr w:rsidR="006C3B7D" w:rsidRPr="001877C4" w14:paraId="4EEFFD40" w14:textId="77777777" w:rsidTr="00E511AB">
        <w:tc>
          <w:tcPr>
            <w:tcW w:w="534" w:type="dxa"/>
          </w:tcPr>
          <w:p w14:paraId="3CF659C2" w14:textId="355BFC0C" w:rsidR="006C3B7D" w:rsidRPr="001877C4" w:rsidRDefault="006C3B7D" w:rsidP="00E71694">
            <w:r w:rsidRPr="001877C4">
              <w:t>13</w:t>
            </w:r>
          </w:p>
        </w:tc>
        <w:tc>
          <w:tcPr>
            <w:tcW w:w="7404" w:type="dxa"/>
          </w:tcPr>
          <w:p w14:paraId="51DE3CAB" w14:textId="0F7E9545" w:rsidR="006C3B7D" w:rsidRPr="001877C4" w:rsidRDefault="006C3B7D" w:rsidP="00E71694">
            <w:pPr>
              <w:rPr>
                <w:bCs/>
              </w:rPr>
            </w:pPr>
            <w:r w:rsidRPr="001877C4">
              <w:rPr>
                <w:rFonts w:asciiTheme="majorBidi" w:hAnsiTheme="majorBidi" w:cstheme="majorBidi"/>
                <w:bCs/>
                <w:szCs w:val="24"/>
              </w:rPr>
              <w:t>Quarante-septième série de textes soumis par la Commission de rédaction en première lecture (B47)</w:t>
            </w:r>
          </w:p>
        </w:tc>
        <w:tc>
          <w:tcPr>
            <w:tcW w:w="2093" w:type="dxa"/>
          </w:tcPr>
          <w:p w14:paraId="55CA5A1D" w14:textId="74AE7AC0" w:rsidR="006C3B7D" w:rsidRPr="001877C4" w:rsidRDefault="006C3B7D" w:rsidP="00E71694">
            <w:pPr>
              <w:jc w:val="center"/>
            </w:pPr>
            <w:r w:rsidRPr="001877C4">
              <w:t>498</w:t>
            </w:r>
          </w:p>
        </w:tc>
      </w:tr>
      <w:tr w:rsidR="006C3B7D" w:rsidRPr="001877C4" w14:paraId="5E3DFA0C" w14:textId="77777777" w:rsidTr="00E511AB">
        <w:tc>
          <w:tcPr>
            <w:tcW w:w="534" w:type="dxa"/>
          </w:tcPr>
          <w:p w14:paraId="41970097" w14:textId="6E63BF4B" w:rsidR="006C3B7D" w:rsidRPr="001877C4" w:rsidRDefault="006C3B7D" w:rsidP="00E71694">
            <w:r w:rsidRPr="001877C4">
              <w:t>14</w:t>
            </w:r>
          </w:p>
        </w:tc>
        <w:tc>
          <w:tcPr>
            <w:tcW w:w="7404" w:type="dxa"/>
          </w:tcPr>
          <w:p w14:paraId="58FE7021" w14:textId="4ADDFCF9" w:rsidR="006C3B7D" w:rsidRPr="001877C4" w:rsidRDefault="006C3B7D" w:rsidP="00E71694">
            <w:pPr>
              <w:rPr>
                <w:bCs/>
              </w:rPr>
            </w:pPr>
            <w:r w:rsidRPr="001877C4">
              <w:rPr>
                <w:rFonts w:asciiTheme="majorBidi" w:hAnsiTheme="majorBidi" w:cstheme="majorBidi"/>
                <w:bCs/>
                <w:szCs w:val="24"/>
              </w:rPr>
              <w:t xml:space="preserve">Quarante-septième série de textes soumis par la Commission de rédaction (B47) </w:t>
            </w:r>
            <w:r w:rsidRPr="001877C4">
              <w:rPr>
                <w:rFonts w:asciiTheme="majorBidi" w:hAnsiTheme="majorBidi" w:cstheme="majorBidi"/>
                <w:szCs w:val="24"/>
              </w:rPr>
              <w:t>–</w:t>
            </w:r>
            <w:r w:rsidRPr="001877C4">
              <w:rPr>
                <w:rFonts w:asciiTheme="majorBidi" w:hAnsiTheme="majorBidi" w:cstheme="majorBidi"/>
                <w:bCs/>
                <w:szCs w:val="24"/>
              </w:rPr>
              <w:t xml:space="preserve"> deuxième lecture</w:t>
            </w:r>
          </w:p>
        </w:tc>
        <w:tc>
          <w:tcPr>
            <w:tcW w:w="2093" w:type="dxa"/>
          </w:tcPr>
          <w:p w14:paraId="34208292" w14:textId="64A8049E" w:rsidR="006C3B7D" w:rsidRPr="001877C4" w:rsidRDefault="006C3B7D" w:rsidP="00E71694">
            <w:pPr>
              <w:jc w:val="center"/>
            </w:pPr>
            <w:r w:rsidRPr="001877C4">
              <w:t>498</w:t>
            </w:r>
          </w:p>
        </w:tc>
      </w:tr>
      <w:tr w:rsidR="006C3B7D" w:rsidRPr="001877C4" w14:paraId="74A588AE" w14:textId="77777777" w:rsidTr="00E511AB">
        <w:tc>
          <w:tcPr>
            <w:tcW w:w="534" w:type="dxa"/>
          </w:tcPr>
          <w:p w14:paraId="07EE1C0B" w14:textId="58EA4004" w:rsidR="006C3B7D" w:rsidRPr="001877C4" w:rsidRDefault="006C3B7D" w:rsidP="00E71694">
            <w:r w:rsidRPr="001877C4">
              <w:t>15</w:t>
            </w:r>
          </w:p>
        </w:tc>
        <w:tc>
          <w:tcPr>
            <w:tcW w:w="7404" w:type="dxa"/>
          </w:tcPr>
          <w:p w14:paraId="54B67895" w14:textId="20B11D33" w:rsidR="006C3B7D" w:rsidRPr="001877C4" w:rsidRDefault="006C3B7D" w:rsidP="00E71694">
            <w:pPr>
              <w:rPr>
                <w:bCs/>
              </w:rPr>
            </w:pPr>
            <w:r w:rsidRPr="001877C4">
              <w:t>Quarante-huitième série de textes soumis par la Commission de rédaction en première lecture (B48)</w:t>
            </w:r>
          </w:p>
        </w:tc>
        <w:tc>
          <w:tcPr>
            <w:tcW w:w="2093" w:type="dxa"/>
          </w:tcPr>
          <w:p w14:paraId="773CDADF" w14:textId="1CC61EC2" w:rsidR="006C3B7D" w:rsidRPr="001877C4" w:rsidRDefault="006C3B7D" w:rsidP="00E71694">
            <w:pPr>
              <w:jc w:val="center"/>
            </w:pPr>
            <w:r w:rsidRPr="001877C4">
              <w:t>499</w:t>
            </w:r>
          </w:p>
        </w:tc>
      </w:tr>
      <w:tr w:rsidR="006C3B7D" w:rsidRPr="001877C4" w14:paraId="7C44EE29" w14:textId="77777777" w:rsidTr="00E511AB">
        <w:tc>
          <w:tcPr>
            <w:tcW w:w="534" w:type="dxa"/>
          </w:tcPr>
          <w:p w14:paraId="2B09320D" w14:textId="6F2AB690" w:rsidR="006C3B7D" w:rsidRPr="001877C4" w:rsidRDefault="006C3B7D" w:rsidP="00E71694">
            <w:r w:rsidRPr="001877C4">
              <w:t>16</w:t>
            </w:r>
          </w:p>
        </w:tc>
        <w:tc>
          <w:tcPr>
            <w:tcW w:w="7404" w:type="dxa"/>
          </w:tcPr>
          <w:p w14:paraId="1AD1E8B4" w14:textId="3478678F" w:rsidR="006C3B7D" w:rsidRPr="001877C4" w:rsidRDefault="006C3B7D" w:rsidP="00E71694">
            <w:pPr>
              <w:rPr>
                <w:bCs/>
              </w:rPr>
            </w:pPr>
            <w:r w:rsidRPr="001877C4">
              <w:t>Quarante-huitième série de textes soumis par la Commission de rédaction (B48) – deuxième lecture</w:t>
            </w:r>
          </w:p>
        </w:tc>
        <w:tc>
          <w:tcPr>
            <w:tcW w:w="2093" w:type="dxa"/>
          </w:tcPr>
          <w:p w14:paraId="01D8FBEA" w14:textId="7796A787" w:rsidR="006C3B7D" w:rsidRPr="001877C4" w:rsidRDefault="006C3B7D" w:rsidP="00E71694">
            <w:pPr>
              <w:jc w:val="center"/>
            </w:pPr>
            <w:r w:rsidRPr="001877C4">
              <w:t>499</w:t>
            </w:r>
          </w:p>
        </w:tc>
      </w:tr>
    </w:tbl>
    <w:p w14:paraId="5257F6C7" w14:textId="636A6F99" w:rsidR="00F96E10" w:rsidRPr="001877C4" w:rsidRDefault="00F96E10" w:rsidP="00E71694">
      <w:r w:rsidRPr="001877C4">
        <w:br w:type="page"/>
      </w:r>
    </w:p>
    <w:p w14:paraId="054824EA" w14:textId="292C2F20" w:rsidR="00F96E10" w:rsidRPr="001877C4" w:rsidRDefault="00F96E10" w:rsidP="00E71694">
      <w:pPr>
        <w:pStyle w:val="Heading1"/>
      </w:pPr>
      <w:r w:rsidRPr="001877C4">
        <w:lastRenderedPageBreak/>
        <w:t>1</w:t>
      </w:r>
      <w:r w:rsidRPr="001877C4">
        <w:tab/>
        <w:t>Rapports verbaux des Présidents des Commissions</w:t>
      </w:r>
    </w:p>
    <w:p w14:paraId="37F93F47" w14:textId="0B650110" w:rsidR="00F96E10" w:rsidRPr="001877C4" w:rsidRDefault="00F96E10" w:rsidP="00E71694">
      <w:r w:rsidRPr="001877C4">
        <w:t>1.1</w:t>
      </w:r>
      <w:r w:rsidRPr="001877C4">
        <w:tab/>
        <w:t>L</w:t>
      </w:r>
      <w:r w:rsidR="00D51C29" w:rsidRPr="001877C4">
        <w:t>a</w:t>
      </w:r>
      <w:r w:rsidRPr="001877C4">
        <w:t xml:space="preserve"> </w:t>
      </w:r>
      <w:r w:rsidRPr="001877C4">
        <w:rPr>
          <w:b/>
          <w:bCs/>
        </w:rPr>
        <w:t>Président</w:t>
      </w:r>
      <w:r w:rsidR="00D51C29" w:rsidRPr="001877C4">
        <w:rPr>
          <w:b/>
          <w:bCs/>
        </w:rPr>
        <w:t>e</w:t>
      </w:r>
      <w:r w:rsidRPr="001877C4">
        <w:rPr>
          <w:b/>
          <w:bCs/>
        </w:rPr>
        <w:t xml:space="preserve"> de la Commission 2</w:t>
      </w:r>
      <w:r w:rsidRPr="001877C4">
        <w:t xml:space="preserve"> </w:t>
      </w:r>
      <w:r w:rsidR="0034206A" w:rsidRPr="001877C4">
        <w:t>indique que</w:t>
      </w:r>
      <w:r w:rsidR="008937B0" w:rsidRPr="001877C4">
        <w:t>, depuis la dernière séance plénière, sa commission a reçu un autre instrument de vérification des pouvoirs, qui a été jugé en règle, ce qui porte à 155 le nombre total de délégations participant à la Conférence et ayant soumis des pouvoirs reconnus en règle.</w:t>
      </w:r>
    </w:p>
    <w:p w14:paraId="6FFD4E32" w14:textId="01708BE0" w:rsidR="00F96E10" w:rsidRPr="001877C4" w:rsidRDefault="00F96E10" w:rsidP="00E71694">
      <w:r w:rsidRPr="001877C4">
        <w:t>1.2</w:t>
      </w:r>
      <w:r w:rsidRPr="001877C4">
        <w:tab/>
        <w:t xml:space="preserve">Il est </w:t>
      </w:r>
      <w:r w:rsidRPr="001877C4">
        <w:rPr>
          <w:b/>
          <w:bCs/>
        </w:rPr>
        <w:t>pris note</w:t>
      </w:r>
      <w:r w:rsidRPr="001877C4">
        <w:t xml:space="preserve"> du rapport verbal d</w:t>
      </w:r>
      <w:r w:rsidR="009D5DAD" w:rsidRPr="001877C4">
        <w:t>e la</w:t>
      </w:r>
      <w:r w:rsidRPr="001877C4">
        <w:t xml:space="preserve"> Président</w:t>
      </w:r>
      <w:r w:rsidR="009D5DAD" w:rsidRPr="001877C4">
        <w:t>e</w:t>
      </w:r>
      <w:r w:rsidRPr="001877C4">
        <w:t xml:space="preserve"> de la Commission 2.</w:t>
      </w:r>
    </w:p>
    <w:p w14:paraId="63ADD856" w14:textId="659BDCE9" w:rsidR="00F96E10" w:rsidRPr="001877C4" w:rsidRDefault="00F96E10" w:rsidP="00E71694">
      <w:r w:rsidRPr="001877C4">
        <w:t>1.3</w:t>
      </w:r>
      <w:r w:rsidRPr="001877C4">
        <w:tab/>
      </w:r>
      <w:r w:rsidR="008937B0" w:rsidRPr="001877C4">
        <w:t xml:space="preserve">La </w:t>
      </w:r>
      <w:r w:rsidR="008937B0" w:rsidRPr="001877C4">
        <w:rPr>
          <w:b/>
          <w:bCs/>
        </w:rPr>
        <w:t>Présidente de la Commission 3</w:t>
      </w:r>
      <w:r w:rsidR="008937B0" w:rsidRPr="001877C4">
        <w:t xml:space="preserve"> indique que le rapport de la Commission de contrôle budgétaire a été mis à jour (Document 460(Rév.1)) pour tenir compte du fait que les incidences financières provisoires des décisions de la CMR-23 sont désormais estimées à environ</w:t>
      </w:r>
      <w:r w:rsidR="00E71694" w:rsidRPr="001877C4">
        <w:t> </w:t>
      </w:r>
      <w:r w:rsidR="008937B0" w:rsidRPr="001877C4">
        <w:t>12,5 millions CHF.</w:t>
      </w:r>
    </w:p>
    <w:p w14:paraId="1F5144F8" w14:textId="0CAF5CD3" w:rsidR="00F96E10" w:rsidRPr="001877C4" w:rsidRDefault="00F96E10" w:rsidP="00E71694">
      <w:r w:rsidRPr="001877C4">
        <w:t>1.4</w:t>
      </w:r>
      <w:r w:rsidRPr="001877C4">
        <w:tab/>
      </w:r>
      <w:r w:rsidR="008937B0" w:rsidRPr="001877C4">
        <w:t xml:space="preserve">Il est </w:t>
      </w:r>
      <w:r w:rsidR="008937B0" w:rsidRPr="001877C4">
        <w:rPr>
          <w:b/>
          <w:bCs/>
        </w:rPr>
        <w:t>pris note</w:t>
      </w:r>
      <w:r w:rsidR="008937B0" w:rsidRPr="001877C4">
        <w:t xml:space="preserve"> du rapport verbal de la Présidente de la Commission 3.</w:t>
      </w:r>
    </w:p>
    <w:p w14:paraId="0BCF9CE3" w14:textId="30171865" w:rsidR="00F96E10" w:rsidRPr="001877C4" w:rsidRDefault="00F96E10" w:rsidP="00E71694">
      <w:r w:rsidRPr="001877C4">
        <w:t>1.5</w:t>
      </w:r>
      <w:r w:rsidRPr="001877C4">
        <w:tab/>
      </w:r>
      <w:r w:rsidR="0007166C" w:rsidRPr="001877C4">
        <w:t xml:space="preserve">Le </w:t>
      </w:r>
      <w:r w:rsidR="0007166C" w:rsidRPr="001877C4">
        <w:rPr>
          <w:b/>
          <w:bCs/>
        </w:rPr>
        <w:t>Président de la Commission 4</w:t>
      </w:r>
      <w:r w:rsidR="0007166C" w:rsidRPr="001877C4">
        <w:t xml:space="preserve"> fait savoir que le groupe ad hoc de la Commission 4 s'est réuni le matin même et a examiné les points 1.2 (bande des 3,3 GHz en Région 1) et 1.3 de l'ordre du jour. Dans les deux cas, la question en suspens concerne l'adjonction de noms de pays dans le renvoi pertinent. Les parties concernées ont été encouragées à conclure leurs consultations dans les plus brefs délais, mais le Président de la Commission 4 indique n'avoir pas encore reçu de mise à jour sur les progrès accomplis à cet égard. Le groupe ad hoc se réunira à nouveau après la séance plénière. Des discussions informelles entre les chefs des groupes régionaux se poursuivent en ce qui concerne les points 1.2 (6 GHz) et 1.5 de l'ordre du jour, mais le Président de la Commission 4 n'a pas encore reçu de mise à jour à ce sujet.</w:t>
      </w:r>
    </w:p>
    <w:p w14:paraId="36C26C2F" w14:textId="77777777" w:rsidR="00F96E10" w:rsidRPr="001877C4" w:rsidRDefault="00F96E10" w:rsidP="00E71694">
      <w:r w:rsidRPr="001877C4">
        <w:t>1.6</w:t>
      </w:r>
      <w:r w:rsidRPr="001877C4">
        <w:tab/>
        <w:t xml:space="preserve">Il est </w:t>
      </w:r>
      <w:r w:rsidRPr="001877C4">
        <w:rPr>
          <w:b/>
          <w:bCs/>
        </w:rPr>
        <w:t>pris note</w:t>
      </w:r>
      <w:r w:rsidRPr="001877C4">
        <w:t xml:space="preserve"> du rapport verbal du Président de la Commission 4.</w:t>
      </w:r>
    </w:p>
    <w:p w14:paraId="5BBD17FF" w14:textId="2DA698DA" w:rsidR="00F96E10" w:rsidRPr="001877C4" w:rsidRDefault="00F96E10" w:rsidP="00E71694">
      <w:r w:rsidRPr="001877C4">
        <w:t>1.7</w:t>
      </w:r>
      <w:r w:rsidRPr="001877C4">
        <w:tab/>
      </w:r>
      <w:r w:rsidR="0007166C" w:rsidRPr="001877C4">
        <w:t xml:space="preserve">Le </w:t>
      </w:r>
      <w:r w:rsidR="0007166C" w:rsidRPr="001877C4">
        <w:rPr>
          <w:b/>
          <w:bCs/>
        </w:rPr>
        <w:t>délégué de l'Algérie</w:t>
      </w:r>
      <w:r w:rsidR="0007166C" w:rsidRPr="001877C4">
        <w:t xml:space="preserve"> rend compte des consultations qui ont été menées en ce qui concerne les bandes des 3,3 et des 3,4 GHz dans la Région 1 et fait savoir que, malgré tous les efforts déployés par les délégations de l'Algérie et de la Tunisie pour créer un nouveau renvoi et répondre aux préoccupations des administrations concernées, notamment en proposant une coordination au titre du numéro 9.21 du RR et en convenant d'une attribution et d'une identification à titre secondaire, des difficultés subsistent. Il semble que certaines administrations bloquent l'utilisation du spectre, sans justification technique. L'intervenant reconnaît le caractère sensible de l'utilisation du service de radiolocalisation, mais les administrations qui s'acquittent de leurs obligations au titre du Règlement des radiocommunications devraient pouvoir bénéficier des droits </w:t>
      </w:r>
      <w:r w:rsidR="002125A9" w:rsidRPr="001877C4">
        <w:t>concomitants</w:t>
      </w:r>
      <w:r w:rsidR="0007166C" w:rsidRPr="001877C4">
        <w:t>. La question à l'étude relève du point 1.2 de l'ordre du jour et non du point 8. L'intervenant sollicite des orientations quant à la manière de procéder.</w:t>
      </w:r>
    </w:p>
    <w:p w14:paraId="52874F83" w14:textId="7946E05A" w:rsidR="0064139C" w:rsidRPr="001877C4" w:rsidRDefault="0064139C" w:rsidP="00E71694">
      <w:r w:rsidRPr="001877C4">
        <w:t>1.8</w:t>
      </w:r>
      <w:r w:rsidRPr="001877C4">
        <w:tab/>
      </w:r>
      <w:r w:rsidR="0007166C" w:rsidRPr="001877C4">
        <w:t xml:space="preserve">Le </w:t>
      </w:r>
      <w:r w:rsidR="0007166C" w:rsidRPr="001877C4">
        <w:rPr>
          <w:b/>
          <w:bCs/>
        </w:rPr>
        <w:t>délégué de l'Espagne</w:t>
      </w:r>
      <w:r w:rsidR="0007166C" w:rsidRPr="001877C4">
        <w:t xml:space="preserve"> remercie les délégations de l'Algérie et de la Tunisie pour leurs efforts, mais not</w:t>
      </w:r>
      <w:r w:rsidR="002125A9" w:rsidRPr="001877C4">
        <w:t>e</w:t>
      </w:r>
      <w:r w:rsidR="0007166C" w:rsidRPr="001877C4">
        <w:t xml:space="preserve"> qu'il </w:t>
      </w:r>
      <w:r w:rsidR="00931D5A" w:rsidRPr="001877C4">
        <w:t>s'est</w:t>
      </w:r>
      <w:r w:rsidR="0007166C" w:rsidRPr="001877C4">
        <w:t xml:space="preserve"> révélé impossible de trouver une solution</w:t>
      </w:r>
      <w:r w:rsidR="00931D5A" w:rsidRPr="001877C4">
        <w:t xml:space="preserve"> à ce stade</w:t>
      </w:r>
      <w:r w:rsidR="0007166C" w:rsidRPr="001877C4">
        <w:t xml:space="preserve">. Les administrations </w:t>
      </w:r>
      <w:r w:rsidR="00931D5A" w:rsidRPr="001877C4">
        <w:t>concernées</w:t>
      </w:r>
      <w:r w:rsidR="0007166C" w:rsidRPr="001877C4">
        <w:t xml:space="preserve"> par l'inclusion des deux pays dans le renvoi ne cherchent pas à bloquer l'utilisation du spectre, mais à assurer le fonctionnement </w:t>
      </w:r>
      <w:r w:rsidR="00931D5A" w:rsidRPr="001877C4">
        <w:t>fluide</w:t>
      </w:r>
      <w:r w:rsidR="0007166C" w:rsidRPr="001877C4">
        <w:t xml:space="preserve"> et exempt de broui</w:t>
      </w:r>
      <w:r w:rsidR="00931D5A" w:rsidRPr="001877C4">
        <w:t>ll</w:t>
      </w:r>
      <w:r w:rsidR="0007166C" w:rsidRPr="001877C4">
        <w:t xml:space="preserve">ages du service de radiolocalisation, qui </w:t>
      </w:r>
      <w:r w:rsidR="00931D5A" w:rsidRPr="001877C4">
        <w:t>joue un rôle</w:t>
      </w:r>
      <w:r w:rsidR="0007166C" w:rsidRPr="001877C4">
        <w:t xml:space="preserve"> essentiel</w:t>
      </w:r>
      <w:r w:rsidR="00931D5A" w:rsidRPr="001877C4">
        <w:t xml:space="preserve">. Ces deux administrations se tiennent disposées à </w:t>
      </w:r>
      <w:r w:rsidR="0007166C" w:rsidRPr="001877C4">
        <w:t xml:space="preserve">poursuivre leurs efforts </w:t>
      </w:r>
      <w:r w:rsidR="00931D5A" w:rsidRPr="001877C4">
        <w:t xml:space="preserve">en </w:t>
      </w:r>
      <w:r w:rsidR="0007166C" w:rsidRPr="001877C4">
        <w:t>ce sens</w:t>
      </w:r>
      <w:r w:rsidR="00931D5A" w:rsidRPr="001877C4">
        <w:t>.</w:t>
      </w:r>
    </w:p>
    <w:p w14:paraId="72FA680A" w14:textId="0BB07A26" w:rsidR="00F96E10" w:rsidRPr="001877C4" w:rsidRDefault="00F96E10" w:rsidP="00E71694">
      <w:r w:rsidRPr="001877C4">
        <w:t>1.9</w:t>
      </w:r>
      <w:r w:rsidRPr="001877C4">
        <w:tab/>
      </w:r>
      <w:r w:rsidR="00931D5A" w:rsidRPr="001877C4">
        <w:t xml:space="preserve">Le </w:t>
      </w:r>
      <w:r w:rsidR="00931D5A" w:rsidRPr="001877C4">
        <w:rPr>
          <w:b/>
          <w:bCs/>
        </w:rPr>
        <w:t>Président</w:t>
      </w:r>
      <w:r w:rsidR="00931D5A" w:rsidRPr="001877C4">
        <w:t xml:space="preserve"> indique qu'il ne souhaite pas ouvrir les discussions sur cette question en plénière et invite les pays concernés à poursuivre leurs efforts de coordination.</w:t>
      </w:r>
    </w:p>
    <w:p w14:paraId="3C3E42D8" w14:textId="0C4ABFFA" w:rsidR="0064139C" w:rsidRPr="001877C4" w:rsidRDefault="0064139C" w:rsidP="00E71694">
      <w:r w:rsidRPr="001877C4">
        <w:t>1.10</w:t>
      </w:r>
      <w:r w:rsidRPr="001877C4">
        <w:tab/>
      </w:r>
      <w:r w:rsidR="00931D5A" w:rsidRPr="001877C4">
        <w:t xml:space="preserve">Le </w:t>
      </w:r>
      <w:r w:rsidR="00931D5A" w:rsidRPr="001877C4">
        <w:rPr>
          <w:b/>
          <w:bCs/>
        </w:rPr>
        <w:t>Président de la Commission 6</w:t>
      </w:r>
      <w:r w:rsidR="00931D5A" w:rsidRPr="001877C4">
        <w:t xml:space="preserve"> déclare que sa commission ne s'est pas réunie depuis la dernière séance plénière. Toutefois, à la suite des discussions convoquée</w:t>
      </w:r>
      <w:r w:rsidR="004A1E5C" w:rsidRPr="001877C4">
        <w:t>s</w:t>
      </w:r>
      <w:r w:rsidR="00931D5A" w:rsidRPr="001877C4">
        <w:t xml:space="preserve"> par le Président de la Conférence, des consultations sont actuellement tenues avec les chefs des groupes régionaux pour examiner les questions en suspens concernant le point 10 de l'ordre du jour.</w:t>
      </w:r>
    </w:p>
    <w:p w14:paraId="534A12F1" w14:textId="3B388AE8" w:rsidR="00F96E10" w:rsidRPr="001877C4" w:rsidRDefault="00F96E10" w:rsidP="00E71694">
      <w:r w:rsidRPr="001877C4">
        <w:t>1.1</w:t>
      </w:r>
      <w:r w:rsidR="008D67D4" w:rsidRPr="001877C4">
        <w:t>1</w:t>
      </w:r>
      <w:r w:rsidRPr="001877C4">
        <w:tab/>
        <w:t xml:space="preserve">Il est </w:t>
      </w:r>
      <w:r w:rsidRPr="001877C4">
        <w:rPr>
          <w:b/>
          <w:bCs/>
        </w:rPr>
        <w:t>pris note</w:t>
      </w:r>
      <w:r w:rsidRPr="001877C4">
        <w:t xml:space="preserve"> du rapport verbal du Président de la Commission 6.</w:t>
      </w:r>
    </w:p>
    <w:p w14:paraId="3AB1FFE2" w14:textId="46AE6441" w:rsidR="00754245" w:rsidRPr="001877C4" w:rsidRDefault="00F96E10" w:rsidP="00E71694">
      <w:r w:rsidRPr="001877C4">
        <w:lastRenderedPageBreak/>
        <w:t>1.1</w:t>
      </w:r>
      <w:r w:rsidR="008D67D4" w:rsidRPr="001877C4">
        <w:t>2</w:t>
      </w:r>
      <w:r w:rsidRPr="001877C4">
        <w:tab/>
        <w:t xml:space="preserve">Le </w:t>
      </w:r>
      <w:r w:rsidRPr="001877C4">
        <w:rPr>
          <w:b/>
          <w:bCs/>
        </w:rPr>
        <w:t>Président de la Commission 7</w:t>
      </w:r>
      <w:r w:rsidR="0064139C" w:rsidRPr="001877C4">
        <w:t xml:space="preserve"> </w:t>
      </w:r>
      <w:r w:rsidR="00591C67" w:rsidRPr="001877C4">
        <w:t xml:space="preserve">signale </w:t>
      </w:r>
      <w:r w:rsidR="0087496F" w:rsidRPr="001877C4">
        <w:t xml:space="preserve">que sa </w:t>
      </w:r>
      <w:r w:rsidR="00A66F01" w:rsidRPr="001877C4">
        <w:t>C</w:t>
      </w:r>
      <w:r w:rsidR="0087496F" w:rsidRPr="001877C4">
        <w:t xml:space="preserve">ommission a préparé </w:t>
      </w:r>
      <w:r w:rsidR="008D67D4" w:rsidRPr="001877C4">
        <w:t>sept</w:t>
      </w:r>
      <w:r w:rsidR="0087496F" w:rsidRPr="001877C4">
        <w:t xml:space="preserve"> séries de textes </w:t>
      </w:r>
      <w:r w:rsidR="00476C9F" w:rsidRPr="001877C4">
        <w:t xml:space="preserve">qui seront soumis en première lecture </w:t>
      </w:r>
      <w:r w:rsidR="0087496F" w:rsidRPr="001877C4">
        <w:t xml:space="preserve">à la </w:t>
      </w:r>
      <w:r w:rsidR="00476C9F" w:rsidRPr="001877C4">
        <w:t>présente</w:t>
      </w:r>
      <w:r w:rsidR="00750CDA" w:rsidRPr="001877C4">
        <w:t xml:space="preserve"> séance</w:t>
      </w:r>
      <w:r w:rsidR="00476C9F" w:rsidRPr="001877C4">
        <w:t xml:space="preserve"> </w:t>
      </w:r>
      <w:r w:rsidR="0087496F" w:rsidRPr="001877C4">
        <w:t>plénière.</w:t>
      </w:r>
    </w:p>
    <w:p w14:paraId="414C17F8" w14:textId="09A09775" w:rsidR="00CA3836" w:rsidRPr="001877C4" w:rsidRDefault="00CA3836" w:rsidP="00E71694">
      <w:r w:rsidRPr="001877C4">
        <w:t>1.1</w:t>
      </w:r>
      <w:r w:rsidR="008D67D4" w:rsidRPr="001877C4">
        <w:t>3</w:t>
      </w:r>
      <w:r w:rsidRPr="001877C4">
        <w:tab/>
      </w:r>
      <w:r w:rsidR="008D67D4" w:rsidRPr="001877C4">
        <w:t xml:space="preserve">Il est </w:t>
      </w:r>
      <w:r w:rsidR="008D67D4" w:rsidRPr="001877C4">
        <w:rPr>
          <w:b/>
          <w:bCs/>
        </w:rPr>
        <w:t>pris note</w:t>
      </w:r>
      <w:r w:rsidR="008D67D4" w:rsidRPr="001877C4">
        <w:t xml:space="preserve"> du rapport verbal du Président de la Commission 7.</w:t>
      </w:r>
    </w:p>
    <w:p w14:paraId="515D60DE" w14:textId="0D07403F" w:rsidR="00CA3836" w:rsidRPr="001877C4" w:rsidRDefault="00CA3836" w:rsidP="00E71694">
      <w:pPr>
        <w:pStyle w:val="Heading1"/>
      </w:pPr>
      <w:r w:rsidRPr="001877C4">
        <w:t>2</w:t>
      </w:r>
      <w:r w:rsidRPr="001877C4">
        <w:tab/>
      </w:r>
      <w:r w:rsidR="00931D5A" w:rsidRPr="001877C4">
        <w:t>Quatrième rapport de la Commission 6 à la plénière</w:t>
      </w:r>
      <w:r w:rsidR="008D67D4" w:rsidRPr="001877C4">
        <w:t xml:space="preserve"> </w:t>
      </w:r>
      <w:r w:rsidRPr="001877C4">
        <w:t xml:space="preserve">(Document </w:t>
      </w:r>
      <w:r w:rsidR="008D67D4" w:rsidRPr="001877C4">
        <w:t>497</w:t>
      </w:r>
      <w:r w:rsidRPr="001877C4">
        <w:t>)</w:t>
      </w:r>
    </w:p>
    <w:p w14:paraId="065A1352" w14:textId="1D5DD5B6" w:rsidR="00CA3836" w:rsidRPr="001877C4" w:rsidRDefault="00CA3836" w:rsidP="00E71694">
      <w:r w:rsidRPr="001877C4">
        <w:t>2.1</w:t>
      </w:r>
      <w:r w:rsidRPr="001877C4">
        <w:tab/>
      </w:r>
      <w:r w:rsidR="00931D5A" w:rsidRPr="001877C4">
        <w:t xml:space="preserve">Le </w:t>
      </w:r>
      <w:r w:rsidR="00931D5A" w:rsidRPr="001877C4">
        <w:rPr>
          <w:b/>
          <w:bCs/>
        </w:rPr>
        <w:t>Président de la Commission 6</w:t>
      </w:r>
      <w:r w:rsidR="00931D5A" w:rsidRPr="001877C4">
        <w:t xml:space="preserve"> présente le Document 497, qui contient les conclusions des activités de la Commission 6 concernant le point 10 de l'ordre du jour. Il a été proposé d'examiner et d'approuver les textes suivants, reproduits dans les Annexes 1 à 3 du document, en vue de leur inclusion dans le procès-verbal de la plénière:</w:t>
      </w:r>
    </w:p>
    <w:p w14:paraId="23DB36F1" w14:textId="3F1D3AD4" w:rsidR="008D67D4" w:rsidRPr="001877C4" w:rsidRDefault="00931D5A" w:rsidP="00E71694">
      <w:pPr>
        <w:rPr>
          <w:b/>
          <w:bCs/>
          <w:i/>
          <w:iCs/>
        </w:rPr>
      </w:pPr>
      <w:r w:rsidRPr="001877C4">
        <w:rPr>
          <w:b/>
          <w:bCs/>
          <w:i/>
          <w:iCs/>
        </w:rPr>
        <w:t>Bonnes pratiques pour les études de l'UIT-R relatives aux points de l'ordre du jour de la CMR</w:t>
      </w:r>
    </w:p>
    <w:p w14:paraId="4BFA63C3" w14:textId="0F2E01B8" w:rsidR="008D67D4" w:rsidRPr="001877C4" w:rsidRDefault="008D67D4" w:rsidP="00E71694">
      <w:r w:rsidRPr="001877C4">
        <w:t xml:space="preserve">«La CMR-23 </w:t>
      </w:r>
      <w:r w:rsidRPr="001877C4">
        <w:rPr>
          <w:i/>
          <w:iCs/>
        </w:rPr>
        <w:t>a considéré</w:t>
      </w:r>
      <w:r w:rsidRPr="001877C4">
        <w:t>:</w:t>
      </w:r>
    </w:p>
    <w:p w14:paraId="5FD203AF" w14:textId="77777777" w:rsidR="008D67D4" w:rsidRPr="001877C4" w:rsidRDefault="008D67D4" w:rsidP="00E71694">
      <w:r w:rsidRPr="001877C4">
        <w:rPr>
          <w:i/>
          <w:iCs/>
        </w:rPr>
        <w:t>a)</w:t>
      </w:r>
      <w:r w:rsidRPr="001877C4">
        <w:tab/>
        <w:t>qu'il est nécessaire de disposer d'hypothèses de partage et de compatibilité, de critères de protection, de scénarios de partage et de processus méthodologiques convenus dès le début des études du Secteur des radiocommunications de l'UIT (UIT-R) relatives aux points de l'ordre du jour des Conférences mondiales des radiocommunications (CMR), en vue d'entreprendre les études de l'UIT</w:t>
      </w:r>
      <w:r w:rsidRPr="001877C4">
        <w:noBreakHyphen/>
        <w:t>R en question;</w:t>
      </w:r>
    </w:p>
    <w:p w14:paraId="16E4343B" w14:textId="77777777" w:rsidR="008D67D4" w:rsidRPr="001877C4" w:rsidRDefault="008D67D4" w:rsidP="00E71694">
      <w:r w:rsidRPr="001877C4">
        <w:rPr>
          <w:i/>
          <w:iCs/>
        </w:rPr>
        <w:t>b)</w:t>
      </w:r>
      <w:r w:rsidRPr="001877C4">
        <w:tab/>
        <w:t>que les études de partage et de compatibilité de l'UIT-R relatives aux points de l'ordre du jour des CMR utilisant diverses hypothèses et divers paramètres d'entrée peuvent donner lieu à des résultats différents;</w:t>
      </w:r>
    </w:p>
    <w:p w14:paraId="4BB4853D" w14:textId="77777777" w:rsidR="008D67D4" w:rsidRPr="001877C4" w:rsidRDefault="008D67D4" w:rsidP="00E71694">
      <w:r w:rsidRPr="001877C4">
        <w:rPr>
          <w:i/>
          <w:iCs/>
        </w:rPr>
        <w:t>c)</w:t>
      </w:r>
      <w:r w:rsidRPr="001877C4">
        <w:tab/>
        <w:t>qu'il est difficile, voire impossible, pour les groupes de travail ou les groupes d'action de l'UIT</w:t>
      </w:r>
      <w:r w:rsidRPr="001877C4">
        <w:noBreakHyphen/>
        <w:t>R chargés de mener les études de l'UIT-R relatives aux points de l'ordre du jour des CMR de rendre dûment compte des résultats de ces études en ce qui concerne les méthodes à appliquer pour traiter les points de l'ordre du jour des CMR;</w:t>
      </w:r>
    </w:p>
    <w:p w14:paraId="67684BC6" w14:textId="77777777" w:rsidR="008D67D4" w:rsidRPr="001877C4" w:rsidRDefault="008D67D4" w:rsidP="00E71694">
      <w:r w:rsidRPr="001877C4">
        <w:rPr>
          <w:i/>
          <w:iCs/>
        </w:rPr>
        <w:t>d)</w:t>
      </w:r>
      <w:r w:rsidRPr="001877C4">
        <w:tab/>
        <w:t xml:space="preserve">qu'il est utile de prendre en considération les études de partage et de compatibilité déjà menées au cours des cycles d'études précédents, </w:t>
      </w:r>
      <w:r w:rsidRPr="001877C4">
        <w:rPr>
          <w:rFonts w:eastAsia="BatangChe"/>
        </w:rPr>
        <w:t>pour éviter de refaire des études qui ont déjà été effectuées</w:t>
      </w:r>
      <w:r w:rsidRPr="001877C4">
        <w:t>,</w:t>
      </w:r>
    </w:p>
    <w:p w14:paraId="272FEA3C" w14:textId="77777777" w:rsidR="008D67D4" w:rsidRPr="001877C4" w:rsidRDefault="008D67D4" w:rsidP="00E71694">
      <w:pPr>
        <w:pStyle w:val="Call"/>
      </w:pPr>
      <w:r w:rsidRPr="001877C4">
        <w:t>et décidé de charger le Directeur du Bureau des radiocommunications</w:t>
      </w:r>
    </w:p>
    <w:p w14:paraId="7439CA93" w14:textId="77777777" w:rsidR="008D67D4" w:rsidRPr="001877C4" w:rsidRDefault="008D67D4" w:rsidP="00E71694">
      <w:r w:rsidRPr="001877C4">
        <w:t>de porter les bonnes pratiques ci-après à l'attention de la première session de la RPC et des groupes de travail de l'UIT-R qui sont chargés des études relatives aux points de l'ordre du jour des CMR ou qui y contribuent, ainsi qu'à la prochaine Assemblée des radiocommunications pour ses travaux sur la Résolution UIT-R 2:</w:t>
      </w:r>
    </w:p>
    <w:p w14:paraId="681D4DE1" w14:textId="77777777" w:rsidR="008D67D4" w:rsidRPr="001877C4" w:rsidRDefault="008D67D4" w:rsidP="00E71694">
      <w:pPr>
        <w:rPr>
          <w:bCs/>
        </w:rPr>
      </w:pPr>
      <w:r w:rsidRPr="001877C4">
        <w:t>1</w:t>
      </w:r>
      <w:r w:rsidRPr="001877C4">
        <w:tab/>
        <w:t>définir (au niveau de la Réunion de préparation à la Conférence (RPC) ou du groupe responsable, selon le cas) la date à laquelle les groupes contributeurs de l'UIT-R devraient fournir les caractéristiques techniques et opérationnelles et les éventuels critères de protection associés nécessaires concernant leurs services existants, qui seront utilisés pour les études de partage et de compatibilité demandées dans le dispositif des Résolutions associées à un point de l'ordre du jour d'une CMR, lors des premières réunions tenues par ces groupes durant le cycle d'études de la CMR en question;</w:t>
      </w:r>
    </w:p>
    <w:p w14:paraId="4741A0E8" w14:textId="77777777" w:rsidR="008D67D4" w:rsidRPr="001877C4" w:rsidRDefault="008D67D4" w:rsidP="00E71694">
      <w:r w:rsidRPr="001877C4">
        <w:t>2</w:t>
      </w:r>
      <w:r w:rsidRPr="001877C4">
        <w:tab/>
        <w:t>définir la date à laquelle le groupe responsable de l'UIT-R devrait s'entendre sur une méthode pour mener les études de partage, en définissant les paramètres d'entrée et les scénarios de modélisation à utiliser;</w:t>
      </w:r>
    </w:p>
    <w:p w14:paraId="3BC6BAE6" w14:textId="77777777" w:rsidR="008D67D4" w:rsidRPr="001877C4" w:rsidRDefault="008D67D4" w:rsidP="00E71694">
      <w:pPr>
        <w:rPr>
          <w:bCs/>
        </w:rPr>
      </w:pPr>
      <w:r w:rsidRPr="001877C4">
        <w:rPr>
          <w:bCs/>
        </w:rPr>
        <w:t>3</w:t>
      </w:r>
      <w:r w:rsidRPr="001877C4">
        <w:rPr>
          <w:bCs/>
        </w:rPr>
        <w:tab/>
        <w:t>définir, dans toute la mesure possible, au sein du groupe responsable de l'UIT</w:t>
      </w:r>
      <w:r w:rsidRPr="001877C4">
        <w:rPr>
          <w:bCs/>
        </w:rPr>
        <w:noBreakHyphen/>
        <w:t>R, les critères, les hypothèses, les méthodes de partage et les processus de simulation qui seront utilisés pour les études de partage et de compatibilité</w:t>
      </w:r>
      <w:r w:rsidRPr="001877C4">
        <w:t>;</w:t>
      </w:r>
    </w:p>
    <w:p w14:paraId="51FCE27E" w14:textId="26B6C3C1" w:rsidR="008D67D4" w:rsidRPr="001877C4" w:rsidRDefault="008D67D4" w:rsidP="00E71694">
      <w:r w:rsidRPr="001877C4">
        <w:lastRenderedPageBreak/>
        <w:t>4</w:t>
      </w:r>
      <w:r w:rsidRPr="001877C4">
        <w:tab/>
        <w:t xml:space="preserve">veiller à ce que les études de l'UIT-R relatives aux points de l'ordre du jour des CMR soient fondées sur les </w:t>
      </w:r>
      <w:r w:rsidR="00E71694" w:rsidRPr="001877C4">
        <w:t>r</w:t>
      </w:r>
      <w:r w:rsidRPr="001877C4">
        <w:t>ecommandation UIT-R en vigueur, des contributions et des mesures réelles, lorsque cela est possible, contiennent des évaluations de scénarios de partage réalistes, utilisent des valeurs de système réelles et s'inspirent de bonnes pratiques;</w:t>
      </w:r>
    </w:p>
    <w:p w14:paraId="6D89ECEA" w14:textId="147BACA5" w:rsidR="008D67D4" w:rsidRPr="001877C4" w:rsidRDefault="008D67D4" w:rsidP="00E71694">
      <w:r w:rsidRPr="001877C4">
        <w:t>5</w:t>
      </w:r>
      <w:r w:rsidRPr="001877C4">
        <w:tab/>
        <w:t>respecter les délais fixés, dans la mesure du possible, afin de faciliter l'élaboration d'études de partage et de compatibilité relatives aux points de l'ordre du jour des CMR, compte tenu de la nécessité de disposer de suffisamment de temps pour réaliser les études en utilisant les paramètres et la méthode convenus.»</w:t>
      </w:r>
    </w:p>
    <w:p w14:paraId="679AEF69" w14:textId="62DCADB7" w:rsidR="008D67D4" w:rsidRPr="001877C4" w:rsidRDefault="00931D5A" w:rsidP="00E71694">
      <w:pPr>
        <w:rPr>
          <w:b/>
          <w:bCs/>
          <w:i/>
          <w:iCs/>
        </w:rPr>
      </w:pPr>
      <w:r w:rsidRPr="001877C4">
        <w:rPr>
          <w:b/>
          <w:bCs/>
          <w:i/>
          <w:iCs/>
        </w:rPr>
        <w:t xml:space="preserve">Mise en </w:t>
      </w:r>
      <w:r w:rsidR="00E71694" w:rsidRPr="001877C4">
        <w:rPr>
          <w:b/>
          <w:bCs/>
          <w:i/>
          <w:iCs/>
        </w:rPr>
        <w:t>œ</w:t>
      </w:r>
      <w:r w:rsidRPr="001877C4">
        <w:rPr>
          <w:b/>
          <w:bCs/>
          <w:i/>
          <w:iCs/>
        </w:rPr>
        <w:t>uvre de la Résolution UIT-R 74 de l'AR-23</w:t>
      </w:r>
    </w:p>
    <w:p w14:paraId="409FE824" w14:textId="02338AA1" w:rsidR="008D67D4" w:rsidRPr="001877C4" w:rsidRDefault="009E3DBA" w:rsidP="00E71694">
      <w:r w:rsidRPr="001877C4">
        <w:t>«La CMR-23 invite les États Membres à participer activement à la mise en œuvre de la Résolution</w:t>
      </w:r>
      <w:r w:rsidR="00E71694" w:rsidRPr="001877C4">
        <w:t> </w:t>
      </w:r>
      <w:r w:rsidRPr="001877C4">
        <w:t>UIT-R 74 (AR-23) en soumettant des contributions aux Commissions d'études de l'UIT</w:t>
      </w:r>
      <w:r w:rsidR="00E71694" w:rsidRPr="001877C4">
        <w:noBreakHyphen/>
      </w:r>
      <w:r w:rsidRPr="001877C4">
        <w:t>R concernées et en appuyant les activités techniques associées visant à assurer l'utilisation rationnelle, équitable, efficace et économique des ressources que sont le spectre des fréquences radioélectriques et les orbites associées, en mettant l'accent sur les systèmes à satellites non OSG, y compris la compatibilité entre systèmes.»</w:t>
      </w:r>
    </w:p>
    <w:p w14:paraId="06DA3994" w14:textId="6B36ABE2" w:rsidR="008D67D4" w:rsidRPr="001877C4" w:rsidRDefault="00E71694" w:rsidP="00E71694">
      <w:pPr>
        <w:rPr>
          <w:b/>
          <w:bCs/>
          <w:i/>
          <w:iCs/>
        </w:rPr>
      </w:pPr>
      <w:r w:rsidRPr="001877C4">
        <w:rPr>
          <w:b/>
          <w:bCs/>
          <w:i/>
          <w:iCs/>
        </w:rPr>
        <w:t>É</w:t>
      </w:r>
      <w:r w:rsidR="009E3DBA" w:rsidRPr="001877C4">
        <w:rPr>
          <w:b/>
          <w:bCs/>
          <w:i/>
          <w:iCs/>
        </w:rPr>
        <w:t>tudes techniques relatives aux limites d'epfd visant à garantir en permanence la protection des réseaux OSG du SFS et du SRS</w:t>
      </w:r>
    </w:p>
    <w:p w14:paraId="26ADD00E" w14:textId="2B6CF9C9" w:rsidR="008D67D4" w:rsidRPr="001877C4" w:rsidRDefault="009E3DBA" w:rsidP="00E71694">
      <w:r w:rsidRPr="001877C4">
        <w:t xml:space="preserve">«La CMR-23 invite l'UIT-R à mener des études techniques sur les limites d'epfd indiquées dans l'Article 22, y compris les limites d'epfd visées au numéro </w:t>
      </w:r>
      <w:r w:rsidRPr="001877C4">
        <w:rPr>
          <w:b/>
          <w:bCs/>
        </w:rPr>
        <w:t>22.5K</w:t>
      </w:r>
      <w:r w:rsidRPr="001877C4">
        <w:t>, en vue de garantir en permanence la protection des réseaux OSG du SFS et du SRS, et à informer la CMR-27 des résultats de ces études, sans aucune conséquence d'ordre réglementaire. Ces travaux ne devraient pas être soumis au titre du point 9.1 de l'ordre du jour.»</w:t>
      </w:r>
    </w:p>
    <w:p w14:paraId="76A6F468" w14:textId="43DF1191" w:rsidR="00CA3836" w:rsidRPr="001877C4" w:rsidRDefault="00CA3836" w:rsidP="00E71694">
      <w:r w:rsidRPr="001877C4">
        <w:t>2.</w:t>
      </w:r>
      <w:r w:rsidR="008D67D4" w:rsidRPr="001877C4">
        <w:t>2</w:t>
      </w:r>
      <w:r w:rsidRPr="001877C4">
        <w:tab/>
      </w:r>
      <w:r w:rsidR="008D67D4" w:rsidRPr="001877C4">
        <w:t xml:space="preserve">Il en est ainsi </w:t>
      </w:r>
      <w:r w:rsidR="008D67D4" w:rsidRPr="001877C4">
        <w:rPr>
          <w:b/>
        </w:rPr>
        <w:t>décidé</w:t>
      </w:r>
      <w:r w:rsidRPr="001877C4">
        <w:t>.</w:t>
      </w:r>
    </w:p>
    <w:p w14:paraId="7DFB3E53" w14:textId="1C18AEDD" w:rsidR="00CA3836" w:rsidRPr="001877C4" w:rsidRDefault="00CA3836" w:rsidP="00E71694">
      <w:r w:rsidRPr="001877C4">
        <w:t>2.</w:t>
      </w:r>
      <w:r w:rsidR="008D67D4" w:rsidRPr="001877C4">
        <w:t>3</w:t>
      </w:r>
      <w:r w:rsidRPr="001877C4">
        <w:tab/>
      </w:r>
      <w:r w:rsidR="009E3DBA" w:rsidRPr="001877C4">
        <w:t xml:space="preserve">Le </w:t>
      </w:r>
      <w:r w:rsidR="009E3DBA" w:rsidRPr="001877C4">
        <w:rPr>
          <w:b/>
          <w:bCs/>
        </w:rPr>
        <w:t>Président de la Commission 6</w:t>
      </w:r>
      <w:r w:rsidR="009E3DBA" w:rsidRPr="001877C4">
        <w:t xml:space="preserve"> demande que le contenu de l'Annexe 4 du rapport soit examiné par la plénière une fois que les discussions informelles entre les groupes régionaux sur le texte auront été achevées et que la résolution associée concernant le point éventuel à inscrire à l'ordre du jour de la CMR-27 aura été établie.</w:t>
      </w:r>
    </w:p>
    <w:p w14:paraId="36A37A0D" w14:textId="34A5DE1D" w:rsidR="008D67D4" w:rsidRPr="001877C4" w:rsidRDefault="008D67D4" w:rsidP="00E71694">
      <w:pPr>
        <w:rPr>
          <w:b/>
          <w:bCs/>
        </w:rPr>
      </w:pPr>
      <w:r w:rsidRPr="001877C4">
        <w:t>2.4</w:t>
      </w:r>
      <w:r w:rsidRPr="001877C4">
        <w:tab/>
      </w:r>
      <w:r w:rsidR="009E3DBA" w:rsidRPr="001877C4">
        <w:t xml:space="preserve">Il en est ainsi </w:t>
      </w:r>
      <w:r w:rsidR="009E3DBA" w:rsidRPr="001877C4">
        <w:rPr>
          <w:b/>
          <w:bCs/>
        </w:rPr>
        <w:t>décidé</w:t>
      </w:r>
      <w:r w:rsidR="009E3DBA" w:rsidRPr="001877C4">
        <w:t xml:space="preserve">, et le Document 497, à l'exception de l'Annexe 4, est </w:t>
      </w:r>
      <w:r w:rsidR="009E3DBA" w:rsidRPr="001877C4">
        <w:rPr>
          <w:b/>
          <w:bCs/>
        </w:rPr>
        <w:t>approuvé</w:t>
      </w:r>
      <w:r w:rsidR="009E3DBA" w:rsidRPr="001877C4">
        <w:t>.</w:t>
      </w:r>
    </w:p>
    <w:p w14:paraId="2A9302CB" w14:textId="6C4C78A5" w:rsidR="00CA3836" w:rsidRPr="001877C4" w:rsidRDefault="00CA3836" w:rsidP="00E71694">
      <w:pPr>
        <w:pStyle w:val="Heading1"/>
      </w:pPr>
      <w:r w:rsidRPr="001877C4">
        <w:t>3</w:t>
      </w:r>
      <w:r w:rsidRPr="001877C4">
        <w:tab/>
      </w:r>
      <w:r w:rsidR="008D67D4" w:rsidRPr="001877C4">
        <w:t>Trente-troisième</w:t>
      </w:r>
      <w:r w:rsidRPr="001877C4">
        <w:t xml:space="preserve"> </w:t>
      </w:r>
      <w:r w:rsidR="00DE205B" w:rsidRPr="001877C4">
        <w:t xml:space="preserve">série </w:t>
      </w:r>
      <w:r w:rsidRPr="001877C4">
        <w:t xml:space="preserve">de textes soumis par la Commission de rédaction </w:t>
      </w:r>
      <w:r w:rsidR="008D67D4" w:rsidRPr="001877C4">
        <w:t>en première</w:t>
      </w:r>
      <w:r w:rsidRPr="001877C4">
        <w:t xml:space="preserve"> lecture </w:t>
      </w:r>
      <w:r w:rsidR="009E3DBA" w:rsidRPr="001877C4">
        <w:t xml:space="preserve">(B33) </w:t>
      </w:r>
      <w:r w:rsidRPr="001877C4">
        <w:t xml:space="preserve">(Document </w:t>
      </w:r>
      <w:r w:rsidR="008D67D4" w:rsidRPr="001877C4">
        <w:t>455</w:t>
      </w:r>
      <w:r w:rsidRPr="001877C4">
        <w:t>)</w:t>
      </w:r>
    </w:p>
    <w:p w14:paraId="47429C74" w14:textId="6A1C9DE0" w:rsidR="008D67D4" w:rsidRPr="001877C4" w:rsidRDefault="008D67D4" w:rsidP="00E71694">
      <w:r w:rsidRPr="001877C4">
        <w:t>3.1</w:t>
      </w:r>
      <w:r w:rsidRPr="001877C4">
        <w:tab/>
        <w:t xml:space="preserve">Le </w:t>
      </w:r>
      <w:r w:rsidRPr="001877C4">
        <w:rPr>
          <w:b/>
        </w:rPr>
        <w:t>Président de la Commission de rédaction</w:t>
      </w:r>
      <w:r w:rsidRPr="001877C4">
        <w:t xml:space="preserve"> présente le Document 455.</w:t>
      </w:r>
    </w:p>
    <w:p w14:paraId="6178E7C1" w14:textId="1AF26DB3" w:rsidR="008D67D4" w:rsidRPr="001877C4" w:rsidRDefault="008D67D4" w:rsidP="00E71694">
      <w:r w:rsidRPr="001877C4">
        <w:t>3.2</w:t>
      </w:r>
      <w:r w:rsidRPr="001877C4">
        <w:tab/>
        <w:t xml:space="preserve">Le </w:t>
      </w:r>
      <w:r w:rsidRPr="001877C4">
        <w:rPr>
          <w:b/>
        </w:rPr>
        <w:t>Président</w:t>
      </w:r>
      <w:r w:rsidRPr="001877C4">
        <w:t xml:space="preserve"> invite les participants à examiner le Document 455.</w:t>
      </w:r>
    </w:p>
    <w:p w14:paraId="616734B5" w14:textId="4CBD3260" w:rsidR="008D67D4" w:rsidRPr="001877C4" w:rsidRDefault="008D67D4" w:rsidP="00E71694">
      <w:pPr>
        <w:rPr>
          <w:b/>
          <w:bCs/>
        </w:rPr>
      </w:pPr>
      <w:r w:rsidRPr="001877C4">
        <w:rPr>
          <w:b/>
          <w:bCs/>
        </w:rPr>
        <w:t>MOD Résolution 663 (CMR-19); MOD Résolution 775 (CMR-19); ADD Résolution COM6/1 (CMR-23) –</w:t>
      </w:r>
      <w:r w:rsidR="00D053A2" w:rsidRPr="001877C4">
        <w:rPr>
          <w:b/>
          <w:bCs/>
        </w:rPr>
        <w:t xml:space="preserve"> Études sur la révision éventuelle des conditions de partage dans la bande de fréquences 13,75-14 GHz pour permettre l'utilisation des stations terriennes du service fixe par satellite en liaison montante utilisant de petites antennes</w:t>
      </w:r>
      <w:r w:rsidRPr="001877C4">
        <w:rPr>
          <w:b/>
          <w:bCs/>
        </w:rPr>
        <w:t xml:space="preserve">; ADD Résolution COM6/2 (CMR-23) – </w:t>
      </w:r>
      <w:r w:rsidR="00D053A2" w:rsidRPr="001877C4">
        <w:rPr>
          <w:b/>
          <w:bCs/>
        </w:rPr>
        <w:t>Examen des mesures réglementaires appropriées pour mettre à jour l'Appendice</w:t>
      </w:r>
      <w:r w:rsidR="00DE205B" w:rsidRPr="001877C4">
        <w:rPr>
          <w:b/>
          <w:bCs/>
        </w:rPr>
        <w:t> </w:t>
      </w:r>
      <w:r w:rsidR="00D053A2" w:rsidRPr="001877C4">
        <w:rPr>
          <w:b/>
          <w:bCs/>
        </w:rPr>
        <w:t>26 à l'appui de la modernisation de l'utilisation des bandes d'ondes décamétriques du service mobile aéronautique (OR)</w:t>
      </w:r>
    </w:p>
    <w:p w14:paraId="5E468EED" w14:textId="25B9E740" w:rsidR="00CA3836" w:rsidRPr="001877C4" w:rsidRDefault="00CA3836" w:rsidP="00E71694">
      <w:r w:rsidRPr="001877C4">
        <w:t>3.3</w:t>
      </w:r>
      <w:r w:rsidRPr="001877C4">
        <w:tab/>
      </w:r>
      <w:r w:rsidR="008D67D4" w:rsidRPr="001877C4">
        <w:rPr>
          <w:b/>
          <w:bCs/>
        </w:rPr>
        <w:t>Approuvés</w:t>
      </w:r>
      <w:r w:rsidRPr="001877C4">
        <w:t>.</w:t>
      </w:r>
    </w:p>
    <w:p w14:paraId="67E95831" w14:textId="4EF25C66" w:rsidR="008D67D4" w:rsidRPr="001877C4" w:rsidRDefault="008D67D4" w:rsidP="00E71694">
      <w:r w:rsidRPr="001877C4">
        <w:t>3.4</w:t>
      </w:r>
      <w:r w:rsidRPr="001877C4">
        <w:tab/>
        <w:t xml:space="preserve">La trente-troisième </w:t>
      </w:r>
      <w:r w:rsidR="00DE205B" w:rsidRPr="001877C4">
        <w:t xml:space="preserve">série </w:t>
      </w:r>
      <w:r w:rsidRPr="001877C4">
        <w:t xml:space="preserve">de textes soumis par la Commission de rédaction en première lecture (B33) (Document 455) est </w:t>
      </w:r>
      <w:r w:rsidRPr="001877C4">
        <w:rPr>
          <w:b/>
          <w:bCs/>
        </w:rPr>
        <w:t>approuvée</w:t>
      </w:r>
      <w:r w:rsidRPr="001877C4">
        <w:t>.</w:t>
      </w:r>
    </w:p>
    <w:p w14:paraId="53E60372" w14:textId="5578BF63" w:rsidR="00CA3836" w:rsidRPr="001877C4" w:rsidRDefault="00CA3836" w:rsidP="00E71694">
      <w:pPr>
        <w:pStyle w:val="Heading1"/>
        <w:keepNext w:val="0"/>
        <w:keepLines w:val="0"/>
      </w:pPr>
      <w:r w:rsidRPr="001877C4">
        <w:lastRenderedPageBreak/>
        <w:t>4</w:t>
      </w:r>
      <w:r w:rsidRPr="001877C4">
        <w:tab/>
      </w:r>
      <w:r w:rsidR="008D67D4" w:rsidRPr="001877C4">
        <w:t xml:space="preserve">Trente-troisième </w:t>
      </w:r>
      <w:r w:rsidR="00DE205B" w:rsidRPr="001877C4">
        <w:t xml:space="preserve">série </w:t>
      </w:r>
      <w:r w:rsidR="008D67D4" w:rsidRPr="001877C4">
        <w:t>de textes soumis par la Commission de rédaction (B33) – deuxième lecture (Document 455)</w:t>
      </w:r>
    </w:p>
    <w:p w14:paraId="5578E3AD" w14:textId="7462BE26" w:rsidR="00CA3836" w:rsidRPr="001877C4" w:rsidRDefault="00CA3836" w:rsidP="00E71694">
      <w:r w:rsidRPr="001877C4">
        <w:t>4.1</w:t>
      </w:r>
      <w:r w:rsidRPr="001877C4">
        <w:tab/>
      </w:r>
      <w:r w:rsidR="0058292B" w:rsidRPr="001877C4">
        <w:t xml:space="preserve">La trente-troisième </w:t>
      </w:r>
      <w:r w:rsidR="00DE205B" w:rsidRPr="001877C4">
        <w:t xml:space="preserve">série </w:t>
      </w:r>
      <w:r w:rsidR="0058292B" w:rsidRPr="001877C4">
        <w:t xml:space="preserve">de textes soumis par la Commission de rédaction (B33) (Document 455) est </w:t>
      </w:r>
      <w:r w:rsidR="0058292B" w:rsidRPr="001877C4">
        <w:rPr>
          <w:b/>
          <w:bCs/>
        </w:rPr>
        <w:t>approuvée</w:t>
      </w:r>
      <w:r w:rsidR="0058292B" w:rsidRPr="001877C4">
        <w:t xml:space="preserve"> en deuxième lecture.</w:t>
      </w:r>
    </w:p>
    <w:p w14:paraId="34F23ABB" w14:textId="2670439F" w:rsidR="00CA3836" w:rsidRPr="001877C4" w:rsidRDefault="00CA3836" w:rsidP="00E71694">
      <w:pPr>
        <w:pStyle w:val="Heading1"/>
      </w:pPr>
      <w:r w:rsidRPr="001877C4">
        <w:t>5</w:t>
      </w:r>
      <w:r w:rsidRPr="001877C4">
        <w:tab/>
      </w:r>
      <w:r w:rsidR="0058292B" w:rsidRPr="001877C4">
        <w:t>Trente-cinquième</w:t>
      </w:r>
      <w:r w:rsidRPr="001877C4">
        <w:t xml:space="preserve"> série de textes soumis par la Commission de rédaction </w:t>
      </w:r>
      <w:r w:rsidR="0058292B" w:rsidRPr="001877C4">
        <w:t xml:space="preserve">en première lecture </w:t>
      </w:r>
      <w:r w:rsidRPr="001877C4">
        <w:t>(B</w:t>
      </w:r>
      <w:r w:rsidR="0058292B" w:rsidRPr="001877C4">
        <w:t>35</w:t>
      </w:r>
      <w:r w:rsidRPr="001877C4">
        <w:t xml:space="preserve">) (Document </w:t>
      </w:r>
      <w:r w:rsidR="0058292B" w:rsidRPr="001877C4">
        <w:t>457(Rév.1)</w:t>
      </w:r>
      <w:r w:rsidRPr="001877C4">
        <w:t>)</w:t>
      </w:r>
    </w:p>
    <w:p w14:paraId="4BC3F30C" w14:textId="567AFBD1" w:rsidR="00CA3836" w:rsidRPr="001877C4" w:rsidRDefault="00CA3836" w:rsidP="00E71694">
      <w:r w:rsidRPr="001877C4">
        <w:t>5.1</w:t>
      </w:r>
      <w:r w:rsidRPr="001877C4">
        <w:tab/>
      </w:r>
      <w:r w:rsidR="009E3DBA" w:rsidRPr="001877C4">
        <w:t xml:space="preserve">Le </w:t>
      </w:r>
      <w:r w:rsidR="009E3DBA" w:rsidRPr="001877C4">
        <w:rPr>
          <w:b/>
          <w:bCs/>
        </w:rPr>
        <w:t>Président de la Commission de rédaction</w:t>
      </w:r>
      <w:r w:rsidR="009E3DBA" w:rsidRPr="001877C4">
        <w:t xml:space="preserve"> présente le Document 457(Rév.1), dont la version russe a été modifiée compte tenu de l'incohérence constatée à la dixième séance plénière.</w:t>
      </w:r>
    </w:p>
    <w:p w14:paraId="7D64E3FB" w14:textId="424CECB4" w:rsidR="0058292B" w:rsidRPr="001877C4" w:rsidRDefault="0058292B" w:rsidP="00E71694">
      <w:r w:rsidRPr="001877C4">
        <w:t>5.2</w:t>
      </w:r>
      <w:r w:rsidRPr="001877C4">
        <w:tab/>
        <w:t xml:space="preserve">Le </w:t>
      </w:r>
      <w:r w:rsidRPr="001877C4">
        <w:rPr>
          <w:b/>
        </w:rPr>
        <w:t>Président</w:t>
      </w:r>
      <w:r w:rsidRPr="001877C4">
        <w:t xml:space="preserve"> invite les participants à examiner le Document 457(Rév.1).</w:t>
      </w:r>
    </w:p>
    <w:p w14:paraId="1C219EAB" w14:textId="471B72BE" w:rsidR="0058292B" w:rsidRPr="001877C4" w:rsidRDefault="0058292B" w:rsidP="00E71694">
      <w:pPr>
        <w:rPr>
          <w:b/>
          <w:bCs/>
        </w:rPr>
      </w:pPr>
      <w:r w:rsidRPr="001877C4">
        <w:rPr>
          <w:b/>
          <w:bCs/>
        </w:rPr>
        <w:t xml:space="preserve">Article 11 (MOD 11.44C, MOD 11.44C.1, MOD 11.44D, MOD 11.49, MOD 11.49.5, MOD 11.51); MOD Résolution 35 (CMR-19); ADD Résolution COM5/4 (CMR-23) – </w:t>
      </w:r>
      <w:r w:rsidR="00DE205B" w:rsidRPr="001877C4">
        <w:rPr>
          <w:b/>
          <w:bCs/>
        </w:rPr>
        <w:t>Tolérances pour certaines caractéristiques orbitales des stations spatiales déployées dans le cadre de systèmes à satellites non géostationnaires du service fixe par satellite, du service de radiodiffusion par satellite ou du service mobile par satellite</w:t>
      </w:r>
    </w:p>
    <w:p w14:paraId="58CFCD71" w14:textId="69085844" w:rsidR="0058292B" w:rsidRPr="001877C4" w:rsidRDefault="0058292B" w:rsidP="00E71694">
      <w:r w:rsidRPr="001877C4">
        <w:t>5.3</w:t>
      </w:r>
      <w:r w:rsidRPr="001877C4">
        <w:tab/>
      </w:r>
      <w:r w:rsidRPr="001877C4">
        <w:rPr>
          <w:b/>
          <w:bCs/>
        </w:rPr>
        <w:t>Approuvés</w:t>
      </w:r>
      <w:r w:rsidRPr="001877C4">
        <w:t>.</w:t>
      </w:r>
    </w:p>
    <w:p w14:paraId="002F1940" w14:textId="2222E096" w:rsidR="0058292B" w:rsidRPr="001877C4" w:rsidRDefault="0058292B" w:rsidP="00E71694">
      <w:r w:rsidRPr="001877C4">
        <w:t>5.4</w:t>
      </w:r>
      <w:r w:rsidRPr="001877C4">
        <w:tab/>
        <w:t xml:space="preserve">La trente-cinquième </w:t>
      </w:r>
      <w:r w:rsidR="00DE205B" w:rsidRPr="001877C4">
        <w:t xml:space="preserve">série </w:t>
      </w:r>
      <w:r w:rsidRPr="001877C4">
        <w:t xml:space="preserve">de textes soumis par la Commission de rédaction en première lecture (B35) (Document 457(Rév.1)) est </w:t>
      </w:r>
      <w:r w:rsidRPr="001877C4">
        <w:rPr>
          <w:b/>
          <w:bCs/>
        </w:rPr>
        <w:t>approuvée</w:t>
      </w:r>
      <w:r w:rsidRPr="001877C4">
        <w:t>.</w:t>
      </w:r>
    </w:p>
    <w:p w14:paraId="374FE867" w14:textId="0DC38118" w:rsidR="00CA3836" w:rsidRPr="001877C4" w:rsidRDefault="00CA3836" w:rsidP="00E71694">
      <w:pPr>
        <w:pStyle w:val="Heading1"/>
      </w:pPr>
      <w:r w:rsidRPr="001877C4">
        <w:t>6</w:t>
      </w:r>
      <w:r w:rsidRPr="001877C4">
        <w:tab/>
      </w:r>
      <w:r w:rsidR="0058292B" w:rsidRPr="001877C4">
        <w:t>Trente-cinquième de textes soumis par la Commission de rédaction (B35) – deuxième lecture (Document 457(Rév.1))</w:t>
      </w:r>
    </w:p>
    <w:p w14:paraId="0F93977B" w14:textId="7587920F" w:rsidR="00CA3836" w:rsidRPr="001877C4" w:rsidRDefault="00CA3836" w:rsidP="00E71694">
      <w:r w:rsidRPr="001877C4">
        <w:t>6.1</w:t>
      </w:r>
      <w:r w:rsidRPr="001877C4">
        <w:tab/>
      </w:r>
      <w:r w:rsidR="0058292B" w:rsidRPr="001877C4">
        <w:t>La trente-cinquième</w:t>
      </w:r>
      <w:r w:rsidR="00DE205B" w:rsidRPr="001877C4">
        <w:t xml:space="preserve"> série</w:t>
      </w:r>
      <w:r w:rsidR="0058292B" w:rsidRPr="001877C4">
        <w:t xml:space="preserve"> de textes soumis par la Commission de rédaction (B35) (Document 457(Rév.1)) est </w:t>
      </w:r>
      <w:r w:rsidR="0058292B" w:rsidRPr="001877C4">
        <w:rPr>
          <w:b/>
          <w:bCs/>
        </w:rPr>
        <w:t>approuvée</w:t>
      </w:r>
      <w:r w:rsidR="0058292B" w:rsidRPr="001877C4">
        <w:t xml:space="preserve"> en deuxième lecture.</w:t>
      </w:r>
    </w:p>
    <w:p w14:paraId="6E01A89E" w14:textId="75A07026" w:rsidR="00CA3836" w:rsidRPr="001877C4" w:rsidRDefault="00CA3836" w:rsidP="00E71694">
      <w:pPr>
        <w:pStyle w:val="Heading1"/>
      </w:pPr>
      <w:r w:rsidRPr="001877C4">
        <w:t>7</w:t>
      </w:r>
      <w:r w:rsidRPr="001877C4">
        <w:tab/>
      </w:r>
      <w:r w:rsidR="0058292B" w:rsidRPr="001877C4">
        <w:t xml:space="preserve">Quarantième série de textes soumis par la Commission de rédaction </w:t>
      </w:r>
      <w:r w:rsidR="00601C33" w:rsidRPr="001877C4">
        <w:t xml:space="preserve">en première lecture </w:t>
      </w:r>
      <w:r w:rsidR="0058292B" w:rsidRPr="001877C4">
        <w:t>(B40) (Document 474)</w:t>
      </w:r>
    </w:p>
    <w:p w14:paraId="69E4485A" w14:textId="7E70F19D" w:rsidR="0058292B" w:rsidRPr="001877C4" w:rsidRDefault="0058292B" w:rsidP="00E71694">
      <w:r w:rsidRPr="001877C4">
        <w:t>7.1</w:t>
      </w:r>
      <w:r w:rsidRPr="001877C4">
        <w:tab/>
        <w:t xml:space="preserve">Le </w:t>
      </w:r>
      <w:r w:rsidRPr="001877C4">
        <w:rPr>
          <w:b/>
        </w:rPr>
        <w:t>Président de la Commission de rédaction</w:t>
      </w:r>
      <w:r w:rsidRPr="001877C4">
        <w:t xml:space="preserve"> présente le Document 474.</w:t>
      </w:r>
    </w:p>
    <w:p w14:paraId="75B88C05" w14:textId="1A970437" w:rsidR="0058292B" w:rsidRPr="001877C4" w:rsidRDefault="0058292B" w:rsidP="00E71694">
      <w:r w:rsidRPr="001877C4">
        <w:t>7.2</w:t>
      </w:r>
      <w:r w:rsidRPr="001877C4">
        <w:tab/>
        <w:t xml:space="preserve">Le </w:t>
      </w:r>
      <w:r w:rsidRPr="001877C4">
        <w:rPr>
          <w:b/>
        </w:rPr>
        <w:t>Président</w:t>
      </w:r>
      <w:r w:rsidRPr="001877C4">
        <w:t xml:space="preserve"> invite les participants à examiner le Document 474.</w:t>
      </w:r>
    </w:p>
    <w:p w14:paraId="2E89727F" w14:textId="7B380563" w:rsidR="0058292B" w:rsidRPr="001877C4" w:rsidRDefault="0058292B" w:rsidP="00E71694">
      <w:pPr>
        <w:rPr>
          <w:b/>
          <w:bCs/>
        </w:rPr>
      </w:pPr>
      <w:r w:rsidRPr="001877C4">
        <w:rPr>
          <w:b/>
          <w:bCs/>
        </w:rPr>
        <w:t>ADD Résolution COM6/3 (CMR-23) –</w:t>
      </w:r>
      <w:r w:rsidR="00D053A2" w:rsidRPr="001877C4">
        <w:rPr>
          <w:b/>
          <w:bCs/>
        </w:rPr>
        <w:t xml:space="preserve"> Études relatives à l'utilisation de la bande de fréquences 51,4-52,4 GHz en vue d'en permettre l'utilisation par les stations terriennes passerelles émettant vers des systèmes à satellites non géostationnaires du service fixe par satellite (Terre vers espace)</w:t>
      </w:r>
      <w:r w:rsidRPr="001877C4">
        <w:rPr>
          <w:b/>
          <w:bCs/>
        </w:rPr>
        <w:t xml:space="preserve">; ADD Résolution COM6/4 (CMR-23) – </w:t>
      </w:r>
      <w:r w:rsidR="00D053A2" w:rsidRPr="001877C4">
        <w:rPr>
          <w:b/>
          <w:bCs/>
        </w:rPr>
        <w:t>Études sur les questions liées aux fréquences, y compris les éventuelles attributions, nouvelles ou modifiées, au service de recherche spatiale (espace-espace), pour le développement futur des communications à la surface de la Lune et entre l'orbite lunaire et la surface de la Lune</w:t>
      </w:r>
      <w:r w:rsidRPr="001877C4">
        <w:rPr>
          <w:b/>
          <w:bCs/>
        </w:rPr>
        <w:t xml:space="preserve">; ADD Résolution COM6/5 (CMR-23) – </w:t>
      </w:r>
      <w:r w:rsidR="00D053A2" w:rsidRPr="001877C4">
        <w:rPr>
          <w:b/>
          <w:bCs/>
        </w:rPr>
        <w:t>Études relatives à la compatibilité entre le service d'exploration de la Terre par satellite (passive), le service de radioastronomie dans certaines bandes de fréquences au</w:t>
      </w:r>
      <w:r w:rsidR="00D053A2" w:rsidRPr="001877C4">
        <w:rPr>
          <w:b/>
          <w:bCs/>
        </w:rPr>
        <w:noBreakHyphen/>
        <w:t>dessus de 76 GHz et les services actifs dans les bandes de fréquences adjacentes ou voisines</w:t>
      </w:r>
    </w:p>
    <w:p w14:paraId="7C108B07" w14:textId="19F52779" w:rsidR="0058292B" w:rsidRPr="001877C4" w:rsidRDefault="0058292B" w:rsidP="00E71694">
      <w:r w:rsidRPr="001877C4">
        <w:t>7.3</w:t>
      </w:r>
      <w:r w:rsidRPr="001877C4">
        <w:tab/>
      </w:r>
      <w:r w:rsidRPr="001877C4">
        <w:rPr>
          <w:b/>
          <w:bCs/>
        </w:rPr>
        <w:t>Approuvés</w:t>
      </w:r>
      <w:r w:rsidRPr="001877C4">
        <w:t>.</w:t>
      </w:r>
    </w:p>
    <w:p w14:paraId="6CF8105A" w14:textId="65F6A126" w:rsidR="0058292B" w:rsidRPr="001877C4" w:rsidRDefault="0058292B" w:rsidP="00E71694">
      <w:r w:rsidRPr="001877C4">
        <w:t>7.4</w:t>
      </w:r>
      <w:r w:rsidRPr="001877C4">
        <w:tab/>
        <w:t xml:space="preserve">La quarantième série de textes soumis par la Commission de rédaction </w:t>
      </w:r>
      <w:r w:rsidR="002C682E" w:rsidRPr="001877C4">
        <w:t xml:space="preserve">en première lecture </w:t>
      </w:r>
      <w:r w:rsidRPr="001877C4">
        <w:t xml:space="preserve">(B40) (Document 474) est </w:t>
      </w:r>
      <w:r w:rsidRPr="001877C4">
        <w:rPr>
          <w:b/>
          <w:bCs/>
        </w:rPr>
        <w:t>approuvée</w:t>
      </w:r>
      <w:r w:rsidRPr="001877C4">
        <w:t>.</w:t>
      </w:r>
    </w:p>
    <w:p w14:paraId="50AEA2B8" w14:textId="702925EA" w:rsidR="00CA3836" w:rsidRPr="001877C4" w:rsidRDefault="00CA3836" w:rsidP="00E71694">
      <w:pPr>
        <w:pStyle w:val="Heading1"/>
      </w:pPr>
      <w:r w:rsidRPr="001877C4">
        <w:lastRenderedPageBreak/>
        <w:t>8</w:t>
      </w:r>
      <w:r w:rsidRPr="001877C4">
        <w:tab/>
      </w:r>
      <w:r w:rsidR="00601C33" w:rsidRPr="001877C4">
        <w:t>Quarantième série de textes soumis par la Commission de rédaction (B40) – deuxième lecture (Document 474)</w:t>
      </w:r>
    </w:p>
    <w:p w14:paraId="56A54748" w14:textId="6EB8A681" w:rsidR="00CA3836" w:rsidRPr="001877C4" w:rsidRDefault="00CA3836" w:rsidP="00E71694">
      <w:r w:rsidRPr="001877C4">
        <w:t>8.1</w:t>
      </w:r>
      <w:r w:rsidRPr="001877C4">
        <w:tab/>
      </w:r>
      <w:r w:rsidR="00601C33" w:rsidRPr="001877C4">
        <w:t xml:space="preserve">La quarantième série de textes soumis par la Commission de rédaction (B40) (Document 474) est </w:t>
      </w:r>
      <w:r w:rsidR="00601C33" w:rsidRPr="001877C4">
        <w:rPr>
          <w:b/>
          <w:bCs/>
        </w:rPr>
        <w:t>approuvée</w:t>
      </w:r>
      <w:r w:rsidR="00601C33" w:rsidRPr="001877C4">
        <w:t xml:space="preserve"> en deuxième lecture.</w:t>
      </w:r>
    </w:p>
    <w:p w14:paraId="38663246" w14:textId="288FC217" w:rsidR="00601C33" w:rsidRPr="001877C4" w:rsidRDefault="00601C33" w:rsidP="00E71694">
      <w:pPr>
        <w:pStyle w:val="Heading1"/>
      </w:pPr>
      <w:r w:rsidRPr="001877C4">
        <w:t>9</w:t>
      </w:r>
      <w:r w:rsidRPr="001877C4">
        <w:tab/>
        <w:t>Quarant</w:t>
      </w:r>
      <w:r w:rsidR="000D0BE3" w:rsidRPr="001877C4">
        <w:t>e</w:t>
      </w:r>
      <w:r w:rsidRPr="001877C4">
        <w:t>-deuxième série de textes soumis par la Commission de rédaction en première lecture (B42) (Document 482)</w:t>
      </w:r>
    </w:p>
    <w:p w14:paraId="5C6ED257" w14:textId="544C9BEB" w:rsidR="00601C33" w:rsidRPr="001877C4" w:rsidRDefault="00601C33" w:rsidP="00E71694">
      <w:r w:rsidRPr="001877C4">
        <w:t>9.1</w:t>
      </w:r>
      <w:r w:rsidRPr="001877C4">
        <w:tab/>
        <w:t xml:space="preserve">Le </w:t>
      </w:r>
      <w:r w:rsidRPr="001877C4">
        <w:rPr>
          <w:b/>
        </w:rPr>
        <w:t>Président de la Commission de rédaction</w:t>
      </w:r>
      <w:r w:rsidRPr="001877C4">
        <w:t xml:space="preserve"> présente le Document 482.</w:t>
      </w:r>
    </w:p>
    <w:p w14:paraId="22884892" w14:textId="31ED00D2" w:rsidR="00601C33" w:rsidRPr="001877C4" w:rsidRDefault="00601C33" w:rsidP="00E71694">
      <w:r w:rsidRPr="001877C4">
        <w:t>9.2</w:t>
      </w:r>
      <w:r w:rsidRPr="001877C4">
        <w:tab/>
        <w:t xml:space="preserve">Le </w:t>
      </w:r>
      <w:r w:rsidRPr="001877C4">
        <w:rPr>
          <w:b/>
        </w:rPr>
        <w:t>Président</w:t>
      </w:r>
      <w:r w:rsidRPr="001877C4">
        <w:t xml:space="preserve"> invite les participants à examiner le Document 482.</w:t>
      </w:r>
    </w:p>
    <w:p w14:paraId="7C8C8E66" w14:textId="34295F7B" w:rsidR="00CA3836" w:rsidRPr="001877C4" w:rsidRDefault="00601C33" w:rsidP="00E71694">
      <w:pPr>
        <w:keepNext/>
        <w:keepLines/>
        <w:rPr>
          <w:b/>
          <w:bCs/>
        </w:rPr>
      </w:pPr>
      <w:r w:rsidRPr="001877C4">
        <w:rPr>
          <w:b/>
          <w:bCs/>
        </w:rPr>
        <w:t>Article 5 (MOD 5.484A, MOD Tableau 15.4-18.4 GHz, ADD 5.A119, ADD 5.C119, ADD 5.A117, MOD 5.517, MOD Table 18.4-22 GHz, ADD 5.523X, MOD Tableau 24,75</w:t>
      </w:r>
      <w:r w:rsidRPr="001877C4">
        <w:rPr>
          <w:b/>
          <w:bCs/>
        </w:rPr>
        <w:noBreakHyphen/>
        <w:t>29,9 GHz, MOD Tableau 29,9-34,2 GHz); Article 21 (MOD Tableau 21</w:t>
      </w:r>
      <w:r w:rsidRPr="001877C4">
        <w:rPr>
          <w:b/>
          <w:bCs/>
        </w:rPr>
        <w:noBreakHyphen/>
        <w:t>4, MOD 21.16.6, MOD 21.16.6A, MOD 21.16.6C); Article 22 (MOD Tableau 22-1B, ADD 22.5C.X, MOD Tableau 22-3, ADD 22.5F.Y, MOD Tableau 22-4B); Appendice</w:t>
      </w:r>
      <w:r w:rsidR="000D0BE3" w:rsidRPr="001877C4">
        <w:rPr>
          <w:b/>
          <w:bCs/>
        </w:rPr>
        <w:t> </w:t>
      </w:r>
      <w:r w:rsidRPr="001877C4">
        <w:rPr>
          <w:b/>
          <w:bCs/>
        </w:rPr>
        <w:t>5 (MOD Tableau 5-1); Appendice 30A (MOD Article 7 Tit</w:t>
      </w:r>
      <w:r w:rsidR="000D0BE3" w:rsidRPr="001877C4">
        <w:rPr>
          <w:b/>
          <w:bCs/>
        </w:rPr>
        <w:t>re</w:t>
      </w:r>
      <w:r w:rsidRPr="001877C4">
        <w:rPr>
          <w:b/>
          <w:bCs/>
        </w:rPr>
        <w:t>, MOD 7.1) ADD</w:t>
      </w:r>
      <w:r w:rsidR="000D0BE3" w:rsidRPr="001877C4">
        <w:rPr>
          <w:b/>
          <w:bCs/>
        </w:rPr>
        <w:t> </w:t>
      </w:r>
      <w:r w:rsidRPr="001877C4">
        <w:rPr>
          <w:b/>
          <w:bCs/>
        </w:rPr>
        <w:t>R</w:t>
      </w:r>
      <w:r w:rsidR="000D0BE3" w:rsidRPr="001877C4">
        <w:rPr>
          <w:b/>
          <w:bCs/>
        </w:rPr>
        <w:t>é</w:t>
      </w:r>
      <w:r w:rsidRPr="001877C4">
        <w:rPr>
          <w:b/>
          <w:bCs/>
        </w:rPr>
        <w:t>solution</w:t>
      </w:r>
      <w:r w:rsidR="000D0BE3" w:rsidRPr="001877C4">
        <w:rPr>
          <w:b/>
          <w:bCs/>
        </w:rPr>
        <w:t> </w:t>
      </w:r>
      <w:r w:rsidRPr="001877C4">
        <w:rPr>
          <w:b/>
          <w:bCs/>
        </w:rPr>
        <w:t>COM5/8 (</w:t>
      </w:r>
      <w:r w:rsidR="0011512D" w:rsidRPr="001877C4">
        <w:rPr>
          <w:b/>
          <w:bCs/>
        </w:rPr>
        <w:t>CMR</w:t>
      </w:r>
      <w:r w:rsidRPr="001877C4">
        <w:rPr>
          <w:b/>
          <w:bCs/>
        </w:rPr>
        <w:t xml:space="preserve">-23) – </w:t>
      </w:r>
      <w:r w:rsidR="00DC4B10" w:rsidRPr="001877C4">
        <w:rPr>
          <w:b/>
          <w:bCs/>
        </w:rPr>
        <w:t>Utilisation des bandes de fréquences 18,1-18,6 GHz, 18,8</w:t>
      </w:r>
      <w:r w:rsidR="00DC4B10" w:rsidRPr="001877C4">
        <w:rPr>
          <w:b/>
          <w:bCs/>
        </w:rPr>
        <w:noBreakHyphen/>
        <w:t>20,2 GHz et 27,5-30 GHz par le service inter-satellites</w:t>
      </w:r>
      <w:r w:rsidRPr="001877C4">
        <w:rPr>
          <w:b/>
          <w:bCs/>
        </w:rPr>
        <w:t xml:space="preserve">; SUP </w:t>
      </w:r>
      <w:r w:rsidR="000D0BE3" w:rsidRPr="001877C4">
        <w:rPr>
          <w:b/>
          <w:bCs/>
        </w:rPr>
        <w:t>Résolution</w:t>
      </w:r>
      <w:r w:rsidRPr="001877C4">
        <w:rPr>
          <w:b/>
          <w:bCs/>
        </w:rPr>
        <w:t xml:space="preserve"> 174 (</w:t>
      </w:r>
      <w:r w:rsidR="000D0BE3" w:rsidRPr="001877C4">
        <w:rPr>
          <w:b/>
          <w:bCs/>
        </w:rPr>
        <w:t>CMR</w:t>
      </w:r>
      <w:r w:rsidRPr="001877C4">
        <w:rPr>
          <w:b/>
          <w:bCs/>
        </w:rPr>
        <w:t>-19); SUP</w:t>
      </w:r>
      <w:r w:rsidR="000D0BE3" w:rsidRPr="001877C4">
        <w:rPr>
          <w:b/>
          <w:bCs/>
        </w:rPr>
        <w:t> Résolution </w:t>
      </w:r>
      <w:r w:rsidRPr="001877C4">
        <w:rPr>
          <w:b/>
          <w:bCs/>
        </w:rPr>
        <w:t>773 (</w:t>
      </w:r>
      <w:r w:rsidR="000D0BE3" w:rsidRPr="001877C4">
        <w:rPr>
          <w:b/>
          <w:bCs/>
        </w:rPr>
        <w:t>CMR</w:t>
      </w:r>
      <w:r w:rsidRPr="001877C4">
        <w:rPr>
          <w:b/>
          <w:bCs/>
        </w:rPr>
        <w:t>-19)</w:t>
      </w:r>
    </w:p>
    <w:p w14:paraId="2D83AC54" w14:textId="26260DED" w:rsidR="000D0BE3" w:rsidRPr="001877C4" w:rsidRDefault="000D0BE3" w:rsidP="00E71694">
      <w:pPr>
        <w:keepNext/>
        <w:keepLines/>
      </w:pPr>
      <w:r w:rsidRPr="001877C4">
        <w:t>9.3</w:t>
      </w:r>
      <w:r w:rsidRPr="001877C4">
        <w:tab/>
      </w:r>
      <w:r w:rsidRPr="001877C4">
        <w:rPr>
          <w:b/>
          <w:bCs/>
        </w:rPr>
        <w:t>Approuvés</w:t>
      </w:r>
      <w:r w:rsidRPr="001877C4">
        <w:t>.</w:t>
      </w:r>
    </w:p>
    <w:p w14:paraId="1CF101E2" w14:textId="2A23973F" w:rsidR="000D0BE3" w:rsidRPr="001877C4" w:rsidRDefault="000D0BE3" w:rsidP="00E71694">
      <w:pPr>
        <w:keepNext/>
        <w:keepLines/>
      </w:pPr>
      <w:r w:rsidRPr="001877C4">
        <w:t>9.4</w:t>
      </w:r>
      <w:r w:rsidRPr="001877C4">
        <w:tab/>
        <w:t xml:space="preserve">La quarante-deuxième série de textes soumis par la Commission de rédaction en première lecture (B42) (Document 482) est </w:t>
      </w:r>
      <w:r w:rsidRPr="001877C4">
        <w:rPr>
          <w:b/>
          <w:bCs/>
        </w:rPr>
        <w:t>approuvée</w:t>
      </w:r>
      <w:r w:rsidRPr="001877C4">
        <w:t>.</w:t>
      </w:r>
    </w:p>
    <w:p w14:paraId="72EA5A47" w14:textId="2D3ADFA4" w:rsidR="000D0BE3" w:rsidRPr="001877C4" w:rsidRDefault="000D0BE3" w:rsidP="00E71694">
      <w:pPr>
        <w:pStyle w:val="Heading1"/>
      </w:pPr>
      <w:r w:rsidRPr="001877C4">
        <w:t>10</w:t>
      </w:r>
      <w:r w:rsidRPr="001877C4">
        <w:tab/>
        <w:t>Quarante-deuxième série de textes soumis par la Commission de rédaction (B42) – deuxième lecture (Document 482)</w:t>
      </w:r>
    </w:p>
    <w:p w14:paraId="46A256A4" w14:textId="06BF324B" w:rsidR="000D0BE3" w:rsidRPr="001877C4" w:rsidRDefault="000D0BE3" w:rsidP="00E71694">
      <w:r w:rsidRPr="001877C4">
        <w:t>10.1</w:t>
      </w:r>
      <w:r w:rsidRPr="001877C4">
        <w:tab/>
        <w:t xml:space="preserve">La quarante-deuxième série de textes soumis par la Commission de rédaction (B42) (Document 482) est </w:t>
      </w:r>
      <w:r w:rsidRPr="001877C4">
        <w:rPr>
          <w:b/>
          <w:bCs/>
        </w:rPr>
        <w:t>approuvée</w:t>
      </w:r>
      <w:r w:rsidRPr="001877C4">
        <w:t xml:space="preserve"> en deuxième lecture.</w:t>
      </w:r>
    </w:p>
    <w:p w14:paraId="787B3E5D" w14:textId="65DD6CEC" w:rsidR="000D0BE3" w:rsidRPr="001877C4" w:rsidRDefault="000D0BE3" w:rsidP="00E71694">
      <w:pPr>
        <w:pStyle w:val="Heading1"/>
      </w:pPr>
      <w:r w:rsidRPr="001877C4">
        <w:t>11</w:t>
      </w:r>
      <w:r w:rsidRPr="001877C4">
        <w:tab/>
        <w:t>Quarante-troisième série de textes soumis par la Commission de rédaction en première lecture (B43) (Document 483)</w:t>
      </w:r>
    </w:p>
    <w:p w14:paraId="2B146894" w14:textId="18CF5DDD" w:rsidR="000D0BE3" w:rsidRPr="001877C4" w:rsidRDefault="000D0BE3" w:rsidP="00E71694">
      <w:r w:rsidRPr="001877C4">
        <w:t>11.1</w:t>
      </w:r>
      <w:r w:rsidRPr="001877C4">
        <w:tab/>
        <w:t xml:space="preserve">Le </w:t>
      </w:r>
      <w:r w:rsidRPr="001877C4">
        <w:rPr>
          <w:b/>
        </w:rPr>
        <w:t>Président de la Commission de rédaction</w:t>
      </w:r>
      <w:r w:rsidRPr="001877C4">
        <w:t xml:space="preserve"> présente le Document 483.</w:t>
      </w:r>
    </w:p>
    <w:p w14:paraId="48FCB3BB" w14:textId="2C5B1D02" w:rsidR="000D0BE3" w:rsidRPr="001877C4" w:rsidRDefault="000D0BE3" w:rsidP="00E71694">
      <w:r w:rsidRPr="001877C4">
        <w:t>11.2</w:t>
      </w:r>
      <w:r w:rsidRPr="001877C4">
        <w:tab/>
        <w:t xml:space="preserve">Le </w:t>
      </w:r>
      <w:r w:rsidRPr="001877C4">
        <w:rPr>
          <w:b/>
        </w:rPr>
        <w:t>Président</w:t>
      </w:r>
      <w:r w:rsidRPr="001877C4">
        <w:t xml:space="preserve"> invite les participants à examiner le Document 483.</w:t>
      </w:r>
    </w:p>
    <w:p w14:paraId="6FF922D0" w14:textId="78208421" w:rsidR="000D0BE3" w:rsidRPr="001877C4" w:rsidRDefault="000D0BE3" w:rsidP="00E71694">
      <w:pPr>
        <w:rPr>
          <w:b/>
          <w:bCs/>
        </w:rPr>
      </w:pPr>
      <w:r w:rsidRPr="001877C4">
        <w:rPr>
          <w:b/>
          <w:bCs/>
        </w:rPr>
        <w:t>Article 5 (MOD Tableau 27,5-40,98 MHz, ADD 5.A112, MOD Tableau 40,98-47 MHz, MOD 5.162A, MOD Tableau 47-75,2 MHz, MOD Tableau 14,5-15,4 GHz, ADD 5.A113); Appendice 7 (MOD Tableau 7b, MOD Tableau 8c); ADD Résolution COM5/6 (CMR</w:t>
      </w:r>
      <w:r w:rsidRPr="001877C4">
        <w:rPr>
          <w:b/>
          <w:bCs/>
        </w:rPr>
        <w:noBreakHyphen/>
        <w:t xml:space="preserve">23) – </w:t>
      </w:r>
      <w:r w:rsidR="00DC4B10" w:rsidRPr="001877C4">
        <w:rPr>
          <w:b/>
          <w:bCs/>
        </w:rPr>
        <w:t>Utilisation de la gamme de fréquences 40-50 MHz attribuée au service d'exploration de la Terre par satellite (active) pour les sondeurs radar spatioportés</w:t>
      </w:r>
      <w:r w:rsidRPr="001877C4">
        <w:rPr>
          <w:b/>
          <w:bCs/>
        </w:rPr>
        <w:t xml:space="preserve">; ADD Résolution COM5/7 (CMR-23) – </w:t>
      </w:r>
      <w:r w:rsidR="00DC4B10" w:rsidRPr="001877C4">
        <w:rPr>
          <w:b/>
          <w:bCs/>
        </w:rPr>
        <w:t>Utilisation de la bande de fréquences 14,8</w:t>
      </w:r>
      <w:r w:rsidR="00C72289" w:rsidRPr="001877C4">
        <w:rPr>
          <w:b/>
          <w:bCs/>
        </w:rPr>
        <w:t>-</w:t>
      </w:r>
      <w:r w:rsidR="00DC4B10" w:rsidRPr="001877C4">
        <w:rPr>
          <w:b/>
          <w:bCs/>
        </w:rPr>
        <w:t>15,35 GHz par le service de recherche spatiale (espace-espace) (Terre vers espace) (espace vers Terre) et mesures transitoires associées</w:t>
      </w:r>
      <w:r w:rsidRPr="001877C4">
        <w:rPr>
          <w:b/>
          <w:bCs/>
        </w:rPr>
        <w:t>; SUP Résolution 656 (Rév. CMR-19); SUP Résolution 657 (Rév. CMR-19); SUP</w:t>
      </w:r>
      <w:r w:rsidR="00DC4B10" w:rsidRPr="001877C4">
        <w:rPr>
          <w:b/>
          <w:bCs/>
        </w:rPr>
        <w:t> </w:t>
      </w:r>
      <w:r w:rsidRPr="001877C4">
        <w:rPr>
          <w:b/>
          <w:bCs/>
        </w:rPr>
        <w:t>Résolution</w:t>
      </w:r>
      <w:r w:rsidR="00DC4B10" w:rsidRPr="001877C4">
        <w:rPr>
          <w:b/>
          <w:bCs/>
        </w:rPr>
        <w:t> </w:t>
      </w:r>
      <w:r w:rsidRPr="001877C4">
        <w:rPr>
          <w:b/>
          <w:bCs/>
        </w:rPr>
        <w:t>661 (CMR-19)</w:t>
      </w:r>
    </w:p>
    <w:p w14:paraId="0BA2E134" w14:textId="13B14268" w:rsidR="000D0BE3" w:rsidRPr="001877C4" w:rsidRDefault="000D0BE3" w:rsidP="00E71694">
      <w:r w:rsidRPr="001877C4">
        <w:t>11.3</w:t>
      </w:r>
      <w:r w:rsidRPr="001877C4">
        <w:tab/>
      </w:r>
      <w:r w:rsidRPr="001877C4">
        <w:rPr>
          <w:b/>
          <w:bCs/>
        </w:rPr>
        <w:t>Approuvés</w:t>
      </w:r>
      <w:r w:rsidRPr="001877C4">
        <w:t>.</w:t>
      </w:r>
    </w:p>
    <w:p w14:paraId="124D4CB3" w14:textId="65290953" w:rsidR="000D0BE3" w:rsidRPr="001877C4" w:rsidRDefault="000D0BE3" w:rsidP="00E71694">
      <w:r w:rsidRPr="001877C4">
        <w:t>11.4</w:t>
      </w:r>
      <w:r w:rsidRPr="001877C4">
        <w:tab/>
        <w:t xml:space="preserve">La quarante-troisième série de textes soumis par la Commission de rédaction en première lecture (B43) (Document 483) est </w:t>
      </w:r>
      <w:r w:rsidRPr="001877C4">
        <w:rPr>
          <w:b/>
          <w:bCs/>
        </w:rPr>
        <w:t>approuvée</w:t>
      </w:r>
      <w:r w:rsidRPr="001877C4">
        <w:t>.</w:t>
      </w:r>
    </w:p>
    <w:p w14:paraId="4411AEA8" w14:textId="5A811C26" w:rsidR="00E934C9" w:rsidRPr="001877C4" w:rsidRDefault="00E934C9" w:rsidP="00E71694">
      <w:pPr>
        <w:pStyle w:val="Heading1"/>
      </w:pPr>
      <w:r w:rsidRPr="001877C4">
        <w:lastRenderedPageBreak/>
        <w:t>12</w:t>
      </w:r>
      <w:r w:rsidRPr="001877C4">
        <w:tab/>
        <w:t>Quarante-troisième série de textes soumis par la Commission de rédaction (B43) – deuxième lecture (Document 483)</w:t>
      </w:r>
    </w:p>
    <w:p w14:paraId="7257A05F" w14:textId="4A0C8F14" w:rsidR="000D0BE3" w:rsidRPr="001877C4" w:rsidRDefault="00E934C9" w:rsidP="00E71694">
      <w:r w:rsidRPr="001877C4">
        <w:t>12.1</w:t>
      </w:r>
      <w:r w:rsidRPr="001877C4">
        <w:tab/>
        <w:t xml:space="preserve">La quarante-troisième série de textes soumis par la Commission de rédaction (B43) (Document 483) est </w:t>
      </w:r>
      <w:r w:rsidRPr="001877C4">
        <w:rPr>
          <w:b/>
          <w:bCs/>
        </w:rPr>
        <w:t>approuvée</w:t>
      </w:r>
      <w:r w:rsidRPr="001877C4">
        <w:t xml:space="preserve"> en deuxième lecture.</w:t>
      </w:r>
    </w:p>
    <w:p w14:paraId="5ED9DC70" w14:textId="526E25AB" w:rsidR="00E934C9" w:rsidRPr="001877C4" w:rsidRDefault="00E934C9" w:rsidP="00E71694">
      <w:r w:rsidRPr="001877C4">
        <w:t>12.2</w:t>
      </w:r>
      <w:r w:rsidRPr="001877C4">
        <w:tab/>
      </w:r>
      <w:r w:rsidR="00C72289" w:rsidRPr="001877C4">
        <w:t>Le Président remercie tous ceux qui ont travaillé sur les points 1.12, 1.13, 1.17 et 1.19 de l'ordre du jour pour leurs efforts.</w:t>
      </w:r>
    </w:p>
    <w:p w14:paraId="353C2580" w14:textId="6DB4CF56" w:rsidR="00E934C9" w:rsidRPr="001877C4" w:rsidRDefault="00E934C9" w:rsidP="00E71694">
      <w:pPr>
        <w:pStyle w:val="Heading1"/>
      </w:pPr>
      <w:r w:rsidRPr="001877C4">
        <w:t>13</w:t>
      </w:r>
      <w:r w:rsidRPr="001877C4">
        <w:tab/>
        <w:t>Quarante-septième série de textes soumis par la Commission de rédaction en première lecture (B47) (Document 498)</w:t>
      </w:r>
    </w:p>
    <w:p w14:paraId="2A84CD38" w14:textId="05D003DE" w:rsidR="00E934C9" w:rsidRPr="001877C4" w:rsidRDefault="00E934C9" w:rsidP="00E71694">
      <w:r w:rsidRPr="001877C4">
        <w:t>13.1</w:t>
      </w:r>
      <w:r w:rsidRPr="001877C4">
        <w:tab/>
        <w:t xml:space="preserve">Le </w:t>
      </w:r>
      <w:r w:rsidRPr="001877C4">
        <w:rPr>
          <w:b/>
        </w:rPr>
        <w:t>Président de la Commission de rédaction</w:t>
      </w:r>
      <w:r w:rsidRPr="001877C4">
        <w:t xml:space="preserve"> présente le Document 498.</w:t>
      </w:r>
    </w:p>
    <w:p w14:paraId="43C19876" w14:textId="7F7C065B" w:rsidR="00E934C9" w:rsidRPr="001877C4" w:rsidRDefault="00E934C9" w:rsidP="00E71694">
      <w:r w:rsidRPr="001877C4">
        <w:t>13.2</w:t>
      </w:r>
      <w:r w:rsidRPr="001877C4">
        <w:tab/>
        <w:t xml:space="preserve">Le </w:t>
      </w:r>
      <w:r w:rsidRPr="001877C4">
        <w:rPr>
          <w:b/>
        </w:rPr>
        <w:t>Président</w:t>
      </w:r>
      <w:r w:rsidRPr="001877C4">
        <w:t xml:space="preserve"> invite les participants à examiner le Document 498.</w:t>
      </w:r>
    </w:p>
    <w:p w14:paraId="3D4DFDB8" w14:textId="29F56A89" w:rsidR="00E934C9" w:rsidRPr="001877C4" w:rsidRDefault="00E934C9" w:rsidP="00E71694">
      <w:r w:rsidRPr="001877C4">
        <w:t>13.3</w:t>
      </w:r>
      <w:r w:rsidRPr="001877C4">
        <w:tab/>
      </w:r>
      <w:r w:rsidR="005C1DE9" w:rsidRPr="001877C4">
        <w:t xml:space="preserve">La </w:t>
      </w:r>
      <w:r w:rsidR="005C1DE9" w:rsidRPr="001877C4">
        <w:rPr>
          <w:b/>
          <w:bCs/>
        </w:rPr>
        <w:t>déléguée de la Fédération de Russie</w:t>
      </w:r>
      <w:r w:rsidR="005C1DE9" w:rsidRPr="001877C4">
        <w:t>, s'exprimant au nom des pays de la RCC, indique que certains des projets de nouvelle Résolution proposés dans le Document 498 n'ont pas encore été approuvés au niveau des commissions. Elle demande donc que l'examen de ce document soit reporté en attendant la conclusion des discussions entre les chefs des groupes régionaux.</w:t>
      </w:r>
    </w:p>
    <w:p w14:paraId="6DC6A9D0" w14:textId="66F15508" w:rsidR="00E934C9" w:rsidRPr="001877C4" w:rsidRDefault="00E934C9" w:rsidP="00E71694">
      <w:r w:rsidRPr="001877C4">
        <w:t>13.4</w:t>
      </w:r>
      <w:r w:rsidRPr="001877C4">
        <w:tab/>
      </w:r>
      <w:r w:rsidR="005C1DE9" w:rsidRPr="001877C4">
        <w:t xml:space="preserve">Le </w:t>
      </w:r>
      <w:r w:rsidR="005C1DE9" w:rsidRPr="001877C4">
        <w:rPr>
          <w:b/>
          <w:bCs/>
        </w:rPr>
        <w:t>Président de la Commission 6</w:t>
      </w:r>
      <w:r w:rsidR="005C1DE9" w:rsidRPr="001877C4">
        <w:t xml:space="preserve"> fait observer qu'il n'y a pas de crochets dans le Document 498 et précise que tous les projets de Résolution figurant dans le document ont été approuvés par la Commission 6. La seule question en suspens concernant le point 10 de l'ordre du jour est le projet de résolution concernant l'identification de bandes de fréquences pour les systèmes</w:t>
      </w:r>
      <w:r w:rsidR="00516D81" w:rsidRPr="001877C4">
        <w:t> </w:t>
      </w:r>
      <w:r w:rsidR="005C1DE9" w:rsidRPr="001877C4">
        <w:t>IMT, qui ne figure pas dans le document à l'examen.</w:t>
      </w:r>
    </w:p>
    <w:p w14:paraId="28342D6D" w14:textId="53580725" w:rsidR="00E934C9" w:rsidRPr="001877C4" w:rsidRDefault="00E934C9" w:rsidP="00E71694">
      <w:r w:rsidRPr="001877C4">
        <w:t>13.5</w:t>
      </w:r>
      <w:r w:rsidRPr="001877C4">
        <w:tab/>
      </w:r>
      <w:r w:rsidR="005C1DE9" w:rsidRPr="001877C4">
        <w:t xml:space="preserve">Le </w:t>
      </w:r>
      <w:r w:rsidR="005C1DE9" w:rsidRPr="001877C4">
        <w:rPr>
          <w:b/>
          <w:bCs/>
        </w:rPr>
        <w:t>délégué de la Chine</w:t>
      </w:r>
      <w:r w:rsidR="005C1DE9" w:rsidRPr="001877C4">
        <w:t xml:space="preserve"> rappelle que certaines délégations ont soulevé des préoccupations à la séance de la Commission 6 tenue la veille, préoccupations qui, conformément à la décision de la Commission, doivent être soumises à la plénière.</w:t>
      </w:r>
    </w:p>
    <w:p w14:paraId="0B739D0E" w14:textId="77777777" w:rsidR="00516D81" w:rsidRPr="001877C4" w:rsidRDefault="00516D81" w:rsidP="00516D81">
      <w:r w:rsidRPr="001877C4">
        <w:t>13.6</w:t>
      </w:r>
      <w:r w:rsidRPr="001877C4">
        <w:tab/>
        <w:t xml:space="preserve">Le </w:t>
      </w:r>
      <w:r w:rsidRPr="001877C4">
        <w:rPr>
          <w:b/>
          <w:bCs/>
        </w:rPr>
        <w:t xml:space="preserve">délégué des États-Unis </w:t>
      </w:r>
      <w:r w:rsidRPr="001877C4">
        <w:t>souscrit à ces observations et souligne que les préoccupations fondamentales exprimées par sa délégation concernant un futur point qu'il est proposé d'inscrire à l'ordre du jour relatif aux systèmes du SMS à faible débit de données et la Résolution COM6/8 associée n'ont pas encore été entièrement traitées au sein de la Commission 6. L'orateur croit comprendre que la Plénière doit en prendre note.</w:t>
      </w:r>
    </w:p>
    <w:p w14:paraId="6D5CD363" w14:textId="77777777" w:rsidR="00516D81" w:rsidRPr="001877C4" w:rsidRDefault="00516D81" w:rsidP="00516D81">
      <w:r w:rsidRPr="001877C4">
        <w:t>13.7</w:t>
      </w:r>
      <w:r w:rsidRPr="001877C4">
        <w:tab/>
        <w:t xml:space="preserve">Le </w:t>
      </w:r>
      <w:r w:rsidRPr="001877C4">
        <w:rPr>
          <w:b/>
          <w:bCs/>
        </w:rPr>
        <w:t xml:space="preserve">délégué de l'Inde </w:t>
      </w:r>
      <w:r w:rsidRPr="001877C4">
        <w:t>précise que la nouvelle Résolution COM6/9 a été approuvée au niveau de la commission malgré les objections formulées par son administration. L'orateur convient que le Document 498 devrait faire l'objet d'un examen plus approfondi au sein de la Commission 6.</w:t>
      </w:r>
    </w:p>
    <w:p w14:paraId="1D266ABD" w14:textId="77777777" w:rsidR="00516D81" w:rsidRPr="001877C4" w:rsidRDefault="00516D81" w:rsidP="00516D81">
      <w:r w:rsidRPr="001877C4">
        <w:t>13.8</w:t>
      </w:r>
      <w:r w:rsidRPr="001877C4">
        <w:tab/>
        <w:t xml:space="preserve">Les délégués du </w:t>
      </w:r>
      <w:r w:rsidRPr="001877C4">
        <w:rPr>
          <w:b/>
          <w:bCs/>
        </w:rPr>
        <w:t>Canada</w:t>
      </w:r>
      <w:r w:rsidRPr="001877C4">
        <w:t xml:space="preserve">, de la </w:t>
      </w:r>
      <w:r w:rsidRPr="001877C4">
        <w:rPr>
          <w:b/>
          <w:bCs/>
        </w:rPr>
        <w:t>Finlande</w:t>
      </w:r>
      <w:r w:rsidRPr="001877C4">
        <w:t xml:space="preserve">, s'exprimant au nom des pays membres de la CEPT, du </w:t>
      </w:r>
      <w:r w:rsidRPr="001877C4">
        <w:rPr>
          <w:b/>
          <w:bCs/>
        </w:rPr>
        <w:t>Brésil</w:t>
      </w:r>
      <w:r w:rsidRPr="001877C4">
        <w:t>, de l'</w:t>
      </w:r>
      <w:r w:rsidRPr="001877C4">
        <w:rPr>
          <w:b/>
          <w:bCs/>
        </w:rPr>
        <w:t>Argentine</w:t>
      </w:r>
      <w:r w:rsidRPr="001877C4">
        <w:t xml:space="preserve"> et de la </w:t>
      </w:r>
      <w:r w:rsidRPr="001877C4">
        <w:rPr>
          <w:b/>
          <w:bCs/>
        </w:rPr>
        <w:t>Papouasie-Nouvelle-Guinée</w:t>
      </w:r>
      <w:r w:rsidRPr="001877C4">
        <w:t xml:space="preserve"> déclarent que les textes ont été longuement débattus au sein de la Commission 6 et croient comprendre qu'il doit être pris note des préoccupations exprimées. Le Document 489, qui ne contient pas de passage entre crochets, a été approuvé au niveau de la commission et devrait faire l'objet d'un examen à la présente séance plénière.</w:t>
      </w:r>
    </w:p>
    <w:p w14:paraId="65D98C2E" w14:textId="77777777" w:rsidR="00516D81" w:rsidRPr="001877C4" w:rsidRDefault="00516D81" w:rsidP="00516D81">
      <w:r w:rsidRPr="001877C4">
        <w:t>13.9</w:t>
      </w:r>
      <w:r w:rsidRPr="001877C4">
        <w:tab/>
        <w:t xml:space="preserve">La </w:t>
      </w:r>
      <w:r w:rsidRPr="001877C4">
        <w:rPr>
          <w:b/>
          <w:bCs/>
        </w:rPr>
        <w:t xml:space="preserve">déléguée du Mexique </w:t>
      </w:r>
      <w:r w:rsidRPr="001877C4">
        <w:t>ajoute que la Plénière voudra peut-être approuver les textes n'ayant suscité aucune préoccupation.</w:t>
      </w:r>
    </w:p>
    <w:p w14:paraId="65E3B167" w14:textId="77777777" w:rsidR="00516D81" w:rsidRPr="001877C4" w:rsidRDefault="00516D81" w:rsidP="00516D81">
      <w:r w:rsidRPr="001877C4">
        <w:t>13.10</w:t>
      </w:r>
      <w:r w:rsidRPr="001877C4">
        <w:tab/>
        <w:t xml:space="preserve">Le </w:t>
      </w:r>
      <w:r w:rsidRPr="001877C4">
        <w:rPr>
          <w:b/>
          <w:bCs/>
        </w:rPr>
        <w:t xml:space="preserve">Président </w:t>
      </w:r>
      <w:r w:rsidRPr="001877C4">
        <w:t xml:space="preserve">suggère à la Plénière d'approuver le Document 498 et de consigner les préoccupations exprimées au procès-verbal de la séance, le </w:t>
      </w:r>
      <w:r w:rsidRPr="001877C4">
        <w:rPr>
          <w:b/>
          <w:bCs/>
        </w:rPr>
        <w:t xml:space="preserve">délégué de l'Inde </w:t>
      </w:r>
      <w:r w:rsidRPr="001877C4">
        <w:t>précise qu'il souhaite proposer des modifications à apporter à la Résolution COM6/9 et que les préoccupations exprimées par son administration ne seront pas résolues si l'on se contente de les consigner au procès-verbal de la séance.</w:t>
      </w:r>
    </w:p>
    <w:p w14:paraId="6B199D73" w14:textId="77777777" w:rsidR="00516D81" w:rsidRPr="001877C4" w:rsidRDefault="00516D81" w:rsidP="00516D81">
      <w:r w:rsidRPr="001877C4">
        <w:lastRenderedPageBreak/>
        <w:t>13.11</w:t>
      </w:r>
      <w:r w:rsidRPr="001877C4">
        <w:tab/>
        <w:t xml:space="preserve">Le </w:t>
      </w:r>
      <w:r w:rsidRPr="001877C4">
        <w:rPr>
          <w:b/>
          <w:bCs/>
        </w:rPr>
        <w:t xml:space="preserve">Président </w:t>
      </w:r>
      <w:r w:rsidRPr="001877C4">
        <w:t>dit que les parties intéressées souhaiteront peut-être poursuivre les discussions sur les Résolutions COM6/8 et COM6/9 et rendre compte des résultats à la séance plénière suivante.</w:t>
      </w:r>
    </w:p>
    <w:p w14:paraId="50BA273C" w14:textId="509ABEF7" w:rsidR="00516D81" w:rsidRPr="001877C4" w:rsidRDefault="00516D81" w:rsidP="00516D81">
      <w:r w:rsidRPr="001877C4">
        <w:t>13.12</w:t>
      </w:r>
      <w:r w:rsidRPr="001877C4">
        <w:tab/>
        <w:t xml:space="preserve">Le </w:t>
      </w:r>
      <w:r w:rsidRPr="001877C4">
        <w:rPr>
          <w:b/>
          <w:bCs/>
        </w:rPr>
        <w:t>délégué du Brésil</w:t>
      </w:r>
      <w:r w:rsidRPr="001877C4">
        <w:t>, en sa qualité de coordonnateur des discussions sur la Résolution COM6/9, déclare que l'on ne voit pas très bien ce que l'on gagnerait à poursuivre le débat, en particulier sur cette résolution, qui a été longuement débattue. Les préoccupations de l'Inde ont été soulevées à tous les niveaux de la Commission 6 et l'orateur ne comprend pas très bien comment celles-ci pourraient être prises en compte à un stade aussi avancé.</w:t>
      </w:r>
    </w:p>
    <w:p w14:paraId="107FF65A" w14:textId="77777777" w:rsidR="00516D81" w:rsidRPr="001877C4" w:rsidRDefault="00516D81" w:rsidP="00516D81">
      <w:r w:rsidRPr="001877C4">
        <w:t>13.13</w:t>
      </w:r>
      <w:r w:rsidRPr="001877C4">
        <w:tab/>
        <w:t xml:space="preserve">La </w:t>
      </w:r>
      <w:r w:rsidRPr="001877C4">
        <w:rPr>
          <w:b/>
          <w:bCs/>
        </w:rPr>
        <w:t xml:space="preserve">déléguée du Canada </w:t>
      </w:r>
      <w:r w:rsidRPr="001877C4">
        <w:t xml:space="preserve">souscrit à ces observations, de même que le </w:t>
      </w:r>
      <w:r w:rsidRPr="001877C4">
        <w:rPr>
          <w:b/>
          <w:bCs/>
        </w:rPr>
        <w:t>délégué de l'Argentine</w:t>
      </w:r>
      <w:r w:rsidRPr="001877C4">
        <w:t xml:space="preserve">, qui note que les groupes régionaux sont parvenus à des accords concernant les gammes de fréquences indiquées dans la Résolution COM6/9 et estime que les textes devraient être traités selon les modalités convenues par la Commission 6. </w:t>
      </w:r>
      <w:r w:rsidRPr="001877C4">
        <w:rPr>
          <w:rFonts w:asciiTheme="majorBidi" w:hAnsiTheme="majorBidi" w:cstheme="majorBidi"/>
        </w:rPr>
        <w:t>Avec un si grand nombre de pays concernés, il faut s'attendre à des divergences de vues et toutes les administrations ont le droit d'exprimer leurs préoccupations. Pour autant, il n'y aurait rien à gagner à rouvrir le débat sur la solution de compromis trouvée au niveau interrégional. La séance plénière devrait approuver le Document 489 et les accords délicats qu'il contient.</w:t>
      </w:r>
    </w:p>
    <w:p w14:paraId="181A8E19" w14:textId="77777777" w:rsidR="00516D81" w:rsidRPr="001877C4" w:rsidRDefault="00516D81" w:rsidP="00516D81">
      <w:r w:rsidRPr="001877C4">
        <w:t>13.14</w:t>
      </w:r>
      <w:r w:rsidRPr="001877C4">
        <w:tab/>
        <w:t xml:space="preserve">Le </w:t>
      </w:r>
      <w:r w:rsidRPr="001877C4">
        <w:rPr>
          <w:b/>
          <w:bCs/>
        </w:rPr>
        <w:t xml:space="preserve">délégué de la Nouvelle-Zélande </w:t>
      </w:r>
      <w:r w:rsidRPr="001877C4">
        <w:t>partage ce point de vue et note que les bandes de fréquences énumérées sont le résultat du compromis trouvé.</w:t>
      </w:r>
    </w:p>
    <w:p w14:paraId="4DCA1FC9" w14:textId="77777777" w:rsidR="00516D81" w:rsidRPr="001877C4" w:rsidRDefault="00516D81" w:rsidP="00516D81">
      <w:r w:rsidRPr="001877C4">
        <w:t>13.15</w:t>
      </w:r>
      <w:r w:rsidRPr="001877C4">
        <w:tab/>
        <w:t xml:space="preserve">Le </w:t>
      </w:r>
      <w:r w:rsidRPr="001877C4">
        <w:rPr>
          <w:b/>
          <w:bCs/>
        </w:rPr>
        <w:t xml:space="preserve">délégué de l'Égypte </w:t>
      </w:r>
      <w:r w:rsidRPr="001877C4">
        <w:rPr>
          <w:rFonts w:asciiTheme="majorBidi" w:hAnsiTheme="majorBidi" w:cstheme="majorBidi"/>
        </w:rPr>
        <w:t>convient que le Document 498 a fait l'objet d'un examen approfondi à tous les niveaux. De nombreuses observations ont été formulées à propos de la Résolution COM6/9 et il faudra beaucoup de temps pour aplanir les divergences de vues importantes sur ce texte en particulier. Il ne serait pas judicieux de rouvrir les discussions sur un compromis qui a été accepté.</w:t>
      </w:r>
    </w:p>
    <w:p w14:paraId="5E323F87" w14:textId="77777777" w:rsidR="00516D81" w:rsidRPr="001877C4" w:rsidRDefault="00516D81" w:rsidP="00516D81">
      <w:r w:rsidRPr="001877C4">
        <w:t>13.16</w:t>
      </w:r>
      <w:r w:rsidRPr="001877C4">
        <w:tab/>
        <w:t xml:space="preserve">Le </w:t>
      </w:r>
      <w:r w:rsidRPr="001877C4">
        <w:rPr>
          <w:b/>
          <w:bCs/>
        </w:rPr>
        <w:t xml:space="preserve">délégué de la République islamique d'Iran </w:t>
      </w:r>
      <w:r w:rsidRPr="001877C4">
        <w:t xml:space="preserve">déclare </w:t>
      </w:r>
      <w:r w:rsidRPr="001877C4">
        <w:rPr>
          <w:rFonts w:asciiTheme="majorBidi" w:hAnsiTheme="majorBidi" w:cstheme="majorBidi"/>
        </w:rPr>
        <w:t xml:space="preserve">qu'une solution possible pourrait consister à ajouter une note aux résolutions concernées indiquant que, lors des études demandées, il conviendrait, dans la mesure du possible, de tenir compte des préoccupations exprimées dans le procès-verbal de la plénière. Cette suggestion est appuyée par le </w:t>
      </w:r>
      <w:r w:rsidRPr="001877C4">
        <w:rPr>
          <w:rFonts w:asciiTheme="majorBidi" w:hAnsiTheme="majorBidi" w:cstheme="majorBidi"/>
          <w:b/>
          <w:bCs/>
        </w:rPr>
        <w:t>délégué de l'Inde</w:t>
      </w:r>
      <w:r w:rsidRPr="001877C4">
        <w:rPr>
          <w:rFonts w:asciiTheme="majorBidi" w:hAnsiTheme="majorBidi" w:cstheme="majorBidi"/>
        </w:rPr>
        <w:t>.</w:t>
      </w:r>
    </w:p>
    <w:p w14:paraId="48BC1242" w14:textId="2BEA5430" w:rsidR="00516D81" w:rsidRPr="001877C4" w:rsidRDefault="00516D81" w:rsidP="00516D81">
      <w:r w:rsidRPr="001877C4">
        <w:t>13.17</w:t>
      </w:r>
      <w:r w:rsidRPr="001877C4">
        <w:tab/>
        <w:t xml:space="preserve">Le </w:t>
      </w:r>
      <w:r w:rsidRPr="001877C4">
        <w:rPr>
          <w:b/>
          <w:bCs/>
        </w:rPr>
        <w:t xml:space="preserve">délégué de la Fédération de Russie </w:t>
      </w:r>
      <w:r w:rsidRPr="001877C4">
        <w:t xml:space="preserve">se fait l'écho des propos des orateurs précédents selon lesquels les </w:t>
      </w:r>
      <w:r w:rsidRPr="001877C4">
        <w:rPr>
          <w:rFonts w:asciiTheme="majorBidi" w:hAnsiTheme="majorBidi" w:cstheme="majorBidi"/>
        </w:rPr>
        <w:t>participants devraient approuver le document et consigner au procès-verbal les préoccupations exprimées. Toutefois, il ne serait pas opportun d'ajouter une note faisant référence au procès-verbal de la plénière dans une résolution du Règlement des radiocommunications, le statut des deux textes étant complètement différent.</w:t>
      </w:r>
    </w:p>
    <w:p w14:paraId="72153D3F" w14:textId="57AC835D" w:rsidR="00516D81" w:rsidRPr="001877C4" w:rsidRDefault="00516D81" w:rsidP="00516D81">
      <w:r w:rsidRPr="001877C4">
        <w:t>13.18</w:t>
      </w:r>
      <w:r w:rsidRPr="001877C4">
        <w:tab/>
        <w:t xml:space="preserve">Le </w:t>
      </w:r>
      <w:r w:rsidRPr="001877C4">
        <w:rPr>
          <w:b/>
          <w:bCs/>
        </w:rPr>
        <w:t xml:space="preserve">Président </w:t>
      </w:r>
      <w:r w:rsidRPr="001877C4">
        <w:t xml:space="preserve">fait observer que le Document 498 tel que présenté à la Plénière ne contient pas de passage entre crochets. </w:t>
      </w:r>
      <w:r w:rsidRPr="001877C4">
        <w:rPr>
          <w:rFonts w:asciiTheme="majorBidi" w:hAnsiTheme="majorBidi" w:cstheme="majorBidi"/>
        </w:rPr>
        <w:t>La plupart des délégations souhaitent aller de l'avant avec son approbation et toute préoccupation sera consignée au procès-verbal de la séance plénière. Le Président suggère donc que la séance se poursuive sur cette base.</w:t>
      </w:r>
    </w:p>
    <w:p w14:paraId="33DBA0D5" w14:textId="77777777" w:rsidR="00516D81" w:rsidRPr="001877C4" w:rsidRDefault="00516D81" w:rsidP="00516D81">
      <w:r w:rsidRPr="001877C4">
        <w:t>13.19</w:t>
      </w:r>
      <w:r w:rsidRPr="001877C4">
        <w:tab/>
        <w:t xml:space="preserve">Il en est ainsi </w:t>
      </w:r>
      <w:r w:rsidRPr="001877C4">
        <w:rPr>
          <w:b/>
        </w:rPr>
        <w:t>décidé</w:t>
      </w:r>
      <w:r w:rsidRPr="001877C4">
        <w:t>.</w:t>
      </w:r>
    </w:p>
    <w:p w14:paraId="385514FE" w14:textId="193B89C2" w:rsidR="00516D81" w:rsidRPr="001877C4" w:rsidRDefault="00516D81" w:rsidP="00516D81">
      <w:pPr>
        <w:rPr>
          <w:b/>
          <w:bCs/>
        </w:rPr>
      </w:pPr>
      <w:r w:rsidRPr="001877C4">
        <w:rPr>
          <w:b/>
          <w:bCs/>
        </w:rPr>
        <w:t>MOD Résolution 176 (CMR-19); MOD Résolution 249 (CMR-19); ADD Résolution COM6/6 (CMR</w:t>
      </w:r>
      <w:r w:rsidRPr="001877C4">
        <w:rPr>
          <w:b/>
          <w:bCs/>
        </w:rPr>
        <w:noBreakHyphen/>
        <w:t xml:space="preserve">23) – Études relatives à l'élaboration de mesures réglementaires, et à la possibilité de mettre en œuvre ces mesures, pour limiter l'exploitation non autorisée de stations terriennes du service fixe par satellite (SFS) et du service mobile par satellite (SMS) sur l'orbite des satellites non géostationnaires (non OSG), et questions associées liées à la zone de service des systèmes à satellites non OSG du SFS et du SMS; ADD Résolution COM6/7 (CMR-23) – Examen des mesures techniques et réglementaires relatives aux réseaux à satellite/systèmes à </w:t>
      </w:r>
      <w:r w:rsidRPr="001877C4">
        <w:rPr>
          <w:b/>
          <w:bCs/>
        </w:rPr>
        <w:br w:type="page"/>
      </w:r>
    </w:p>
    <w:p w14:paraId="0BB5EA77" w14:textId="3B9AAFBF" w:rsidR="00516D81" w:rsidRPr="001877C4" w:rsidRDefault="00516D81" w:rsidP="00516D81">
      <w:pPr>
        <w:rPr>
          <w:b/>
          <w:bCs/>
        </w:rPr>
      </w:pPr>
      <w:r w:rsidRPr="001877C4">
        <w:rPr>
          <w:b/>
          <w:bCs/>
        </w:rPr>
        <w:lastRenderedPageBreak/>
        <w:t>satellites du service fixe par satellite dans les bandes de fréquences 37,5-42,5 GHz (espace vers Terre), 42,5-43,5 GHz (Terre vers espace), 47,2-50,2 GHz (Terre vers espace) et 50,4-51,4 GHz (Terre vers espace) pour garantir un accès équitable à ces bandes de fréquences</w:t>
      </w:r>
    </w:p>
    <w:p w14:paraId="5CF09DF6" w14:textId="77777777" w:rsidR="00516D81" w:rsidRPr="001877C4" w:rsidRDefault="00516D81" w:rsidP="00516D81">
      <w:r w:rsidRPr="001877C4">
        <w:t>13.20</w:t>
      </w:r>
      <w:r w:rsidRPr="001877C4">
        <w:tab/>
      </w:r>
      <w:r w:rsidRPr="001877C4">
        <w:rPr>
          <w:b/>
          <w:bCs/>
        </w:rPr>
        <w:t>Approuvés</w:t>
      </w:r>
      <w:r w:rsidRPr="001877C4">
        <w:t>.</w:t>
      </w:r>
    </w:p>
    <w:p w14:paraId="15E8D231" w14:textId="2B75DD6F" w:rsidR="00516D81" w:rsidRPr="001877C4" w:rsidRDefault="00516D81" w:rsidP="00516D81">
      <w:pPr>
        <w:rPr>
          <w:b/>
          <w:bCs/>
        </w:rPr>
      </w:pPr>
      <w:r w:rsidRPr="001877C4">
        <w:rPr>
          <w:b/>
          <w:bCs/>
        </w:rPr>
        <w:t>ADD Résolution COM6/8 (CMR-23) – Études relatives aux nouvelles attributions éventuelles au service mobile par satellite et aux éventuelles mesures réglementaires dans les bandes de fréquences 1 427-1 432 MHz (espace vers Terre), 1 645,5-1 646,5 MHz (espace vers Terre) et (Terre vers espace), 1 880-1 920 MHz (espace vers Terre) et (Terre vers espace) et 2 010</w:t>
      </w:r>
      <w:r w:rsidRPr="001877C4">
        <w:rPr>
          <w:b/>
          <w:bCs/>
        </w:rPr>
        <w:noBreakHyphen/>
        <w:t>2 025 MHz (espace vers Terre) et (Terre vers espace) nécessaires au développement futur des systèmes à satellites mobiles non géostationnaires à faible débit de données</w:t>
      </w:r>
    </w:p>
    <w:p w14:paraId="1FD463E4" w14:textId="2B4B7C7A" w:rsidR="00516D81" w:rsidRPr="001877C4" w:rsidRDefault="00516D81" w:rsidP="00516D81">
      <w:r w:rsidRPr="001877C4">
        <w:t>13.21</w:t>
      </w:r>
      <w:r w:rsidRPr="001877C4">
        <w:tab/>
        <w:t xml:space="preserve">Le </w:t>
      </w:r>
      <w:r w:rsidRPr="001877C4">
        <w:rPr>
          <w:b/>
          <w:bCs/>
        </w:rPr>
        <w:t xml:space="preserve">délégué de la Chine </w:t>
      </w:r>
      <w:r w:rsidRPr="001877C4">
        <w:t xml:space="preserve">déclare que sa délégation a toujours des préoccupations, déjà exprimées au niveau de la Commission 6, concernant les bandes de fréquences énumérées dans le projet de nouvelle Résolution COM6/8. </w:t>
      </w:r>
      <w:r w:rsidRPr="001877C4">
        <w:rPr>
          <w:rFonts w:asciiTheme="majorBidi" w:hAnsiTheme="majorBidi" w:cstheme="majorBidi"/>
        </w:rPr>
        <w:t xml:space="preserve">Étant donné que de nombreux services mobiles fonctionnent au-dessus de 1 430 MHz, il aurait été préférable de remplacer la bande de fréquences </w:t>
      </w:r>
      <w:r w:rsidRPr="001877C4">
        <w:rPr>
          <w:szCs w:val="24"/>
        </w:rPr>
        <w:t>1 427-1 432 MHz par la bande de fréquences 1 428-1 430 MHz</w:t>
      </w:r>
      <w:r w:rsidR="00806327" w:rsidRPr="001877C4">
        <w:rPr>
          <w:szCs w:val="24"/>
        </w:rPr>
        <w:t xml:space="preserve"> pour protéger le service passif et les applications du service mobile couramment utilisées</w:t>
      </w:r>
      <w:r w:rsidRPr="001877C4">
        <w:rPr>
          <w:szCs w:val="24"/>
        </w:rPr>
        <w:t xml:space="preserve">. De plus, de nombreuses administrations ont préconisé la suppression de la bande de fréquences 1 645,5-1 646,5 MHz, </w:t>
      </w:r>
      <w:r w:rsidR="00806327" w:rsidRPr="001877C4">
        <w:rPr>
          <w:szCs w:val="24"/>
        </w:rPr>
        <w:t xml:space="preserve">afin que celle-ci soit désignée </w:t>
      </w:r>
      <w:r w:rsidRPr="001877C4">
        <w:rPr>
          <w:szCs w:val="24"/>
        </w:rPr>
        <w:t>pour le Système mondial de détresse et de sécurité en mer (SMDSM). L'orateur préférerait en outre que cette bande de fréquences soit supprimée; à défaut, il conviendrait d'ajouter une note libellée comme suit: «les études relatives aux nouvelles attributions possibles et aux éventuelles mesures réglementaires dans cette bande de fréquences devraient tenir compte de la protection du SMDSM (voir également le numéro 5.375)».</w:t>
      </w:r>
    </w:p>
    <w:p w14:paraId="3208DD3F" w14:textId="7CBE0DB9" w:rsidR="00516D81" w:rsidRPr="001877C4" w:rsidRDefault="00516D81" w:rsidP="00516D81">
      <w:pPr>
        <w:rPr>
          <w:szCs w:val="24"/>
        </w:rPr>
      </w:pPr>
      <w:r w:rsidRPr="001877C4">
        <w:t>13.22</w:t>
      </w:r>
      <w:r w:rsidRPr="001877C4">
        <w:tab/>
        <w:t xml:space="preserve">Le </w:t>
      </w:r>
      <w:r w:rsidRPr="001877C4">
        <w:rPr>
          <w:szCs w:val="24"/>
        </w:rPr>
        <w:t xml:space="preserve">ADD Résolution COM6/8 est </w:t>
      </w:r>
      <w:r w:rsidRPr="001877C4">
        <w:rPr>
          <w:b/>
          <w:bCs/>
          <w:szCs w:val="24"/>
        </w:rPr>
        <w:t>approuvé</w:t>
      </w:r>
      <w:r w:rsidRPr="001877C4">
        <w:rPr>
          <w:szCs w:val="24"/>
        </w:rPr>
        <w:t>.</w:t>
      </w:r>
    </w:p>
    <w:p w14:paraId="191C954D" w14:textId="77777777" w:rsidR="00516D81" w:rsidRPr="001877C4" w:rsidRDefault="00516D81" w:rsidP="00516D81">
      <w:pPr>
        <w:rPr>
          <w:b/>
          <w:bCs/>
        </w:rPr>
      </w:pPr>
      <w:r w:rsidRPr="001877C4">
        <w:rPr>
          <w:b/>
          <w:bCs/>
        </w:rPr>
        <w:t>ADD Résolution COM6/9 (CMR-23) – Études concernant de nouvelles attributions éventuelles au service mobile par satellite pour permettre une connectivité directe entre les stations spatiales et les équipements d'utilisateur des Télécommunications mobiles internationales (IMT) afin de compléter la couverture des réseaux IMT de Terre</w:t>
      </w:r>
    </w:p>
    <w:p w14:paraId="78987586" w14:textId="00106DC7" w:rsidR="00516D81" w:rsidRPr="001877C4" w:rsidRDefault="00516D81" w:rsidP="00516D81">
      <w:r w:rsidRPr="001877C4">
        <w:t>13.23</w:t>
      </w:r>
      <w:r w:rsidRPr="001877C4">
        <w:tab/>
        <w:t xml:space="preserve">Le </w:t>
      </w:r>
      <w:r w:rsidRPr="001877C4">
        <w:rPr>
          <w:b/>
          <w:bCs/>
        </w:rPr>
        <w:t xml:space="preserve">délégué de l'Inde </w:t>
      </w:r>
      <w:r w:rsidRPr="001877C4">
        <w:t xml:space="preserve">indique que son administration est préoccupée par l'inclusion de la bande des 2,5 GHz. Bien que le pays ait fait part de ces préoccupations à la Commission 6, les bandes de fréquences n'ont pas été examinées avant la dernière séance et il n'y a pas eu de consensus de la Télécommunauté Asie-Pacifique (APT) sur l'inclusion de cette bande de fréquences. L'orateur rappelle que les brouillages préjudiciables causés par les systèmes IMT de Terre aux systèmes du SMS de l'Inde fonctionnant dans ces bandes de fréquences avaient été reconnus à la CMR-19, qui avait chargé l'UIT d'accélérer les études de partage concernant la coexistence du service mobile par satellite et de la composante de Terre des IMT (Résolution 225 (Rév. CMR-12)). Toutefois, ces études sont toujours en cours au sein du Groupe de travail 4C de l'UIT-R et un système hybride dans lequel le terminal d'utilisateur IMT communiquerait avec le réseau du SMS est source de préoccupation. L'orateur est donc d'avis que dans le point 1 du </w:t>
      </w:r>
      <w:r w:rsidRPr="001877C4">
        <w:rPr>
          <w:i/>
          <w:iCs/>
        </w:rPr>
        <w:t>décide d'inviter le Secteur des radiocommunications de l'UIT à achever à temps pour la Conférence mondiale des radiocommunications de 2027</w:t>
      </w:r>
      <w:r w:rsidRPr="001877C4">
        <w:t>, la bande de fréquences citée devrait être inférieure à</w:t>
      </w:r>
      <w:r w:rsidR="001A070B" w:rsidRPr="001877C4">
        <w:t> </w:t>
      </w:r>
      <w:r w:rsidRPr="001877C4">
        <w:t>2,5 GHz au lieu de 2,7 GHz.</w:t>
      </w:r>
    </w:p>
    <w:p w14:paraId="279CB194" w14:textId="068869EA" w:rsidR="003E38C3" w:rsidRPr="001877C4" w:rsidRDefault="00516D81" w:rsidP="003E38C3">
      <w:pPr>
        <w:rPr>
          <w:iCs/>
          <w:szCs w:val="24"/>
        </w:rPr>
      </w:pPr>
      <w:r w:rsidRPr="001877C4">
        <w:t>13.24</w:t>
      </w:r>
      <w:r w:rsidRPr="001877C4">
        <w:tab/>
        <w:t xml:space="preserve">La </w:t>
      </w:r>
      <w:r w:rsidRPr="001877C4">
        <w:rPr>
          <w:b/>
          <w:bCs/>
        </w:rPr>
        <w:t xml:space="preserve">déléguée de la Chine </w:t>
      </w:r>
      <w:r w:rsidRPr="001877C4">
        <w:t>explique que son administration a donné son point de vue concernant le projet de nouvelle Résolution COM6/9 à tous les niveaux de discussion. La Pl</w:t>
      </w:r>
      <w:r w:rsidR="001A070B" w:rsidRPr="001877C4">
        <w:t>é</w:t>
      </w:r>
      <w:r w:rsidRPr="001877C4">
        <w:t xml:space="preserve">nière devrait envisager d'inclure les bandes de fréquences </w:t>
      </w:r>
      <w:r w:rsidRPr="001877C4">
        <w:rPr>
          <w:iCs/>
          <w:szCs w:val="24"/>
        </w:rPr>
        <w:t xml:space="preserve">3 400-3 700 MHz et 4 800-4 990 MHz </w:t>
      </w:r>
      <w:r w:rsidR="00806327" w:rsidRPr="001877C4">
        <w:rPr>
          <w:iCs/>
          <w:szCs w:val="24"/>
        </w:rPr>
        <w:t xml:space="preserve">(pour la </w:t>
      </w:r>
      <w:r w:rsidR="003E38C3" w:rsidRPr="001877C4">
        <w:rPr>
          <w:iCs/>
          <w:szCs w:val="24"/>
        </w:rPr>
        <w:br w:type="page"/>
      </w:r>
    </w:p>
    <w:p w14:paraId="0BE18B9F" w14:textId="020C2965" w:rsidR="00516D81" w:rsidRPr="001877C4" w:rsidRDefault="00806327" w:rsidP="00516D81">
      <w:r w:rsidRPr="001877C4">
        <w:rPr>
          <w:iCs/>
          <w:szCs w:val="24"/>
        </w:rPr>
        <w:lastRenderedPageBreak/>
        <w:t xml:space="preserve">Région 3) </w:t>
      </w:r>
      <w:r w:rsidR="00516D81" w:rsidRPr="001877C4">
        <w:rPr>
          <w:iCs/>
          <w:szCs w:val="24"/>
        </w:rPr>
        <w:t xml:space="preserve">dans le point 1 du </w:t>
      </w:r>
      <w:r w:rsidR="00516D81" w:rsidRPr="001877C4">
        <w:rPr>
          <w:i/>
          <w:iCs/>
        </w:rPr>
        <w:t xml:space="preserve">décide d'inviter le Secteur des radiocommunications de l'UIT à achever à temps pour la Conférence mondiale des radiocommunications de 2027. </w:t>
      </w:r>
      <w:r w:rsidR="00516D81" w:rsidRPr="001877C4">
        <w:t>Les études concernant ces bandes de fréquences seraient limitées à la Région 3 et assureraient la pleine protection des services existants, y compris les systèmes IMT et les systèmes à satellites.</w:t>
      </w:r>
    </w:p>
    <w:p w14:paraId="66B602A4" w14:textId="77777777" w:rsidR="00516D81" w:rsidRPr="001877C4" w:rsidRDefault="00516D81" w:rsidP="00516D81">
      <w:r w:rsidRPr="001877C4">
        <w:t>13.25</w:t>
      </w:r>
      <w:r w:rsidRPr="001877C4">
        <w:tab/>
        <w:t xml:space="preserve">Le </w:t>
      </w:r>
      <w:r w:rsidRPr="001877C4">
        <w:rPr>
          <w:szCs w:val="24"/>
        </w:rPr>
        <w:t xml:space="preserve">ADD Résolution COM6/9 est </w:t>
      </w:r>
      <w:r w:rsidRPr="001877C4">
        <w:rPr>
          <w:b/>
          <w:bCs/>
          <w:szCs w:val="24"/>
        </w:rPr>
        <w:t>approuvé</w:t>
      </w:r>
      <w:r w:rsidRPr="001877C4">
        <w:t>.</w:t>
      </w:r>
    </w:p>
    <w:p w14:paraId="6F902A09" w14:textId="77777777" w:rsidR="00516D81" w:rsidRPr="001877C4" w:rsidRDefault="00516D81" w:rsidP="00516D81">
      <w:pPr>
        <w:rPr>
          <w:b/>
          <w:bCs/>
        </w:rPr>
      </w:pPr>
      <w:r w:rsidRPr="001877C4">
        <w:rPr>
          <w:b/>
          <w:bCs/>
        </w:rPr>
        <w:t>ADD Résolution COM6/10 (CMR-23) –</w:t>
      </w:r>
      <w:r w:rsidRPr="001877C4">
        <w:t xml:space="preserve"> </w:t>
      </w:r>
      <w:r w:rsidRPr="001877C4">
        <w:rPr>
          <w:b/>
          <w:bCs/>
        </w:rPr>
        <w:t>Études sur les nouvelles attributions de fréquence qui pourraient être faites au service mobile par satellite dans les bandes de fréquences 2 010</w:t>
      </w:r>
      <w:r w:rsidRPr="001877C4">
        <w:rPr>
          <w:b/>
          <w:bCs/>
        </w:rPr>
        <w:noBreakHyphen/>
        <w:t>2 025 MHz (Terre vers espace) et 2 160-2 170 MHz (espace vers Terre) dans les Régions 1 et 3 et 2 120-2 160 MHz (espace vers Terre) dans toutes les Régions; ADD Résolution COM6/11 (CMR-23) – Études relatives aux dispositions techniques et réglementaires nécessaires pour protéger le service de radioastronomie fonctionnant dans certaines zones de silence radioélectrique et, dans les bandes de fréquences attribuées à titre primaire au service de radioastronomie à l'échelle mondiale, contre les brouillages radioélectriques cumulatifs causés par des systèmes sur l'orbite des satellites non géostationnaires; ADD Résolution COM6/12 (CMR-23) – Examen des dispositions réglementaires et des attributions éventuelles à titre primaire au service des auxiliaires de la météorologie (météorologie spatiale) pour prendre en compte les applications des capteurs de météorologie spatiale en mode réception seulement dans le Règlement des radiocommunications</w:t>
      </w:r>
    </w:p>
    <w:p w14:paraId="08A9A105" w14:textId="77777777" w:rsidR="00516D81" w:rsidRPr="001877C4" w:rsidRDefault="00516D81" w:rsidP="00516D81">
      <w:r w:rsidRPr="001877C4">
        <w:t>13.26</w:t>
      </w:r>
      <w:r w:rsidRPr="001877C4">
        <w:tab/>
      </w:r>
      <w:r w:rsidRPr="001877C4">
        <w:rPr>
          <w:b/>
          <w:bCs/>
        </w:rPr>
        <w:t>Approuvés</w:t>
      </w:r>
      <w:r w:rsidRPr="001877C4">
        <w:t>.</w:t>
      </w:r>
    </w:p>
    <w:p w14:paraId="6E92F922" w14:textId="77777777" w:rsidR="00516D81" w:rsidRPr="001877C4" w:rsidRDefault="00516D81" w:rsidP="00516D81">
      <w:r w:rsidRPr="001877C4">
        <w:t>13.27</w:t>
      </w:r>
      <w:r w:rsidRPr="001877C4">
        <w:tab/>
        <w:t xml:space="preserve">La quarante-septième série de textes soumis par la Commission de rédaction en première lecture (B47) (Document 498) est </w:t>
      </w:r>
      <w:r w:rsidRPr="001877C4">
        <w:rPr>
          <w:b/>
          <w:bCs/>
        </w:rPr>
        <w:t>approuvée</w:t>
      </w:r>
      <w:r w:rsidRPr="001877C4">
        <w:t>.</w:t>
      </w:r>
    </w:p>
    <w:p w14:paraId="176C6FA9" w14:textId="77777777" w:rsidR="00516D81" w:rsidRPr="001877C4" w:rsidRDefault="00516D81" w:rsidP="00516D81">
      <w:pPr>
        <w:pStyle w:val="Heading1"/>
      </w:pPr>
      <w:r w:rsidRPr="001877C4">
        <w:t>14</w:t>
      </w:r>
      <w:r w:rsidRPr="001877C4">
        <w:tab/>
        <w:t>Quarante-septième série de textes soumis par la Commission de rédaction (B47) – deuxième lecture (Document 498)</w:t>
      </w:r>
    </w:p>
    <w:p w14:paraId="360465DC" w14:textId="77777777" w:rsidR="00516D81" w:rsidRPr="001877C4" w:rsidRDefault="00516D81" w:rsidP="00516D81">
      <w:r w:rsidRPr="001877C4">
        <w:t>14.1</w:t>
      </w:r>
      <w:r w:rsidRPr="001877C4">
        <w:tab/>
        <w:t xml:space="preserve">La quarante-septième série de textes soumis par la Commission de rédaction (B47) (Document 498) est </w:t>
      </w:r>
      <w:r w:rsidRPr="001877C4">
        <w:rPr>
          <w:b/>
          <w:bCs/>
        </w:rPr>
        <w:t>approuvée</w:t>
      </w:r>
      <w:r w:rsidRPr="001877C4">
        <w:t xml:space="preserve"> en deuxième lecture.</w:t>
      </w:r>
    </w:p>
    <w:p w14:paraId="61C47CFD" w14:textId="77777777" w:rsidR="00516D81" w:rsidRPr="001877C4" w:rsidRDefault="00516D81" w:rsidP="00516D81">
      <w:pPr>
        <w:pStyle w:val="Heading1"/>
      </w:pPr>
      <w:r w:rsidRPr="001877C4">
        <w:t>15</w:t>
      </w:r>
      <w:r w:rsidRPr="001877C4">
        <w:tab/>
        <w:t>Quarante-huitième série de textes soumis par la Commission de rédaction en première lecture (B48) (Document 499)</w:t>
      </w:r>
    </w:p>
    <w:p w14:paraId="49FBEE78" w14:textId="77777777" w:rsidR="00516D81" w:rsidRPr="001877C4" w:rsidRDefault="00516D81" w:rsidP="00516D81">
      <w:r w:rsidRPr="001877C4">
        <w:t>15.1</w:t>
      </w:r>
      <w:r w:rsidRPr="001877C4">
        <w:tab/>
        <w:t xml:space="preserve">Le </w:t>
      </w:r>
      <w:r w:rsidRPr="001877C4">
        <w:rPr>
          <w:b/>
          <w:bCs/>
        </w:rPr>
        <w:t>Président de la Commission 6</w:t>
      </w:r>
      <w:r w:rsidRPr="001877C4">
        <w:t xml:space="preserve"> indique que le Document 499 contient un certain nombre de projets de nouvelle Résolution associés à des points à inscrire à l'ordre du jour préliminaire de la CMR-31. Conformément à l'accord conclu au sein de la commission, certaines gammes de fréquences ont été placées entre crochets dans l'attente de leur examen à la CMR-27.</w:t>
      </w:r>
    </w:p>
    <w:p w14:paraId="60F85566" w14:textId="77777777" w:rsidR="00516D81" w:rsidRPr="001877C4" w:rsidRDefault="00516D81" w:rsidP="00516D81">
      <w:r w:rsidRPr="001877C4">
        <w:t>15.2</w:t>
      </w:r>
      <w:r w:rsidRPr="001877C4">
        <w:tab/>
        <w:t xml:space="preserve">Le </w:t>
      </w:r>
      <w:r w:rsidRPr="001877C4">
        <w:rPr>
          <w:b/>
        </w:rPr>
        <w:t>Président de la Commission de rédaction</w:t>
      </w:r>
      <w:r w:rsidRPr="001877C4">
        <w:t xml:space="preserve"> présente le Document 499.</w:t>
      </w:r>
    </w:p>
    <w:p w14:paraId="31F101CC" w14:textId="77777777" w:rsidR="00516D81" w:rsidRPr="001877C4" w:rsidRDefault="00516D81" w:rsidP="00516D81">
      <w:r w:rsidRPr="001877C4">
        <w:t>15.3</w:t>
      </w:r>
      <w:r w:rsidRPr="001877C4">
        <w:tab/>
        <w:t xml:space="preserve">Le </w:t>
      </w:r>
      <w:r w:rsidRPr="001877C4">
        <w:rPr>
          <w:b/>
        </w:rPr>
        <w:t>Président</w:t>
      </w:r>
      <w:r w:rsidRPr="001877C4">
        <w:t xml:space="preserve"> invite les participants à examiner le Document 499.</w:t>
      </w:r>
    </w:p>
    <w:p w14:paraId="05DEBD7D" w14:textId="4A89361E" w:rsidR="00516D81" w:rsidRPr="001877C4" w:rsidRDefault="00516D81" w:rsidP="00516D81">
      <w:pPr>
        <w:rPr>
          <w:b/>
          <w:bCs/>
        </w:rPr>
      </w:pPr>
      <w:r w:rsidRPr="001877C4">
        <w:rPr>
          <w:b/>
          <w:bCs/>
        </w:rPr>
        <w:t>MOD Résolution 251 (CMR-19); MOD Résolution 363 (CMR-19), MOD Résolution 664 (CMR-19); ADD Résolution COM6/13 (CMR-23) – Études relatives à d'éventuelles nouvelles attributions aux services fixe, mobile, de radiolocalisation, d'amateur, d'amateur par satellite, de radioastronomie, d'exploration de la Terre par satellite (passive et active) et de recherche spatiale (passive) dans la gamme de fréquences 275-325 GHz, avec la mise à jour en conséquence des numéros 5.149, 5.340, 5.564A et 5.565; ADD Résolution COM6/14 (CMR</w:t>
      </w:r>
      <w:r w:rsidR="001A070B" w:rsidRPr="001877C4">
        <w:rPr>
          <w:b/>
          <w:bCs/>
        </w:rPr>
        <w:noBreakHyphen/>
      </w:r>
      <w:r w:rsidRPr="001877C4">
        <w:rPr>
          <w:b/>
          <w:bCs/>
        </w:rPr>
        <w:t>23)</w:t>
      </w:r>
      <w:r w:rsidR="001A070B" w:rsidRPr="001877C4">
        <w:rPr>
          <w:b/>
          <w:bCs/>
        </w:rPr>
        <w:t> </w:t>
      </w:r>
      <w:r w:rsidRPr="001877C4">
        <w:rPr>
          <w:b/>
          <w:bCs/>
        </w:rPr>
        <w:t xml:space="preserve">– [Études relatives aux [bandes de fréquences] qui pourraient être utilisées pour la transmission d'énergie sans fil [utilisant ou n'utilisant pas de faisceau], afin d'éviter que la transmission WPT ne cause des brouillages préjudiciables aux services de radiocommunication]; ADD Résolution COM6/15 (CMR-23) – Études visant à examiner la </w:t>
      </w:r>
      <w:r w:rsidRPr="001877C4">
        <w:rPr>
          <w:b/>
          <w:bCs/>
        </w:rPr>
        <w:lastRenderedPageBreak/>
        <w:t>possible utilisation de la bande de fréquences 12,75-13,25 GHz par les stations terriennes aéronautiques et maritimes en mouvement communiquant avec des stations spatiales non géostationnaires du service fixe par satellite (Terre vers espace); ADD Résolution COM6/16 (CMR-23) – Étude des questions techniques et opérationnelles et des dispositions réglementaires pour assurer les transmissions du service inter-satellites dans les bandes de fréquences 3 700-4 200 MHz et 5 925-6 425 MHz pour les stations spatiales non OSG qui communiquent avec des stations spatiales OSG; ADD Résolution COM6/17 (CMR-23) – Études sur les questions liées aux fréquences en vue de faire une identification pour les Télécommunications mobiles internationales dans les bandes de fréquences [102-109,5 GHz, 151,5-164 GHz, 167-174,8 GHz, 209 226 GHz et 252-275 GHz] pour le développement futur des Télécommunications mobiles internationales; ADD Résolution COM6/18 (CMR-23) – Amélioration de l'utilisation et de la disposition des voies des radiocommunications maritimes dans les bandes d'ondes hectométriques et décamétriques, y compris d'éventuelles révisions de l'Article 52 et de l'Appendice 17; ADD Résolution COM6/19 (CMR-23) – Études concernant la possibilité de faire de nouvelles attributions au service de radionavigation par satellite (espace vers Terre) dans les bandes de fréquences [5 030-5 150 MHz et 5</w:t>
      </w:r>
      <w:r w:rsidR="001A070B" w:rsidRPr="001877C4">
        <w:rPr>
          <w:b/>
          <w:bCs/>
        </w:rPr>
        <w:t> </w:t>
      </w:r>
      <w:r w:rsidRPr="001877C4">
        <w:rPr>
          <w:b/>
          <w:bCs/>
        </w:rPr>
        <w:t>150</w:t>
      </w:r>
      <w:r w:rsidR="001A070B" w:rsidRPr="001877C4">
        <w:rPr>
          <w:b/>
          <w:bCs/>
        </w:rPr>
        <w:noBreakHyphen/>
      </w:r>
      <w:r w:rsidRPr="001877C4">
        <w:rPr>
          <w:b/>
          <w:bCs/>
        </w:rPr>
        <w:t>5</w:t>
      </w:r>
      <w:r w:rsidR="001A070B" w:rsidRPr="001877C4">
        <w:rPr>
          <w:b/>
          <w:bCs/>
        </w:rPr>
        <w:t> </w:t>
      </w:r>
      <w:r w:rsidRPr="001877C4">
        <w:rPr>
          <w:b/>
          <w:bCs/>
        </w:rPr>
        <w:t>250</w:t>
      </w:r>
      <w:r w:rsidR="001A070B" w:rsidRPr="001877C4">
        <w:rPr>
          <w:b/>
          <w:bCs/>
        </w:rPr>
        <w:t> </w:t>
      </w:r>
      <w:r w:rsidRPr="001877C4">
        <w:rPr>
          <w:b/>
          <w:bCs/>
        </w:rPr>
        <w:t>MHz], ou dans des parties de ces bandes de fréquences; ADD Résolution</w:t>
      </w:r>
      <w:r w:rsidR="001A070B" w:rsidRPr="001877C4">
        <w:rPr>
          <w:b/>
          <w:bCs/>
        </w:rPr>
        <w:t> </w:t>
      </w:r>
      <w:r w:rsidRPr="001877C4">
        <w:rPr>
          <w:b/>
          <w:bCs/>
        </w:rPr>
        <w:t>COM6/20 (CMR-23) – Études en vue de faire des attributions de fréquences au service d'exploration de la Terre par satellite (espace vers Terre) dans la gamme de fréquences [37,5-52,4 GHz]; ADD Résolution COM6/21(CMR-23) – Attribution éventuelle à titre secondaire au service d'exploration de la Terre par satellite (active) dans les bandes de fréquences [3 000</w:t>
      </w:r>
      <w:r w:rsidRPr="001877C4">
        <w:rPr>
          <w:b/>
          <w:bCs/>
        </w:rPr>
        <w:noBreakHyphen/>
        <w:t>3 100 MHz] et [3 300-3 400 MHz]; ADD Résolution COM6/22 (CMR-23) – Études sur la coexistence entre les radars à synthèse d'ouverture spatioportés exploités dans le service d'exploration de la Terre par satellite (active) et le service de radiorepérage dans la bande de fréquences [9 200-10 400 MHz]</w:t>
      </w:r>
    </w:p>
    <w:p w14:paraId="4D1817BC" w14:textId="5748DF0E" w:rsidR="00516D81" w:rsidRPr="001877C4" w:rsidRDefault="00516D81" w:rsidP="00516D81">
      <w:r w:rsidRPr="001877C4">
        <w:t>15.</w:t>
      </w:r>
      <w:r w:rsidR="001A070B" w:rsidRPr="001877C4">
        <w:t>4</w:t>
      </w:r>
      <w:r w:rsidRPr="001877C4">
        <w:rPr>
          <w:b/>
          <w:bCs/>
        </w:rPr>
        <w:tab/>
        <w:t>Approuvés</w:t>
      </w:r>
      <w:r w:rsidRPr="001877C4">
        <w:t>.</w:t>
      </w:r>
    </w:p>
    <w:p w14:paraId="30537166" w14:textId="5EE58570" w:rsidR="00516D81" w:rsidRPr="001877C4" w:rsidRDefault="00516D81" w:rsidP="00516D81">
      <w:r w:rsidRPr="001877C4">
        <w:t>15.</w:t>
      </w:r>
      <w:r w:rsidR="001A070B" w:rsidRPr="001877C4">
        <w:t>5</w:t>
      </w:r>
      <w:r w:rsidRPr="001877C4">
        <w:tab/>
        <w:t xml:space="preserve">La quarante-huitième série de textes soumis par la Commission de rédaction en première lecture (B48) (Document 499) est </w:t>
      </w:r>
      <w:r w:rsidRPr="001877C4">
        <w:rPr>
          <w:b/>
          <w:bCs/>
        </w:rPr>
        <w:t>approuvée</w:t>
      </w:r>
      <w:r w:rsidRPr="001877C4">
        <w:t>.</w:t>
      </w:r>
    </w:p>
    <w:p w14:paraId="0C321154" w14:textId="77777777" w:rsidR="00516D81" w:rsidRPr="001877C4" w:rsidRDefault="00516D81" w:rsidP="00516D81">
      <w:pPr>
        <w:pStyle w:val="Heading1"/>
      </w:pPr>
      <w:r w:rsidRPr="001877C4">
        <w:t>16</w:t>
      </w:r>
      <w:r w:rsidRPr="001877C4">
        <w:tab/>
        <w:t>Quarante-huitième série de textes soumis par la Commission de rédaction (B48) – deuxième lecture (Document 499)</w:t>
      </w:r>
    </w:p>
    <w:p w14:paraId="77CF6AA0" w14:textId="77777777" w:rsidR="00516D81" w:rsidRPr="001877C4" w:rsidRDefault="00516D81" w:rsidP="00516D81">
      <w:r w:rsidRPr="001877C4">
        <w:t>16.1</w:t>
      </w:r>
      <w:r w:rsidRPr="001877C4">
        <w:tab/>
        <w:t xml:space="preserve">La quarante-huitième série de textes soumis par la Commission de rédaction (B48) (Document 499) est </w:t>
      </w:r>
      <w:r w:rsidRPr="001877C4">
        <w:rPr>
          <w:b/>
          <w:bCs/>
        </w:rPr>
        <w:t>approuvée</w:t>
      </w:r>
      <w:r w:rsidRPr="001877C4">
        <w:t xml:space="preserve"> en deuxième lecture.</w:t>
      </w:r>
    </w:p>
    <w:p w14:paraId="6B3A7548" w14:textId="77777777" w:rsidR="00516D81" w:rsidRPr="001877C4" w:rsidRDefault="00516D81" w:rsidP="00516D81">
      <w:pPr>
        <w:rPr>
          <w:rFonts w:eastAsia="MS Mincho"/>
          <w:b/>
          <w:bCs/>
          <w:szCs w:val="24"/>
        </w:rPr>
      </w:pPr>
      <w:r w:rsidRPr="001877C4">
        <w:rPr>
          <w:rFonts w:eastAsia="MS Mincho"/>
          <w:b/>
          <w:bCs/>
          <w:szCs w:val="24"/>
        </w:rPr>
        <w:t>La séance est levée à 17 h 05.</w:t>
      </w:r>
    </w:p>
    <w:p w14:paraId="7316FE37" w14:textId="0CEE0414" w:rsidR="00516D81" w:rsidRPr="001877C4" w:rsidRDefault="00516D81" w:rsidP="001A070B">
      <w:pPr>
        <w:keepNext/>
        <w:keepLines/>
        <w:tabs>
          <w:tab w:val="clear" w:pos="1134"/>
          <w:tab w:val="clear" w:pos="1871"/>
          <w:tab w:val="clear" w:pos="2268"/>
          <w:tab w:val="left" w:pos="6804"/>
        </w:tabs>
        <w:spacing w:before="840"/>
        <w:rPr>
          <w:bCs/>
        </w:rPr>
      </w:pPr>
      <w:r w:rsidRPr="001877C4">
        <w:rPr>
          <w:rFonts w:eastAsia="MS Mincho"/>
          <w:szCs w:val="24"/>
        </w:rPr>
        <w:t>La Secrétaire générale:</w:t>
      </w:r>
      <w:r w:rsidRPr="001877C4">
        <w:rPr>
          <w:rFonts w:eastAsia="MS Mincho"/>
          <w:szCs w:val="24"/>
        </w:rPr>
        <w:tab/>
        <w:t>Le Président:</w:t>
      </w:r>
      <w:r w:rsidRPr="001877C4">
        <w:rPr>
          <w:rFonts w:eastAsia="MS Mincho"/>
          <w:szCs w:val="24"/>
        </w:rPr>
        <w:br/>
        <w:t>D. BOGDAN-MARTIN</w:t>
      </w:r>
      <w:r w:rsidRPr="001877C4">
        <w:rPr>
          <w:rFonts w:eastAsia="MS Mincho"/>
          <w:szCs w:val="24"/>
        </w:rPr>
        <w:tab/>
        <w:t>M. AL RAMSI</w:t>
      </w:r>
    </w:p>
    <w:sectPr w:rsidR="00516D81" w:rsidRPr="001877C4">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F8C5" w14:textId="77777777" w:rsidR="004B219E" w:rsidRDefault="004B219E">
      <w:r>
        <w:separator/>
      </w:r>
    </w:p>
  </w:endnote>
  <w:endnote w:type="continuationSeparator" w:id="0">
    <w:p w14:paraId="36A35CF7" w14:textId="77777777" w:rsidR="004B219E" w:rsidRDefault="004B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2D85" w14:textId="782823D3" w:rsidR="00936D25" w:rsidRPr="006C3B7D" w:rsidRDefault="00936D25">
    <w:pPr>
      <w:rPr>
        <w:lang w:val="es-ES_tradnl"/>
      </w:rPr>
    </w:pPr>
    <w:r>
      <w:fldChar w:fldCharType="begin"/>
    </w:r>
    <w:r w:rsidRPr="006C3B7D">
      <w:rPr>
        <w:lang w:val="es-ES_tradnl"/>
      </w:rPr>
      <w:instrText xml:space="preserve"> FILENAME \p  \* MERGEFORMAT </w:instrText>
    </w:r>
    <w:r>
      <w:fldChar w:fldCharType="separate"/>
    </w:r>
    <w:r w:rsidR="0048702D" w:rsidRPr="006C3B7D">
      <w:rPr>
        <w:noProof/>
        <w:lang w:val="es-ES_tradnl"/>
      </w:rPr>
      <w:t>P:\FRA\ITU-R\CONF-R\CMR23\300\328F.docx</w:t>
    </w:r>
    <w:r>
      <w:fldChar w:fldCharType="end"/>
    </w:r>
    <w:r w:rsidRPr="006C3B7D">
      <w:rPr>
        <w:lang w:val="es-ES_tradnl"/>
      </w:rPr>
      <w:tab/>
    </w:r>
    <w:r>
      <w:fldChar w:fldCharType="begin"/>
    </w:r>
    <w:r>
      <w:instrText xml:space="preserve"> SAVEDATE \@ DD.MM.YY </w:instrText>
    </w:r>
    <w:r>
      <w:fldChar w:fldCharType="separate"/>
    </w:r>
    <w:r w:rsidR="006C7F16">
      <w:rPr>
        <w:noProof/>
      </w:rPr>
      <w:t>05.02.24</w:t>
    </w:r>
    <w:r>
      <w:fldChar w:fldCharType="end"/>
    </w:r>
    <w:r w:rsidRPr="006C3B7D">
      <w:rPr>
        <w:lang w:val="es-ES_tradnl"/>
      </w:rPr>
      <w:tab/>
    </w:r>
    <w:r>
      <w:fldChar w:fldCharType="begin"/>
    </w:r>
    <w:r>
      <w:instrText xml:space="preserve"> PRINTDATE \@ DD.MM.YY </w:instrText>
    </w:r>
    <w:r>
      <w:fldChar w:fldCharType="separate"/>
    </w:r>
    <w:r w:rsidR="0048702D">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393B" w14:textId="4BACC7D2" w:rsidR="00936D25" w:rsidRPr="006C3B7D" w:rsidRDefault="003C6DF0" w:rsidP="003C6DF0">
    <w:pPr>
      <w:pStyle w:val="Footer"/>
      <w:rPr>
        <w:lang w:val="es-ES_tradnl"/>
      </w:rPr>
    </w:pPr>
    <w:r w:rsidRPr="003C6DF0">
      <w:rPr>
        <w:lang w:val="en-GB"/>
      </w:rPr>
      <w:fldChar w:fldCharType="begin"/>
    </w:r>
    <w:r w:rsidRPr="006C3B7D">
      <w:rPr>
        <w:lang w:val="es-ES_tradnl"/>
      </w:rPr>
      <w:instrText xml:space="preserve"> FILENAME \p  \* MERGEFORMAT </w:instrText>
    </w:r>
    <w:r w:rsidRPr="003C6DF0">
      <w:rPr>
        <w:lang w:val="en-GB"/>
      </w:rPr>
      <w:fldChar w:fldCharType="separate"/>
    </w:r>
    <w:r w:rsidR="003E38C3">
      <w:rPr>
        <w:lang w:val="es-ES_tradnl"/>
      </w:rPr>
      <w:t>P:\FRA\ITU-R\CONF-R\CMR23\500\526F.docx</w:t>
    </w:r>
    <w:r w:rsidRPr="003C6DF0">
      <w:rPr>
        <w:lang w:val="en-GB"/>
      </w:rPr>
      <w:fldChar w:fldCharType="end"/>
    </w:r>
    <w:r w:rsidR="000B304E" w:rsidRPr="006C3B7D">
      <w:rPr>
        <w:lang w:val="es-ES_tradnl"/>
      </w:rPr>
      <w:t xml:space="preserve"> (53</w:t>
    </w:r>
    <w:r w:rsidR="00E750D2">
      <w:rPr>
        <w:lang w:val="es-ES_tradnl"/>
      </w:rPr>
      <w:t>3</w:t>
    </w:r>
    <w:r w:rsidR="003E38C3">
      <w:rPr>
        <w:lang w:val="es-ES_tradnl"/>
      </w:rPr>
      <w:t>281</w:t>
    </w:r>
    <w:r w:rsidR="000B304E" w:rsidRPr="006C3B7D">
      <w:rPr>
        <w:lang w:val="es-ES_tradn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3707" w14:textId="6354909D" w:rsidR="00936D25" w:rsidRDefault="003C6DF0" w:rsidP="003C6DF0">
    <w:pPr>
      <w:pStyle w:val="Footer"/>
      <w:rPr>
        <w:lang w:val="en-US"/>
      </w:rPr>
    </w:pPr>
    <w:r w:rsidRPr="003C6DF0">
      <w:rPr>
        <w:lang w:val="en-GB"/>
      </w:rPr>
      <w:fldChar w:fldCharType="begin"/>
    </w:r>
    <w:r w:rsidRPr="003C6DF0">
      <w:rPr>
        <w:lang w:val="en-GB"/>
      </w:rPr>
      <w:instrText xml:space="preserve"> FILENAME \p  \* MERGEFORMAT </w:instrText>
    </w:r>
    <w:r w:rsidRPr="003C6DF0">
      <w:rPr>
        <w:lang w:val="en-GB"/>
      </w:rPr>
      <w:fldChar w:fldCharType="separate"/>
    </w:r>
    <w:r w:rsidR="003E38C3">
      <w:rPr>
        <w:lang w:val="en-GB"/>
      </w:rPr>
      <w:t>P:\FRA\ITU-R\CONF-R\CMR23\500\526F.docx</w:t>
    </w:r>
    <w:r w:rsidRPr="003C6DF0">
      <w:rPr>
        <w:lang w:val="en-GB"/>
      </w:rPr>
      <w:fldChar w:fldCharType="end"/>
    </w:r>
    <w:r w:rsidRPr="003C6DF0">
      <w:rPr>
        <w:lang w:val="en-GB"/>
      </w:rPr>
      <w:t xml:space="preserve"> </w:t>
    </w:r>
    <w:r w:rsidR="00803553">
      <w:rPr>
        <w:lang w:val="en-GB"/>
      </w:rPr>
      <w:t>(</w:t>
    </w:r>
    <w:r w:rsidR="00F96E10" w:rsidRPr="00803553">
      <w:rPr>
        <w:lang w:val="en-GB"/>
      </w:rPr>
      <w:t>53</w:t>
    </w:r>
    <w:r w:rsidR="006C3B7D">
      <w:rPr>
        <w:lang w:val="en-GB"/>
      </w:rPr>
      <w:t>3</w:t>
    </w:r>
    <w:r w:rsidR="003E38C3">
      <w:rPr>
        <w:lang w:val="en-GB"/>
      </w:rPr>
      <w:t>281</w:t>
    </w:r>
    <w:r w:rsidR="00F96E10" w:rsidRPr="00803553">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EDC81" w14:textId="77777777" w:rsidR="004B219E" w:rsidRDefault="004B219E">
      <w:r>
        <w:rPr>
          <w:b/>
        </w:rPr>
        <w:t>_______________</w:t>
      </w:r>
    </w:p>
  </w:footnote>
  <w:footnote w:type="continuationSeparator" w:id="0">
    <w:p w14:paraId="787D9846" w14:textId="77777777" w:rsidR="004B219E" w:rsidRDefault="004B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FDA" w14:textId="788B0EC9" w:rsidR="004F1F8E" w:rsidRPr="00602866" w:rsidRDefault="004F1F8E" w:rsidP="00602866">
    <w:pPr>
      <w:pStyle w:val="Header"/>
    </w:pPr>
    <w:r w:rsidRPr="00602866">
      <w:fldChar w:fldCharType="begin"/>
    </w:r>
    <w:r w:rsidRPr="00602866">
      <w:instrText xml:space="preserve"> PAGE </w:instrText>
    </w:r>
    <w:r w:rsidRPr="00602866">
      <w:fldChar w:fldCharType="separate"/>
    </w:r>
    <w:r w:rsidR="00806327">
      <w:rPr>
        <w:noProof/>
      </w:rPr>
      <w:t>12</w:t>
    </w:r>
    <w:r w:rsidRPr="00602866">
      <w:fldChar w:fldCharType="end"/>
    </w:r>
  </w:p>
  <w:p w14:paraId="4F8461B5" w14:textId="6010744C" w:rsidR="004F1F8E" w:rsidRDefault="00F372DE" w:rsidP="00602866">
    <w:pPr>
      <w:pStyle w:val="Header"/>
    </w:pPr>
    <w:r w:rsidRPr="00602866">
      <w:t>WRC</w:t>
    </w:r>
    <w:r w:rsidR="00CD3928" w:rsidRPr="00602866">
      <w:t>23</w:t>
    </w:r>
    <w:r w:rsidR="004F1F8E" w:rsidRPr="00602866">
      <w:t>/</w:t>
    </w:r>
    <w:r w:rsidR="006C3B7D">
      <w:t>526</w:t>
    </w:r>
    <w:r w:rsidR="004F1F8E" w:rsidRPr="00602866">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65636744">
    <w:abstractNumId w:val="0"/>
  </w:num>
  <w:num w:numId="2" w16cid:durableId="96516510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36"/>
    <w:rsid w:val="0000342C"/>
    <w:rsid w:val="00016648"/>
    <w:rsid w:val="00033E3F"/>
    <w:rsid w:val="0003522F"/>
    <w:rsid w:val="0007166C"/>
    <w:rsid w:val="00080C57"/>
    <w:rsid w:val="00080E2C"/>
    <w:rsid w:val="000A4755"/>
    <w:rsid w:val="000A7974"/>
    <w:rsid w:val="000B2E0C"/>
    <w:rsid w:val="000B304E"/>
    <w:rsid w:val="000B3D0C"/>
    <w:rsid w:val="000B3F9D"/>
    <w:rsid w:val="000D0BE3"/>
    <w:rsid w:val="000D308A"/>
    <w:rsid w:val="000D7059"/>
    <w:rsid w:val="000E718D"/>
    <w:rsid w:val="0011424B"/>
    <w:rsid w:val="0011512D"/>
    <w:rsid w:val="001167B9"/>
    <w:rsid w:val="001267A0"/>
    <w:rsid w:val="00134655"/>
    <w:rsid w:val="00160C64"/>
    <w:rsid w:val="00165885"/>
    <w:rsid w:val="001877C4"/>
    <w:rsid w:val="0019352B"/>
    <w:rsid w:val="001960D0"/>
    <w:rsid w:val="0019639A"/>
    <w:rsid w:val="001A070B"/>
    <w:rsid w:val="001A6788"/>
    <w:rsid w:val="001E6170"/>
    <w:rsid w:val="002125A9"/>
    <w:rsid w:val="00232FD2"/>
    <w:rsid w:val="002542DE"/>
    <w:rsid w:val="0025481F"/>
    <w:rsid w:val="00254D1A"/>
    <w:rsid w:val="00261FC9"/>
    <w:rsid w:val="0027619F"/>
    <w:rsid w:val="002A4622"/>
    <w:rsid w:val="002B17E5"/>
    <w:rsid w:val="002C0EBF"/>
    <w:rsid w:val="002C5FCD"/>
    <w:rsid w:val="002C682E"/>
    <w:rsid w:val="002C740B"/>
    <w:rsid w:val="002F0BD7"/>
    <w:rsid w:val="002F2477"/>
    <w:rsid w:val="00315AFE"/>
    <w:rsid w:val="00327900"/>
    <w:rsid w:val="003416D3"/>
    <w:rsid w:val="0034206A"/>
    <w:rsid w:val="003536B6"/>
    <w:rsid w:val="003606A6"/>
    <w:rsid w:val="00363DC7"/>
    <w:rsid w:val="0036650C"/>
    <w:rsid w:val="00386926"/>
    <w:rsid w:val="003909AA"/>
    <w:rsid w:val="003A56E7"/>
    <w:rsid w:val="003A583E"/>
    <w:rsid w:val="003C6DF0"/>
    <w:rsid w:val="003E112B"/>
    <w:rsid w:val="003E38C3"/>
    <w:rsid w:val="003E5E3D"/>
    <w:rsid w:val="003F041A"/>
    <w:rsid w:val="004160E1"/>
    <w:rsid w:val="00416F68"/>
    <w:rsid w:val="00453A3F"/>
    <w:rsid w:val="00457428"/>
    <w:rsid w:val="00466211"/>
    <w:rsid w:val="00476C9F"/>
    <w:rsid w:val="00485141"/>
    <w:rsid w:val="0048702D"/>
    <w:rsid w:val="004A1E5C"/>
    <w:rsid w:val="004B219E"/>
    <w:rsid w:val="004D01FC"/>
    <w:rsid w:val="004D4A55"/>
    <w:rsid w:val="004E28C3"/>
    <w:rsid w:val="004E45A6"/>
    <w:rsid w:val="004F1F8E"/>
    <w:rsid w:val="00514119"/>
    <w:rsid w:val="00516D81"/>
    <w:rsid w:val="005262EF"/>
    <w:rsid w:val="0058292B"/>
    <w:rsid w:val="00584FF8"/>
    <w:rsid w:val="00586CF2"/>
    <w:rsid w:val="00587A4E"/>
    <w:rsid w:val="00591C67"/>
    <w:rsid w:val="005950D7"/>
    <w:rsid w:val="005C1DE9"/>
    <w:rsid w:val="005C3768"/>
    <w:rsid w:val="005C6C3F"/>
    <w:rsid w:val="005D0B87"/>
    <w:rsid w:val="005D7113"/>
    <w:rsid w:val="005E7DD9"/>
    <w:rsid w:val="00601C33"/>
    <w:rsid w:val="00602866"/>
    <w:rsid w:val="00613635"/>
    <w:rsid w:val="0062093D"/>
    <w:rsid w:val="00637ECF"/>
    <w:rsid w:val="0064139C"/>
    <w:rsid w:val="00647B59"/>
    <w:rsid w:val="00654E39"/>
    <w:rsid w:val="00671882"/>
    <w:rsid w:val="006C2827"/>
    <w:rsid w:val="006C3B7D"/>
    <w:rsid w:val="006C7391"/>
    <w:rsid w:val="006C7F16"/>
    <w:rsid w:val="006D43FF"/>
    <w:rsid w:val="006D76D5"/>
    <w:rsid w:val="006F7F9D"/>
    <w:rsid w:val="00701BAE"/>
    <w:rsid w:val="0070204B"/>
    <w:rsid w:val="007239B8"/>
    <w:rsid w:val="0072469E"/>
    <w:rsid w:val="00730E95"/>
    <w:rsid w:val="0073631A"/>
    <w:rsid w:val="00750CDA"/>
    <w:rsid w:val="00754245"/>
    <w:rsid w:val="00755590"/>
    <w:rsid w:val="00771E92"/>
    <w:rsid w:val="00774362"/>
    <w:rsid w:val="007A04E8"/>
    <w:rsid w:val="007B4BEA"/>
    <w:rsid w:val="007D5E0B"/>
    <w:rsid w:val="00803452"/>
    <w:rsid w:val="00803553"/>
    <w:rsid w:val="0080493A"/>
    <w:rsid w:val="00806327"/>
    <w:rsid w:val="00813093"/>
    <w:rsid w:val="008216D1"/>
    <w:rsid w:val="00840FBD"/>
    <w:rsid w:val="0084145D"/>
    <w:rsid w:val="0084553F"/>
    <w:rsid w:val="00862B43"/>
    <w:rsid w:val="0087496F"/>
    <w:rsid w:val="008937B0"/>
    <w:rsid w:val="008A3120"/>
    <w:rsid w:val="008A7A6C"/>
    <w:rsid w:val="008C000E"/>
    <w:rsid w:val="008C1F1C"/>
    <w:rsid w:val="008D41BE"/>
    <w:rsid w:val="008D58D3"/>
    <w:rsid w:val="008D5D73"/>
    <w:rsid w:val="008D67D4"/>
    <w:rsid w:val="008D6821"/>
    <w:rsid w:val="00902194"/>
    <w:rsid w:val="00907420"/>
    <w:rsid w:val="00923064"/>
    <w:rsid w:val="00931D5A"/>
    <w:rsid w:val="00936D25"/>
    <w:rsid w:val="00936EF3"/>
    <w:rsid w:val="00941EA5"/>
    <w:rsid w:val="009549B7"/>
    <w:rsid w:val="00966C16"/>
    <w:rsid w:val="00975903"/>
    <w:rsid w:val="009765A8"/>
    <w:rsid w:val="00981C7D"/>
    <w:rsid w:val="0098732F"/>
    <w:rsid w:val="00995A4E"/>
    <w:rsid w:val="009A5C24"/>
    <w:rsid w:val="009C7E7C"/>
    <w:rsid w:val="009D5DAD"/>
    <w:rsid w:val="009E3DBA"/>
    <w:rsid w:val="00A00473"/>
    <w:rsid w:val="00A03C9B"/>
    <w:rsid w:val="00A14249"/>
    <w:rsid w:val="00A3335D"/>
    <w:rsid w:val="00A606C3"/>
    <w:rsid w:val="00A64F33"/>
    <w:rsid w:val="00A66F01"/>
    <w:rsid w:val="00A761AD"/>
    <w:rsid w:val="00A8339B"/>
    <w:rsid w:val="00A83B09"/>
    <w:rsid w:val="00A84541"/>
    <w:rsid w:val="00AA1A20"/>
    <w:rsid w:val="00AA2236"/>
    <w:rsid w:val="00AC4A5E"/>
    <w:rsid w:val="00AE2C3E"/>
    <w:rsid w:val="00AE36A0"/>
    <w:rsid w:val="00AE6499"/>
    <w:rsid w:val="00AF3B81"/>
    <w:rsid w:val="00B00294"/>
    <w:rsid w:val="00B01F2A"/>
    <w:rsid w:val="00B07A68"/>
    <w:rsid w:val="00B21DCB"/>
    <w:rsid w:val="00B23EDF"/>
    <w:rsid w:val="00B2604E"/>
    <w:rsid w:val="00B64FD0"/>
    <w:rsid w:val="00B679A4"/>
    <w:rsid w:val="00BC512B"/>
    <w:rsid w:val="00BC741F"/>
    <w:rsid w:val="00BF26E7"/>
    <w:rsid w:val="00BF2C80"/>
    <w:rsid w:val="00C01C69"/>
    <w:rsid w:val="00C13DED"/>
    <w:rsid w:val="00C2470C"/>
    <w:rsid w:val="00C26625"/>
    <w:rsid w:val="00C27623"/>
    <w:rsid w:val="00C72289"/>
    <w:rsid w:val="00C814B9"/>
    <w:rsid w:val="00C87FE4"/>
    <w:rsid w:val="00CA081E"/>
    <w:rsid w:val="00CA3836"/>
    <w:rsid w:val="00CC1A89"/>
    <w:rsid w:val="00CD3928"/>
    <w:rsid w:val="00CD516F"/>
    <w:rsid w:val="00CE2C8D"/>
    <w:rsid w:val="00CE67B1"/>
    <w:rsid w:val="00CE6A1C"/>
    <w:rsid w:val="00D053A2"/>
    <w:rsid w:val="00D119A7"/>
    <w:rsid w:val="00D136A8"/>
    <w:rsid w:val="00D25FBA"/>
    <w:rsid w:val="00D267B7"/>
    <w:rsid w:val="00D3068F"/>
    <w:rsid w:val="00D51C29"/>
    <w:rsid w:val="00D539B7"/>
    <w:rsid w:val="00D55583"/>
    <w:rsid w:val="00D66EAC"/>
    <w:rsid w:val="00D730DF"/>
    <w:rsid w:val="00D772F0"/>
    <w:rsid w:val="00D77BDC"/>
    <w:rsid w:val="00D823E0"/>
    <w:rsid w:val="00D8241C"/>
    <w:rsid w:val="00DC402B"/>
    <w:rsid w:val="00DC439E"/>
    <w:rsid w:val="00DC4B10"/>
    <w:rsid w:val="00DC5374"/>
    <w:rsid w:val="00DE0932"/>
    <w:rsid w:val="00DE205B"/>
    <w:rsid w:val="00DE40BE"/>
    <w:rsid w:val="00E049F1"/>
    <w:rsid w:val="00E1259E"/>
    <w:rsid w:val="00E37A25"/>
    <w:rsid w:val="00E4182A"/>
    <w:rsid w:val="00E41AB7"/>
    <w:rsid w:val="00E511AB"/>
    <w:rsid w:val="00E70A31"/>
    <w:rsid w:val="00E71694"/>
    <w:rsid w:val="00E750D2"/>
    <w:rsid w:val="00E84883"/>
    <w:rsid w:val="00E932C8"/>
    <w:rsid w:val="00E934C9"/>
    <w:rsid w:val="00E977A2"/>
    <w:rsid w:val="00EA02AD"/>
    <w:rsid w:val="00EA3F38"/>
    <w:rsid w:val="00EA5AB6"/>
    <w:rsid w:val="00EC7615"/>
    <w:rsid w:val="00ED16AA"/>
    <w:rsid w:val="00EF662E"/>
    <w:rsid w:val="00F148F1"/>
    <w:rsid w:val="00F2677C"/>
    <w:rsid w:val="00F27967"/>
    <w:rsid w:val="00F30D9A"/>
    <w:rsid w:val="00F372DE"/>
    <w:rsid w:val="00F57AC0"/>
    <w:rsid w:val="00F765BF"/>
    <w:rsid w:val="00F76F36"/>
    <w:rsid w:val="00F96E10"/>
    <w:rsid w:val="00F9722E"/>
    <w:rsid w:val="00FA01AB"/>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AFEC4"/>
  <w15:docId w15:val="{E5754B48-16BE-49D9-A130-F75872AD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link w:val="CallChar"/>
    <w:qFormat/>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paragraph" w:styleId="Revision">
    <w:name w:val="Revision"/>
    <w:hidden/>
    <w:uiPriority w:val="99"/>
    <w:semiHidden/>
    <w:rsid w:val="005E7DD9"/>
    <w:rPr>
      <w:rFonts w:ascii="Times New Roman" w:hAnsi="Times New Roman"/>
      <w:sz w:val="24"/>
      <w:lang w:val="fr-FR" w:eastAsia="en-US"/>
    </w:rPr>
  </w:style>
  <w:style w:type="character" w:styleId="CommentReference">
    <w:name w:val="annotation reference"/>
    <w:basedOn w:val="DefaultParagraphFont"/>
    <w:uiPriority w:val="99"/>
    <w:semiHidden/>
    <w:unhideWhenUsed/>
    <w:rsid w:val="00E41AB7"/>
    <w:rPr>
      <w:sz w:val="16"/>
      <w:szCs w:val="16"/>
    </w:rPr>
  </w:style>
  <w:style w:type="paragraph" w:styleId="CommentText">
    <w:name w:val="annotation text"/>
    <w:basedOn w:val="Normal"/>
    <w:link w:val="CommentTextChar"/>
    <w:uiPriority w:val="99"/>
    <w:unhideWhenUsed/>
    <w:rsid w:val="00E41AB7"/>
    <w:rPr>
      <w:sz w:val="20"/>
    </w:rPr>
  </w:style>
  <w:style w:type="character" w:customStyle="1" w:styleId="CommentTextChar">
    <w:name w:val="Comment Text Char"/>
    <w:basedOn w:val="DefaultParagraphFont"/>
    <w:link w:val="CommentText"/>
    <w:uiPriority w:val="99"/>
    <w:rsid w:val="00E41AB7"/>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E41AB7"/>
    <w:rPr>
      <w:b/>
      <w:bCs/>
    </w:rPr>
  </w:style>
  <w:style w:type="character" w:customStyle="1" w:styleId="CommentSubjectChar">
    <w:name w:val="Comment Subject Char"/>
    <w:basedOn w:val="CommentTextChar"/>
    <w:link w:val="CommentSubject"/>
    <w:semiHidden/>
    <w:rsid w:val="00E41AB7"/>
    <w:rPr>
      <w:rFonts w:ascii="Times New Roman" w:hAnsi="Times New Roman"/>
      <w:b/>
      <w:bCs/>
      <w:lang w:val="fr-FR" w:eastAsia="en-US"/>
    </w:rPr>
  </w:style>
  <w:style w:type="paragraph" w:customStyle="1" w:styleId="xmsonormal">
    <w:name w:val="x_msonormal"/>
    <w:basedOn w:val="Normal"/>
    <w:rsid w:val="0080493A"/>
    <w:pPr>
      <w:tabs>
        <w:tab w:val="clear" w:pos="1134"/>
        <w:tab w:val="clear" w:pos="1871"/>
        <w:tab w:val="clear" w:pos="2268"/>
      </w:tabs>
      <w:overflowPunct/>
      <w:autoSpaceDE/>
      <w:autoSpaceDN/>
      <w:adjustRightInd/>
      <w:spacing w:before="100" w:beforeAutospacing="1" w:after="100" w:afterAutospacing="1"/>
      <w:textAlignment w:val="auto"/>
    </w:pPr>
    <w:rPr>
      <w:szCs w:val="24"/>
      <w:lang w:val="en-GB" w:eastAsia="en-GB"/>
    </w:rPr>
  </w:style>
  <w:style w:type="character" w:customStyle="1" w:styleId="CallChar">
    <w:name w:val="Call Char"/>
    <w:basedOn w:val="DefaultParagraphFont"/>
    <w:link w:val="Call"/>
    <w:qFormat/>
    <w:locked/>
    <w:rsid w:val="008D67D4"/>
    <w:rPr>
      <w:rFonts w:ascii="Times New Roman" w:hAnsi="Times New Roman"/>
      <w: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4</TotalTime>
  <Pages>12</Pages>
  <Words>5393</Words>
  <Characters>29417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34741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4</cp:revision>
  <cp:lastPrinted>2003-06-05T19:34:00Z</cp:lastPrinted>
  <dcterms:created xsi:type="dcterms:W3CDTF">2024-02-05T13:58:00Z</dcterms:created>
  <dcterms:modified xsi:type="dcterms:W3CDTF">2024-02-05T14:02:00Z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