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453"/>
        <w:gridCol w:w="1667"/>
      </w:tblGrid>
      <w:tr w:rsidR="00B23EDF" w:rsidRPr="00D870AC" w14:paraId="1A5C5908" w14:textId="77777777" w:rsidTr="00B23EDF">
        <w:trPr>
          <w:cantSplit/>
        </w:trPr>
        <w:tc>
          <w:tcPr>
            <w:tcW w:w="1418" w:type="dxa"/>
            <w:vAlign w:val="center"/>
          </w:tcPr>
          <w:p w14:paraId="4E3512D5" w14:textId="77777777" w:rsidR="00B23EDF" w:rsidRPr="00D870AC" w:rsidRDefault="00B23EDF" w:rsidP="000921EB">
            <w:pPr>
              <w:spacing w:before="100" w:beforeAutospacing="1"/>
              <w:rPr>
                <w:rFonts w:ascii="Verdana" w:hAnsi="Verdana"/>
                <w:b/>
                <w:bCs/>
                <w:sz w:val="20"/>
              </w:rPr>
            </w:pPr>
            <w:r w:rsidRPr="00D870AC">
              <w:rPr>
                <w:noProof/>
              </w:rPr>
              <w:drawing>
                <wp:inline distT="0" distB="0" distL="0" distR="0" wp14:anchorId="1B8EA93F" wp14:editId="4AFF911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652048EC" w14:textId="168B930F" w:rsidR="00B23EDF" w:rsidRPr="00D870AC" w:rsidRDefault="00B23EDF" w:rsidP="000921EB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D870AC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D870AC">
              <w:rPr>
                <w:rFonts w:ascii="Verdana" w:hAnsi="Verdana"/>
                <w:b/>
                <w:bCs/>
                <w:sz w:val="20"/>
              </w:rPr>
              <w:br/>
            </w:r>
            <w:r w:rsidRPr="00D870AC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771AD6" w:rsidRPr="00D870AC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D870AC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667" w:type="dxa"/>
            <w:vAlign w:val="center"/>
          </w:tcPr>
          <w:p w14:paraId="229A73E2" w14:textId="77777777" w:rsidR="00B23EDF" w:rsidRPr="00D870AC" w:rsidRDefault="00B23EDF" w:rsidP="000921EB">
            <w:pPr>
              <w:spacing w:before="0"/>
            </w:pPr>
            <w:bookmarkStart w:id="0" w:name="ditulogo"/>
            <w:bookmarkEnd w:id="0"/>
            <w:r w:rsidRPr="00D870AC">
              <w:rPr>
                <w:noProof/>
              </w:rPr>
              <w:drawing>
                <wp:inline distT="0" distB="0" distL="0" distR="0" wp14:anchorId="496D9923" wp14:editId="0C98AAA3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D870AC" w14:paraId="04F477B6" w14:textId="77777777" w:rsidTr="00773113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63D036A9" w14:textId="77777777" w:rsidR="00587A4E" w:rsidRPr="00D870AC" w:rsidRDefault="00587A4E" w:rsidP="000921EB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5CDD86C" w14:textId="77777777" w:rsidR="00587A4E" w:rsidRPr="00D870AC" w:rsidRDefault="00587A4E" w:rsidP="000921E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587A4E" w:rsidRPr="00D870AC" w14:paraId="1E306FA1" w14:textId="77777777" w:rsidTr="00773113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1A137BE" w14:textId="77777777" w:rsidR="00587A4E" w:rsidRPr="00D870AC" w:rsidRDefault="00587A4E" w:rsidP="000921E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0E43776" w14:textId="77777777" w:rsidR="00587A4E" w:rsidRPr="00D870AC" w:rsidRDefault="00587A4E" w:rsidP="000921E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587A4E" w:rsidRPr="00D870AC" w14:paraId="6A503FCB" w14:textId="77777777" w:rsidTr="00773113">
        <w:trPr>
          <w:cantSplit/>
        </w:trPr>
        <w:tc>
          <w:tcPr>
            <w:tcW w:w="6911" w:type="dxa"/>
            <w:gridSpan w:val="2"/>
          </w:tcPr>
          <w:p w14:paraId="43372B16" w14:textId="77777777" w:rsidR="00587A4E" w:rsidRPr="00D870AC" w:rsidRDefault="008D6821" w:rsidP="000921E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870AC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367CBC4A" w14:textId="603F21A2" w:rsidR="00587A4E" w:rsidRPr="00D870AC" w:rsidRDefault="00587A4E" w:rsidP="000921EB">
            <w:pPr>
              <w:spacing w:before="0"/>
              <w:rPr>
                <w:rFonts w:ascii="Verdana" w:hAnsi="Verdana"/>
                <w:sz w:val="20"/>
              </w:rPr>
            </w:pPr>
            <w:r w:rsidRPr="00D870AC">
              <w:rPr>
                <w:rFonts w:ascii="Verdana" w:hAnsi="Verdana"/>
                <w:b/>
                <w:sz w:val="20"/>
              </w:rPr>
              <w:t xml:space="preserve">Document </w:t>
            </w:r>
            <w:r w:rsidR="00771AD6" w:rsidRPr="00D870AC">
              <w:rPr>
                <w:rFonts w:ascii="Verdana" w:hAnsi="Verdana"/>
                <w:b/>
                <w:sz w:val="20"/>
              </w:rPr>
              <w:t>525</w:t>
            </w:r>
            <w:r w:rsidRPr="00D870AC">
              <w:rPr>
                <w:rFonts w:ascii="Verdana" w:hAnsi="Verdana"/>
                <w:b/>
                <w:sz w:val="20"/>
              </w:rPr>
              <w:t>-F</w:t>
            </w:r>
          </w:p>
        </w:tc>
      </w:tr>
      <w:bookmarkEnd w:id="1"/>
      <w:tr w:rsidR="00587A4E" w:rsidRPr="00D870AC" w14:paraId="58E2CB87" w14:textId="77777777" w:rsidTr="00773113">
        <w:trPr>
          <w:cantSplit/>
        </w:trPr>
        <w:tc>
          <w:tcPr>
            <w:tcW w:w="6911" w:type="dxa"/>
            <w:gridSpan w:val="2"/>
          </w:tcPr>
          <w:p w14:paraId="23AC3194" w14:textId="77777777" w:rsidR="00587A4E" w:rsidRPr="00D870AC" w:rsidRDefault="00587A4E" w:rsidP="000921E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1FF6C4A6" w14:textId="7DE23443" w:rsidR="00587A4E" w:rsidRPr="00D870AC" w:rsidRDefault="00771AD6" w:rsidP="000921E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870AC">
              <w:rPr>
                <w:rFonts w:ascii="Verdana" w:hAnsi="Verdana"/>
                <w:b/>
                <w:sz w:val="20"/>
              </w:rPr>
              <w:t>15 janvier 2024</w:t>
            </w:r>
          </w:p>
        </w:tc>
      </w:tr>
      <w:tr w:rsidR="00587A4E" w:rsidRPr="00D870AC" w14:paraId="6D6F0CA4" w14:textId="77777777" w:rsidTr="00773113">
        <w:trPr>
          <w:cantSplit/>
        </w:trPr>
        <w:tc>
          <w:tcPr>
            <w:tcW w:w="6911" w:type="dxa"/>
            <w:gridSpan w:val="2"/>
          </w:tcPr>
          <w:p w14:paraId="0FA6CEDD" w14:textId="77777777" w:rsidR="00587A4E" w:rsidRPr="00D870AC" w:rsidRDefault="00587A4E" w:rsidP="000921E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0D5ABF71" w14:textId="77777777" w:rsidR="00587A4E" w:rsidRPr="00D870AC" w:rsidRDefault="00587A4E" w:rsidP="000921E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870AC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587A4E" w:rsidRPr="00D870AC" w14:paraId="67EEDA8E" w14:textId="77777777" w:rsidTr="00773113">
        <w:trPr>
          <w:cantSplit/>
        </w:trPr>
        <w:tc>
          <w:tcPr>
            <w:tcW w:w="10031" w:type="dxa"/>
            <w:gridSpan w:val="4"/>
          </w:tcPr>
          <w:p w14:paraId="5844F16D" w14:textId="77777777" w:rsidR="00587A4E" w:rsidRPr="00D870AC" w:rsidRDefault="00587A4E" w:rsidP="000921E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771AD6" w:rsidRPr="00D870AC" w14:paraId="369F6879" w14:textId="77777777" w:rsidTr="002A3EF0">
        <w:trPr>
          <w:cantSplit/>
        </w:trPr>
        <w:tc>
          <w:tcPr>
            <w:tcW w:w="10031" w:type="dxa"/>
            <w:gridSpan w:val="4"/>
            <w:vAlign w:val="center"/>
          </w:tcPr>
          <w:p w14:paraId="44ADFCAC" w14:textId="77777777" w:rsidR="00771AD6" w:rsidRPr="00D870AC" w:rsidRDefault="00771AD6" w:rsidP="000921EB">
            <w:pPr>
              <w:pStyle w:val="Title1"/>
              <w:spacing w:before="480"/>
              <w:rPr>
                <w:rFonts w:asciiTheme="majorBidi" w:hAnsiTheme="majorBidi" w:cstheme="majorBidi"/>
                <w:szCs w:val="28"/>
              </w:rPr>
            </w:pPr>
            <w:bookmarkStart w:id="2" w:name="dtitle1" w:colFirst="0" w:colLast="0"/>
            <w:r w:rsidRPr="00D870AC">
              <w:rPr>
                <w:rFonts w:asciiTheme="majorBidi" w:hAnsiTheme="majorBidi" w:cstheme="majorBidi"/>
                <w:szCs w:val="28"/>
              </w:rPr>
              <w:t>PROCÈS-VERBAL</w:t>
            </w:r>
          </w:p>
          <w:p w14:paraId="61C31C96" w14:textId="77777777" w:rsidR="00771AD6" w:rsidRPr="00D870AC" w:rsidRDefault="00771AD6" w:rsidP="000921EB">
            <w:pPr>
              <w:pStyle w:val="Title1"/>
              <w:rPr>
                <w:rFonts w:asciiTheme="majorBidi" w:hAnsiTheme="majorBidi" w:cstheme="majorBidi"/>
                <w:szCs w:val="28"/>
              </w:rPr>
            </w:pPr>
            <w:r w:rsidRPr="00D870AC">
              <w:rPr>
                <w:rFonts w:asciiTheme="majorBidi" w:hAnsiTheme="majorBidi" w:cstheme="majorBidi"/>
                <w:szCs w:val="28"/>
              </w:rPr>
              <w:t>DE LA</w:t>
            </w:r>
          </w:p>
          <w:p w14:paraId="1F345B4D" w14:textId="5C8EDF91" w:rsidR="00771AD6" w:rsidRPr="00D870AC" w:rsidRDefault="00771AD6" w:rsidP="000921EB">
            <w:pPr>
              <w:pStyle w:val="Title1"/>
            </w:pPr>
            <w:r w:rsidRPr="00D870AC">
              <w:rPr>
                <w:rFonts w:asciiTheme="majorBidi" w:hAnsiTheme="majorBidi" w:cstheme="majorBidi"/>
                <w:szCs w:val="28"/>
              </w:rPr>
              <w:t>DIXIÈME SÉANCE PLÉNIÈRE</w:t>
            </w:r>
          </w:p>
        </w:tc>
      </w:tr>
      <w:tr w:rsidR="00771AD6" w:rsidRPr="00D870AC" w14:paraId="38042D47" w14:textId="77777777" w:rsidTr="00773113">
        <w:trPr>
          <w:cantSplit/>
        </w:trPr>
        <w:tc>
          <w:tcPr>
            <w:tcW w:w="10031" w:type="dxa"/>
            <w:gridSpan w:val="4"/>
          </w:tcPr>
          <w:p w14:paraId="1C77B915" w14:textId="73027248" w:rsidR="00771AD6" w:rsidRPr="00D870AC" w:rsidRDefault="00771AD6" w:rsidP="000921EB">
            <w:pPr>
              <w:spacing w:before="240"/>
              <w:jc w:val="center"/>
            </w:pPr>
            <w:bookmarkStart w:id="3" w:name="dtitle2" w:colFirst="0" w:colLast="0"/>
            <w:bookmarkEnd w:id="2"/>
            <w:r w:rsidRPr="00D870AC">
              <w:t xml:space="preserve">Mercredi 13 décembre 2023, à </w:t>
            </w:r>
            <w:r w:rsidR="00862C99" w:rsidRPr="00D870AC">
              <w:t>0</w:t>
            </w:r>
            <w:r w:rsidRPr="00D870AC">
              <w:t>9 h 05</w:t>
            </w:r>
          </w:p>
        </w:tc>
      </w:tr>
      <w:tr w:rsidR="00771AD6" w:rsidRPr="00D870AC" w14:paraId="0EFEA198" w14:textId="77777777" w:rsidTr="00773113">
        <w:trPr>
          <w:cantSplit/>
        </w:trPr>
        <w:tc>
          <w:tcPr>
            <w:tcW w:w="10031" w:type="dxa"/>
            <w:gridSpan w:val="4"/>
          </w:tcPr>
          <w:p w14:paraId="1349BDAF" w14:textId="716D26A3" w:rsidR="00771AD6" w:rsidRPr="00D870AC" w:rsidRDefault="00771AD6" w:rsidP="000921EB">
            <w:pPr>
              <w:jc w:val="center"/>
            </w:pPr>
            <w:bookmarkStart w:id="4" w:name="dtitle3" w:colFirst="0" w:colLast="0"/>
            <w:bookmarkEnd w:id="3"/>
            <w:r w:rsidRPr="00D870AC">
              <w:rPr>
                <w:b/>
                <w:bCs/>
              </w:rPr>
              <w:t>Président:</w:t>
            </w:r>
            <w:r w:rsidRPr="00D870AC">
              <w:t xml:space="preserve"> S. E. M. M. AL RAMSI (Émirats arabes unis)</w:t>
            </w:r>
          </w:p>
        </w:tc>
      </w:tr>
      <w:bookmarkEnd w:id="4"/>
    </w:tbl>
    <w:p w14:paraId="5989EE7A" w14:textId="77777777" w:rsidR="00F372DE" w:rsidRPr="00D870AC" w:rsidRDefault="00F372DE" w:rsidP="000921EB"/>
    <w:tbl>
      <w:tblPr>
        <w:tblW w:w="10031" w:type="dxa"/>
        <w:tblLook w:val="0000" w:firstRow="0" w:lastRow="0" w:firstColumn="0" w:lastColumn="0" w:noHBand="0" w:noVBand="0"/>
      </w:tblPr>
      <w:tblGrid>
        <w:gridCol w:w="482"/>
        <w:gridCol w:w="7740"/>
        <w:gridCol w:w="1809"/>
      </w:tblGrid>
      <w:tr w:rsidR="006C1BF8" w:rsidRPr="00D870AC" w14:paraId="736A93A8" w14:textId="77777777" w:rsidTr="00007F80">
        <w:tc>
          <w:tcPr>
            <w:tcW w:w="482" w:type="dxa"/>
          </w:tcPr>
          <w:p w14:paraId="37227AC7" w14:textId="77777777" w:rsidR="006C1BF8" w:rsidRPr="00D870AC" w:rsidRDefault="006C1BF8" w:rsidP="000921EB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</w:p>
        </w:tc>
        <w:tc>
          <w:tcPr>
            <w:tcW w:w="7740" w:type="dxa"/>
          </w:tcPr>
          <w:p w14:paraId="40CCF896" w14:textId="77777777" w:rsidR="006C1BF8" w:rsidRPr="00D870AC" w:rsidRDefault="006C1BF8" w:rsidP="008D4662">
            <w:pPr>
              <w:pStyle w:val="Tablehead"/>
              <w:spacing w:before="120" w:after="120"/>
              <w:jc w:val="left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Sujets examinés</w:t>
            </w:r>
          </w:p>
        </w:tc>
        <w:tc>
          <w:tcPr>
            <w:tcW w:w="1809" w:type="dxa"/>
          </w:tcPr>
          <w:p w14:paraId="12697999" w14:textId="77777777" w:rsidR="006C1BF8" w:rsidRPr="00D870AC" w:rsidRDefault="006C1BF8" w:rsidP="008D4662">
            <w:pPr>
              <w:pStyle w:val="Tablehead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Documents</w:t>
            </w:r>
          </w:p>
        </w:tc>
      </w:tr>
      <w:tr w:rsidR="006C1BF8" w:rsidRPr="00D870AC" w14:paraId="768AC1EA" w14:textId="77777777" w:rsidTr="00007F80">
        <w:tc>
          <w:tcPr>
            <w:tcW w:w="482" w:type="dxa"/>
          </w:tcPr>
          <w:p w14:paraId="5AAF9342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14:paraId="1CB1354D" w14:textId="396A30AB" w:rsidR="006C1BF8" w:rsidRPr="00D870AC" w:rsidRDefault="006C1BF8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 xml:space="preserve">Rapports verbaux des </w:t>
            </w:r>
            <w:r w:rsidR="00AC082C" w:rsidRPr="00D870AC">
              <w:rPr>
                <w:sz w:val="24"/>
                <w:szCs w:val="24"/>
              </w:rPr>
              <w:t>p</w:t>
            </w:r>
            <w:r w:rsidRPr="00D870AC">
              <w:rPr>
                <w:sz w:val="24"/>
                <w:szCs w:val="24"/>
              </w:rPr>
              <w:t>résidents des commissions</w:t>
            </w:r>
          </w:p>
        </w:tc>
        <w:tc>
          <w:tcPr>
            <w:tcW w:w="1809" w:type="dxa"/>
          </w:tcPr>
          <w:p w14:paraId="55569B25" w14:textId="77777777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–</w:t>
            </w:r>
          </w:p>
        </w:tc>
      </w:tr>
      <w:tr w:rsidR="006C1BF8" w:rsidRPr="00D870AC" w14:paraId="597392A3" w14:textId="77777777" w:rsidTr="00007F80">
        <w:tc>
          <w:tcPr>
            <w:tcW w:w="482" w:type="dxa"/>
          </w:tcPr>
          <w:p w14:paraId="443E284A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14:paraId="1F9C8982" w14:textId="70A4860B" w:rsidR="006C1BF8" w:rsidRPr="00D870AC" w:rsidRDefault="006C1BF8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Troisième rapport de la Commission 6 à la plénière</w:t>
            </w:r>
          </w:p>
        </w:tc>
        <w:tc>
          <w:tcPr>
            <w:tcW w:w="1809" w:type="dxa"/>
          </w:tcPr>
          <w:p w14:paraId="535405E9" w14:textId="1F667448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478</w:t>
            </w:r>
          </w:p>
        </w:tc>
      </w:tr>
      <w:tr w:rsidR="006C1BF8" w:rsidRPr="00D870AC" w14:paraId="3A764510" w14:textId="77777777" w:rsidTr="00007F80">
        <w:tc>
          <w:tcPr>
            <w:tcW w:w="482" w:type="dxa"/>
          </w:tcPr>
          <w:p w14:paraId="41CD4CA2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14:paraId="7C01BF62" w14:textId="26015E64" w:rsidR="006C1BF8" w:rsidRPr="00D870AC" w:rsidRDefault="006C1BF8" w:rsidP="008D4662">
            <w:pPr>
              <w:pStyle w:val="Tabletext"/>
              <w:spacing w:before="120" w:after="120"/>
              <w:rPr>
                <w:bCs/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Troisième rapport de la Commission 5 à la plénière</w:t>
            </w:r>
          </w:p>
        </w:tc>
        <w:tc>
          <w:tcPr>
            <w:tcW w:w="1809" w:type="dxa"/>
          </w:tcPr>
          <w:p w14:paraId="6A181F51" w14:textId="3887B471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485</w:t>
            </w:r>
          </w:p>
        </w:tc>
      </w:tr>
      <w:tr w:rsidR="006C1BF8" w:rsidRPr="00D870AC" w14:paraId="216FF9D5" w14:textId="77777777" w:rsidTr="00007F80">
        <w:tc>
          <w:tcPr>
            <w:tcW w:w="482" w:type="dxa"/>
          </w:tcPr>
          <w:p w14:paraId="66443A19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14:paraId="6275AF44" w14:textId="6C37F86A" w:rsidR="006C1BF8" w:rsidRPr="00D870AC" w:rsidRDefault="006C1BF8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Trente-cinquième série de textes soumis par la Commission de rédaction à la séance plénière</w:t>
            </w:r>
            <w:r w:rsidR="00AC082C" w:rsidRPr="00D870AC">
              <w:rPr>
                <w:sz w:val="24"/>
              </w:rPr>
              <w:t xml:space="preserve"> </w:t>
            </w:r>
            <w:r w:rsidR="00AC082C" w:rsidRPr="00D870AC">
              <w:rPr>
                <w:sz w:val="24"/>
                <w:szCs w:val="24"/>
              </w:rPr>
              <w:t>en première lecture</w:t>
            </w:r>
            <w:r w:rsidRPr="00D870AC">
              <w:rPr>
                <w:sz w:val="24"/>
                <w:szCs w:val="24"/>
              </w:rPr>
              <w:t xml:space="preserve"> (B35)</w:t>
            </w:r>
          </w:p>
        </w:tc>
        <w:tc>
          <w:tcPr>
            <w:tcW w:w="1809" w:type="dxa"/>
          </w:tcPr>
          <w:p w14:paraId="57D1A9E7" w14:textId="49221510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457</w:t>
            </w:r>
          </w:p>
        </w:tc>
      </w:tr>
      <w:tr w:rsidR="006C1BF8" w:rsidRPr="00D870AC" w14:paraId="23800241" w14:textId="77777777" w:rsidTr="00007F80">
        <w:tc>
          <w:tcPr>
            <w:tcW w:w="482" w:type="dxa"/>
          </w:tcPr>
          <w:p w14:paraId="5FD01DF8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14:paraId="4E1A98C5" w14:textId="55291DA4" w:rsidR="006C1BF8" w:rsidRPr="00D870AC" w:rsidRDefault="00052D43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Quarante</w:t>
            </w:r>
            <w:r w:rsidR="006C1BF8" w:rsidRPr="00D870AC">
              <w:rPr>
                <w:sz w:val="24"/>
                <w:szCs w:val="24"/>
              </w:rPr>
              <w:t>-cinquième série de textes soumis par la Commission de rédaction à la séance plénière</w:t>
            </w:r>
            <w:r w:rsidR="00AC082C" w:rsidRPr="00D870AC">
              <w:rPr>
                <w:sz w:val="24"/>
                <w:szCs w:val="24"/>
              </w:rPr>
              <w:t xml:space="preserve"> en première lecture</w:t>
            </w:r>
            <w:r w:rsidR="006C1BF8" w:rsidRPr="00D870AC">
              <w:rPr>
                <w:sz w:val="24"/>
                <w:szCs w:val="24"/>
              </w:rPr>
              <w:t xml:space="preserve"> (B45)</w:t>
            </w:r>
          </w:p>
        </w:tc>
        <w:tc>
          <w:tcPr>
            <w:tcW w:w="1809" w:type="dxa"/>
          </w:tcPr>
          <w:p w14:paraId="6D63AA0F" w14:textId="3B8EE1A0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487</w:t>
            </w:r>
          </w:p>
        </w:tc>
      </w:tr>
      <w:tr w:rsidR="006C1BF8" w:rsidRPr="00D870AC" w14:paraId="0532EFB3" w14:textId="77777777" w:rsidTr="00007F80">
        <w:tc>
          <w:tcPr>
            <w:tcW w:w="482" w:type="dxa"/>
          </w:tcPr>
          <w:p w14:paraId="00E33462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40" w:type="dxa"/>
          </w:tcPr>
          <w:p w14:paraId="275D52FE" w14:textId="55D0CD15" w:rsidR="006C1BF8" w:rsidRPr="00D870AC" w:rsidRDefault="00052D43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Quarante</w:t>
            </w:r>
            <w:r w:rsidR="006C1BF8" w:rsidRPr="00D870AC">
              <w:rPr>
                <w:sz w:val="24"/>
                <w:szCs w:val="24"/>
              </w:rPr>
              <w:t>-cinquième série de textes soumis par la Commission de rédaction à la séance plénière – seconde lecture</w:t>
            </w:r>
            <w:r w:rsidR="001A60D3" w:rsidRPr="00D870AC">
              <w:rPr>
                <w:sz w:val="24"/>
                <w:szCs w:val="24"/>
              </w:rPr>
              <w:t xml:space="preserve"> (B45)</w:t>
            </w:r>
          </w:p>
        </w:tc>
        <w:tc>
          <w:tcPr>
            <w:tcW w:w="1809" w:type="dxa"/>
          </w:tcPr>
          <w:p w14:paraId="4245A760" w14:textId="737296A8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487</w:t>
            </w:r>
          </w:p>
        </w:tc>
      </w:tr>
      <w:tr w:rsidR="006C1BF8" w:rsidRPr="00D870AC" w14:paraId="54C18CCC" w14:textId="77777777" w:rsidTr="00007F80">
        <w:tc>
          <w:tcPr>
            <w:tcW w:w="482" w:type="dxa"/>
          </w:tcPr>
          <w:p w14:paraId="0E224B58" w14:textId="77777777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0" w:type="dxa"/>
          </w:tcPr>
          <w:p w14:paraId="54B133FA" w14:textId="117946EE" w:rsidR="006C1BF8" w:rsidRPr="00D870AC" w:rsidRDefault="00052D43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Quarante</w:t>
            </w:r>
            <w:r w:rsidR="006C1BF8" w:rsidRPr="00D870AC">
              <w:rPr>
                <w:sz w:val="24"/>
                <w:szCs w:val="24"/>
              </w:rPr>
              <w:t>-sixième série de textes soumis par la Commission de rédaction à la séance plénière</w:t>
            </w:r>
            <w:r w:rsidR="00AC082C" w:rsidRPr="00D870AC">
              <w:rPr>
                <w:sz w:val="24"/>
                <w:szCs w:val="24"/>
              </w:rPr>
              <w:t xml:space="preserve"> en première lecture</w:t>
            </w:r>
            <w:r w:rsidR="006C1BF8" w:rsidRPr="00D870AC">
              <w:rPr>
                <w:sz w:val="24"/>
                <w:szCs w:val="24"/>
              </w:rPr>
              <w:t xml:space="preserve"> (B46)</w:t>
            </w:r>
          </w:p>
        </w:tc>
        <w:tc>
          <w:tcPr>
            <w:tcW w:w="1809" w:type="dxa"/>
          </w:tcPr>
          <w:p w14:paraId="2D23E2D3" w14:textId="0E0A9B94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488</w:t>
            </w:r>
          </w:p>
        </w:tc>
      </w:tr>
      <w:tr w:rsidR="006C1BF8" w:rsidRPr="00D870AC" w14:paraId="494D193E" w14:textId="77777777" w:rsidTr="00007F80">
        <w:tc>
          <w:tcPr>
            <w:tcW w:w="482" w:type="dxa"/>
          </w:tcPr>
          <w:p w14:paraId="50C3697E" w14:textId="6164D92E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40" w:type="dxa"/>
          </w:tcPr>
          <w:p w14:paraId="73B2EE3F" w14:textId="16EA434F" w:rsidR="006C1BF8" w:rsidRPr="00D870AC" w:rsidRDefault="00052D43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Quarante</w:t>
            </w:r>
            <w:r w:rsidR="006C1BF8" w:rsidRPr="00D870AC">
              <w:rPr>
                <w:sz w:val="24"/>
                <w:szCs w:val="24"/>
              </w:rPr>
              <w:t>-sixième série de textes soumis par la Commission de rédaction à la séance plénière – seconde lecture</w:t>
            </w:r>
            <w:r w:rsidR="001A60D3" w:rsidRPr="00D870AC">
              <w:rPr>
                <w:sz w:val="24"/>
                <w:szCs w:val="24"/>
              </w:rPr>
              <w:t xml:space="preserve"> (B46)</w:t>
            </w:r>
          </w:p>
        </w:tc>
        <w:tc>
          <w:tcPr>
            <w:tcW w:w="1809" w:type="dxa"/>
          </w:tcPr>
          <w:p w14:paraId="326AE12C" w14:textId="5752C353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488</w:t>
            </w:r>
          </w:p>
        </w:tc>
      </w:tr>
      <w:tr w:rsidR="006C1BF8" w:rsidRPr="00D870AC" w14:paraId="639221A0" w14:textId="77777777" w:rsidTr="00007F80">
        <w:tc>
          <w:tcPr>
            <w:tcW w:w="482" w:type="dxa"/>
          </w:tcPr>
          <w:p w14:paraId="24DE78AF" w14:textId="74ECB424" w:rsidR="006C1BF8" w:rsidRPr="00D870AC" w:rsidRDefault="006C1BF8" w:rsidP="008D4662">
            <w:pPr>
              <w:pStyle w:val="Tabletext"/>
              <w:spacing w:before="120" w:after="120"/>
              <w:rPr>
                <w:b/>
                <w:sz w:val="24"/>
                <w:szCs w:val="24"/>
              </w:rPr>
            </w:pPr>
            <w:r w:rsidRPr="00D870A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40" w:type="dxa"/>
          </w:tcPr>
          <w:p w14:paraId="05C8A593" w14:textId="7D8A5A5D" w:rsidR="006C1BF8" w:rsidRPr="00D870AC" w:rsidRDefault="006C1BF8" w:rsidP="008D4662">
            <w:pPr>
              <w:pStyle w:val="Tabletext"/>
              <w:spacing w:before="120" w:after="120"/>
              <w:rPr>
                <w:sz w:val="24"/>
                <w:szCs w:val="24"/>
              </w:rPr>
            </w:pPr>
            <w:r w:rsidRPr="00D870AC">
              <w:rPr>
                <w:sz w:val="24"/>
                <w:szCs w:val="24"/>
              </w:rPr>
              <w:t>Derniers jours de la conférence</w:t>
            </w:r>
          </w:p>
        </w:tc>
        <w:tc>
          <w:tcPr>
            <w:tcW w:w="1809" w:type="dxa"/>
          </w:tcPr>
          <w:p w14:paraId="7D849D43" w14:textId="0AAEDE5F" w:rsidR="006C1BF8" w:rsidRPr="00D870AC" w:rsidRDefault="006C1BF8" w:rsidP="008D4662">
            <w:pPr>
              <w:pStyle w:val="Tabletext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870AC">
              <w:rPr>
                <w:bCs/>
                <w:sz w:val="24"/>
                <w:szCs w:val="24"/>
              </w:rPr>
              <w:t>435</w:t>
            </w:r>
          </w:p>
        </w:tc>
      </w:tr>
    </w:tbl>
    <w:p w14:paraId="1E4E265D" w14:textId="193B6A03" w:rsidR="006C1BF8" w:rsidRPr="00D870AC" w:rsidRDefault="006C1BF8" w:rsidP="000921EB">
      <w:r w:rsidRPr="00D870AC">
        <w:br w:type="page"/>
      </w:r>
    </w:p>
    <w:p w14:paraId="175EAEA3" w14:textId="78644EDD" w:rsidR="006C1BF8" w:rsidRPr="00D870AC" w:rsidRDefault="006C1BF8" w:rsidP="000921EB">
      <w:pPr>
        <w:pStyle w:val="Heading1"/>
      </w:pPr>
      <w:r w:rsidRPr="00D870AC">
        <w:lastRenderedPageBreak/>
        <w:t>1</w:t>
      </w:r>
      <w:r w:rsidRPr="00D870AC">
        <w:tab/>
        <w:t xml:space="preserve">Rapports verbaux des </w:t>
      </w:r>
      <w:r w:rsidR="00AC082C" w:rsidRPr="00D870AC">
        <w:t>p</w:t>
      </w:r>
      <w:r w:rsidRPr="00D870AC">
        <w:t>résidents des commissions</w:t>
      </w:r>
    </w:p>
    <w:p w14:paraId="5C5C2E35" w14:textId="5789E048" w:rsidR="006C1BF8" w:rsidRPr="00D870AC" w:rsidRDefault="00AC082C" w:rsidP="000921EB">
      <w:r w:rsidRPr="00D870AC">
        <w:t>1.1</w:t>
      </w:r>
      <w:r w:rsidRPr="00D870AC">
        <w:tab/>
      </w:r>
      <w:r w:rsidR="001B39D3" w:rsidRPr="00D870AC">
        <w:t xml:space="preserve">La </w:t>
      </w:r>
      <w:r w:rsidR="001B39D3" w:rsidRPr="00D870AC">
        <w:rPr>
          <w:b/>
          <w:bCs/>
        </w:rPr>
        <w:t>Présidente de la Commission 2</w:t>
      </w:r>
      <w:r w:rsidR="001B39D3" w:rsidRPr="00D870AC">
        <w:t xml:space="preserve"> indique que, depuis la séance plénière précédente, sa </w:t>
      </w:r>
      <w:r w:rsidR="00862C99" w:rsidRPr="00D870AC">
        <w:t>c</w:t>
      </w:r>
      <w:r w:rsidR="001B39D3" w:rsidRPr="00D870AC">
        <w:t>ommission a reçu un instrument d'accréditation supplémentaire, qui a été reconnu en règle, portant ainsi à 154 le nombre total de délégations participant à la conférence et ayant déposé des pouvoirs qui ont été reconnus en règle.</w:t>
      </w:r>
    </w:p>
    <w:p w14:paraId="7F5218CA" w14:textId="37D053E6" w:rsidR="00AC082C" w:rsidRPr="00D870AC" w:rsidRDefault="00AC082C" w:rsidP="000921EB">
      <w:r w:rsidRPr="00D870AC">
        <w:t>1.2</w:t>
      </w:r>
      <w:r w:rsidRPr="00D870AC">
        <w:tab/>
        <w:t xml:space="preserve">Il est </w:t>
      </w:r>
      <w:r w:rsidRPr="00D870AC">
        <w:rPr>
          <w:b/>
          <w:bCs/>
        </w:rPr>
        <w:t>pris note</w:t>
      </w:r>
      <w:r w:rsidRPr="00D870AC">
        <w:t xml:space="preserve"> du rapport verbal de la Présidente de la Commission 2.</w:t>
      </w:r>
    </w:p>
    <w:p w14:paraId="4416C6D8" w14:textId="385F1AB5" w:rsidR="00AC082C" w:rsidRPr="00D870AC" w:rsidRDefault="00AC082C" w:rsidP="000921EB">
      <w:r w:rsidRPr="00D870AC">
        <w:t>1.3</w:t>
      </w:r>
      <w:r w:rsidRPr="00D870AC">
        <w:tab/>
      </w:r>
      <w:r w:rsidR="0008707A" w:rsidRPr="00D870AC">
        <w:t xml:space="preserve">La </w:t>
      </w:r>
      <w:r w:rsidR="0008707A" w:rsidRPr="00D870AC">
        <w:rPr>
          <w:b/>
          <w:bCs/>
        </w:rPr>
        <w:t>Présidente de la Commission 3</w:t>
      </w:r>
      <w:r w:rsidR="0008707A" w:rsidRPr="00D870AC">
        <w:t xml:space="preserve"> déclare qu'elle n'a rien à ajouter, pour l'heure, au rapport qu'elle a présenté à la neuvième séance plénière. </w:t>
      </w:r>
    </w:p>
    <w:p w14:paraId="5848C511" w14:textId="2D9258D1" w:rsidR="00AC082C" w:rsidRPr="00D870AC" w:rsidRDefault="00AC082C" w:rsidP="000921EB">
      <w:r w:rsidRPr="00D870AC">
        <w:t>1.4</w:t>
      </w:r>
      <w:r w:rsidRPr="00D870AC">
        <w:tab/>
        <w:t xml:space="preserve">Il est </w:t>
      </w:r>
      <w:r w:rsidRPr="00D870AC">
        <w:rPr>
          <w:b/>
          <w:bCs/>
        </w:rPr>
        <w:t>pris note</w:t>
      </w:r>
      <w:r w:rsidRPr="00D870AC">
        <w:t xml:space="preserve"> du rapport verbal de la Présidente de la Commission 3.</w:t>
      </w:r>
    </w:p>
    <w:p w14:paraId="3F69C95E" w14:textId="4BF10820" w:rsidR="00AC082C" w:rsidRPr="00D870AC" w:rsidRDefault="00AC082C" w:rsidP="000921EB">
      <w:r w:rsidRPr="00D870AC">
        <w:t>1.5</w:t>
      </w:r>
      <w:r w:rsidRPr="00D870AC">
        <w:tab/>
      </w:r>
      <w:r w:rsidR="0008707A" w:rsidRPr="00D870AC">
        <w:t xml:space="preserve">Le </w:t>
      </w:r>
      <w:r w:rsidR="0008707A" w:rsidRPr="00D870AC">
        <w:rPr>
          <w:b/>
          <w:bCs/>
        </w:rPr>
        <w:t>Président de la Commission </w:t>
      </w:r>
      <w:r w:rsidR="00567365" w:rsidRPr="00D870AC">
        <w:rPr>
          <w:b/>
          <w:bCs/>
        </w:rPr>
        <w:t>4</w:t>
      </w:r>
      <w:r w:rsidR="0008707A" w:rsidRPr="00D870AC">
        <w:t xml:space="preserve"> souligne que la commission a résolu deux questions supplémentaires, à savoir la</w:t>
      </w:r>
      <w:r w:rsidR="00567365" w:rsidRPr="00D870AC">
        <w:t xml:space="preserve"> question relative à la</w:t>
      </w:r>
      <w:r w:rsidR="0008707A" w:rsidRPr="00D870AC">
        <w:t xml:space="preserve"> bande de fréquences de 10 GHz en Région 2 au titre du point 1.2 de l'ordre du jour et la Question C</w:t>
      </w:r>
      <w:r w:rsidR="001B39D3" w:rsidRPr="00D870AC">
        <w:t xml:space="preserve"> au titre du</w:t>
      </w:r>
      <w:r w:rsidR="0008707A" w:rsidRPr="00D870AC">
        <w:t xml:space="preserve"> point 1.11 de l'ordre du jour. La commission ayant achevé ses travaux, </w:t>
      </w:r>
      <w:r w:rsidR="00567365" w:rsidRPr="00D870AC">
        <w:t>des groupes ad hoc de la Commission 4 délibèreront sur les questions qui restent à régler au titre d</w:t>
      </w:r>
      <w:r w:rsidR="00FD7EB9">
        <w:t xml:space="preserve">es </w:t>
      </w:r>
      <w:r w:rsidR="00567365" w:rsidRPr="00D870AC">
        <w:t>point</w:t>
      </w:r>
      <w:r w:rsidR="00FD7EB9">
        <w:t>s</w:t>
      </w:r>
      <w:r w:rsidR="00567365" w:rsidRPr="00D870AC">
        <w:t> 1.2 (3,3 GHz en Région 1 et 6 GHz) et 1.5 de l'ordre du jour, aussitôt après la séance plénière en cours.</w:t>
      </w:r>
    </w:p>
    <w:p w14:paraId="1683E375" w14:textId="6FFBA7F3" w:rsidR="00AC082C" w:rsidRPr="00D870AC" w:rsidRDefault="00AC082C" w:rsidP="000921EB">
      <w:r w:rsidRPr="00D870AC">
        <w:t>1.6</w:t>
      </w:r>
      <w:r w:rsidRPr="00D870AC">
        <w:tab/>
        <w:t xml:space="preserve">Il est </w:t>
      </w:r>
      <w:r w:rsidRPr="00D870AC">
        <w:rPr>
          <w:b/>
          <w:bCs/>
        </w:rPr>
        <w:t>pris note</w:t>
      </w:r>
      <w:r w:rsidRPr="00D870AC">
        <w:t xml:space="preserve"> du rapport verbal </w:t>
      </w:r>
      <w:r w:rsidR="00567365" w:rsidRPr="00D870AC">
        <w:t>du</w:t>
      </w:r>
      <w:r w:rsidRPr="00D870AC">
        <w:t xml:space="preserve"> Président de la Commission </w:t>
      </w:r>
      <w:r w:rsidR="00567365" w:rsidRPr="00D870AC">
        <w:t>4</w:t>
      </w:r>
      <w:r w:rsidRPr="00D870AC">
        <w:t>.</w:t>
      </w:r>
    </w:p>
    <w:p w14:paraId="1E3351CC" w14:textId="62B65E26" w:rsidR="00AC082C" w:rsidRPr="00D870AC" w:rsidRDefault="00AC082C" w:rsidP="000921EB">
      <w:r w:rsidRPr="00D870AC">
        <w:t>1.7</w:t>
      </w:r>
      <w:r w:rsidRPr="00D870AC">
        <w:tab/>
      </w:r>
      <w:r w:rsidR="00567365" w:rsidRPr="00D870AC">
        <w:t xml:space="preserve">Le </w:t>
      </w:r>
      <w:r w:rsidR="00567365" w:rsidRPr="00D870AC">
        <w:rPr>
          <w:b/>
          <w:bCs/>
        </w:rPr>
        <w:t>Président de la Commission 6</w:t>
      </w:r>
      <w:r w:rsidR="00567365" w:rsidRPr="00D870AC">
        <w:t xml:space="preserve"> indique que la</w:t>
      </w:r>
      <w:r w:rsidR="00526897" w:rsidRPr="00D870AC">
        <w:t xml:space="preserve"> commission a quasiment achevé ses travaux. La liste récapitulative des </w:t>
      </w:r>
      <w:r w:rsidR="00862C99" w:rsidRPr="00D870AC">
        <w:t>r</w:t>
      </w:r>
      <w:r w:rsidR="00526897" w:rsidRPr="00D870AC">
        <w:t>ecommandations de l'UIT-R pour l'incorporation par référence dans le Règlement des radiocommunications a été mise à jour.</w:t>
      </w:r>
    </w:p>
    <w:p w14:paraId="18588266" w14:textId="4F2632EB" w:rsidR="00AC082C" w:rsidRPr="00D870AC" w:rsidRDefault="00AC082C" w:rsidP="000921EB">
      <w:r w:rsidRPr="00D870AC">
        <w:t>1.8</w:t>
      </w:r>
      <w:r w:rsidRPr="00D870AC">
        <w:tab/>
      </w:r>
      <w:r w:rsidR="00526897" w:rsidRPr="00D870AC">
        <w:t xml:space="preserve">S'agissant des ordres du jour de conférences futures au titre du point 10 de l'ordre du jour, la commission a arrêté les points à inscrire à l'ordre du jour de la CMR-31 et les textes correspondants ont été soumis à la Commission de rédaction. </w:t>
      </w:r>
      <w:bookmarkStart w:id="5" w:name="lt_pId061"/>
      <w:r w:rsidR="00E45E8B" w:rsidRPr="00D870AC">
        <w:t>L</w:t>
      </w:r>
      <w:r w:rsidR="00FB14D0" w:rsidRPr="00D870AC">
        <w:t xml:space="preserve">a </w:t>
      </w:r>
      <w:r w:rsidR="00E45E8B" w:rsidRPr="00D870AC">
        <w:t>c</w:t>
      </w:r>
      <w:r w:rsidR="00FB14D0" w:rsidRPr="00D870AC">
        <w:t>ommission a</w:t>
      </w:r>
      <w:r w:rsidR="00E45E8B" w:rsidRPr="00D870AC">
        <w:t xml:space="preserve"> également</w:t>
      </w:r>
      <w:r w:rsidR="00C913E9" w:rsidRPr="00D870AC">
        <w:rPr>
          <w:szCs w:val="24"/>
        </w:rPr>
        <w:t xml:space="preserve"> déterminé</w:t>
      </w:r>
      <w:r w:rsidR="00526897" w:rsidRPr="00D870AC">
        <w:rPr>
          <w:szCs w:val="24"/>
        </w:rPr>
        <w:t xml:space="preserve"> </w:t>
      </w:r>
      <w:r w:rsidR="00C913E9" w:rsidRPr="00D870AC">
        <w:rPr>
          <w:szCs w:val="24"/>
        </w:rPr>
        <w:t>les points à inscrire à l'ordre du jour de la CMR</w:t>
      </w:r>
      <w:r w:rsidR="00526897" w:rsidRPr="00D870AC">
        <w:rPr>
          <w:szCs w:val="24"/>
        </w:rPr>
        <w:t>-27</w:t>
      </w:r>
      <w:r w:rsidR="00E45E8B" w:rsidRPr="00D870AC">
        <w:rPr>
          <w:szCs w:val="24"/>
        </w:rPr>
        <w:t>,</w:t>
      </w:r>
      <w:r w:rsidR="00526897" w:rsidRPr="00D870AC">
        <w:rPr>
          <w:szCs w:val="24"/>
        </w:rPr>
        <w:t xml:space="preserve"> </w:t>
      </w:r>
      <w:r w:rsidR="00C913E9" w:rsidRPr="00D870AC">
        <w:rPr>
          <w:szCs w:val="24"/>
        </w:rPr>
        <w:t>mais il n'a pas été possible d'arrêter le texte final d</w:t>
      </w:r>
      <w:r w:rsidR="00526897" w:rsidRPr="00D870AC">
        <w:rPr>
          <w:szCs w:val="24"/>
        </w:rPr>
        <w:t xml:space="preserve">e </w:t>
      </w:r>
      <w:r w:rsidR="00C913E9" w:rsidRPr="00D870AC">
        <w:rPr>
          <w:szCs w:val="24"/>
        </w:rPr>
        <w:t>la ré</w:t>
      </w:r>
      <w:r w:rsidR="00526897" w:rsidRPr="00D870AC">
        <w:rPr>
          <w:szCs w:val="24"/>
        </w:rPr>
        <w:t>solution</w:t>
      </w:r>
      <w:r w:rsidR="00C913E9" w:rsidRPr="00D870AC">
        <w:rPr>
          <w:szCs w:val="24"/>
        </w:rPr>
        <w:t xml:space="preserve"> </w:t>
      </w:r>
      <w:r w:rsidR="000661CC" w:rsidRPr="00D870AC">
        <w:rPr>
          <w:szCs w:val="24"/>
        </w:rPr>
        <w:t>correspondante</w:t>
      </w:r>
      <w:r w:rsidR="00E45E8B" w:rsidRPr="00D870AC">
        <w:rPr>
          <w:szCs w:val="24"/>
        </w:rPr>
        <w:t xml:space="preserve"> pour deux raisons:</w:t>
      </w:r>
      <w:r w:rsidR="000661CC" w:rsidRPr="00D870AC">
        <w:rPr>
          <w:szCs w:val="24"/>
        </w:rPr>
        <w:t xml:space="preserve"> </w:t>
      </w:r>
      <w:r w:rsidR="00E45E8B" w:rsidRPr="00D870AC">
        <w:rPr>
          <w:szCs w:val="24"/>
        </w:rPr>
        <w:t>d'une part la commission a manqué de</w:t>
      </w:r>
      <w:r w:rsidR="000661CC" w:rsidRPr="00D870AC">
        <w:rPr>
          <w:szCs w:val="24"/>
        </w:rPr>
        <w:t xml:space="preserve"> temps pour apporter les améliorations de forme</w:t>
      </w:r>
      <w:r w:rsidR="00E45E8B" w:rsidRPr="00D870AC">
        <w:rPr>
          <w:szCs w:val="24"/>
        </w:rPr>
        <w:t xml:space="preserve">, d'autre part elle </w:t>
      </w:r>
      <w:r w:rsidR="000661CC" w:rsidRPr="00D870AC">
        <w:rPr>
          <w:szCs w:val="24"/>
        </w:rPr>
        <w:t>attend la</w:t>
      </w:r>
      <w:r w:rsidR="00526897" w:rsidRPr="00D870AC">
        <w:rPr>
          <w:szCs w:val="24"/>
        </w:rPr>
        <w:t xml:space="preserve"> confirmation</w:t>
      </w:r>
      <w:r w:rsidR="000661CC" w:rsidRPr="00D870AC">
        <w:rPr>
          <w:szCs w:val="24"/>
        </w:rPr>
        <w:t xml:space="preserve"> par un groupe régional du</w:t>
      </w:r>
      <w:r w:rsidR="00526897" w:rsidRPr="00D870AC">
        <w:rPr>
          <w:szCs w:val="24"/>
        </w:rPr>
        <w:t xml:space="preserve"> compromis</w:t>
      </w:r>
      <w:r w:rsidR="000661CC" w:rsidRPr="00D870AC">
        <w:rPr>
          <w:szCs w:val="24"/>
        </w:rPr>
        <w:t xml:space="preserve"> dégagé à l'issue des </w:t>
      </w:r>
      <w:r w:rsidR="00526897" w:rsidRPr="00D870AC">
        <w:rPr>
          <w:szCs w:val="24"/>
        </w:rPr>
        <w:t xml:space="preserve">consultations </w:t>
      </w:r>
      <w:r w:rsidR="000661CC" w:rsidRPr="00D870AC">
        <w:rPr>
          <w:szCs w:val="24"/>
        </w:rPr>
        <w:t>entre les chefs des groupes régionaux</w:t>
      </w:r>
      <w:r w:rsidR="00526897" w:rsidRPr="00D870AC">
        <w:rPr>
          <w:szCs w:val="24"/>
        </w:rPr>
        <w:t>.</w:t>
      </w:r>
      <w:bookmarkEnd w:id="5"/>
      <w:r w:rsidR="00526897" w:rsidRPr="00D870AC">
        <w:rPr>
          <w:szCs w:val="24"/>
        </w:rPr>
        <w:t xml:space="preserve"> </w:t>
      </w:r>
      <w:bookmarkStart w:id="6" w:name="lt_pId062"/>
      <w:r w:rsidR="000661CC" w:rsidRPr="00D870AC">
        <w:rPr>
          <w:szCs w:val="24"/>
        </w:rPr>
        <w:t xml:space="preserve">Plusieurs délégations </w:t>
      </w:r>
      <w:r w:rsidR="001B39D3" w:rsidRPr="00D870AC">
        <w:rPr>
          <w:szCs w:val="24"/>
        </w:rPr>
        <w:t xml:space="preserve">ont </w:t>
      </w:r>
      <w:r w:rsidR="000661CC" w:rsidRPr="00D870AC">
        <w:rPr>
          <w:szCs w:val="24"/>
        </w:rPr>
        <w:t>exprimé leur inquiétude quant à l'</w:t>
      </w:r>
      <w:r w:rsidR="00526897" w:rsidRPr="00D870AC">
        <w:rPr>
          <w:szCs w:val="24"/>
        </w:rPr>
        <w:t xml:space="preserve">identification </w:t>
      </w:r>
      <w:r w:rsidR="000661CC" w:rsidRPr="00D870AC">
        <w:rPr>
          <w:szCs w:val="24"/>
        </w:rPr>
        <w:t>des bandes de</w:t>
      </w:r>
      <w:r w:rsidR="00526897" w:rsidRPr="00D870AC">
        <w:rPr>
          <w:szCs w:val="24"/>
        </w:rPr>
        <w:t xml:space="preserve"> fr</w:t>
      </w:r>
      <w:r w:rsidR="000661CC" w:rsidRPr="00D870AC">
        <w:rPr>
          <w:szCs w:val="24"/>
        </w:rPr>
        <w:t>é</w:t>
      </w:r>
      <w:r w:rsidR="00526897" w:rsidRPr="00D870AC">
        <w:rPr>
          <w:szCs w:val="24"/>
        </w:rPr>
        <w:t>quenc</w:t>
      </w:r>
      <w:r w:rsidR="000661CC" w:rsidRPr="00D870AC">
        <w:rPr>
          <w:szCs w:val="24"/>
        </w:rPr>
        <w:t>e</w:t>
      </w:r>
      <w:r w:rsidR="00526897" w:rsidRPr="00D870AC">
        <w:rPr>
          <w:szCs w:val="24"/>
        </w:rPr>
        <w:t xml:space="preserve"> </w:t>
      </w:r>
      <w:r w:rsidR="000661CC" w:rsidRPr="00D870AC">
        <w:rPr>
          <w:szCs w:val="24"/>
        </w:rPr>
        <w:t>à mettre à l'étude;</w:t>
      </w:r>
      <w:r w:rsidR="00526897" w:rsidRPr="00D870AC">
        <w:rPr>
          <w:szCs w:val="24"/>
        </w:rPr>
        <w:t xml:space="preserve"> </w:t>
      </w:r>
      <w:r w:rsidR="000661CC" w:rsidRPr="00D870AC">
        <w:rPr>
          <w:szCs w:val="24"/>
        </w:rPr>
        <w:t>toutes se sont cependant accordées pour reconnaître l'</w:t>
      </w:r>
      <w:r w:rsidR="00526897" w:rsidRPr="00D870AC">
        <w:rPr>
          <w:szCs w:val="24"/>
        </w:rPr>
        <w:t xml:space="preserve">importance </w:t>
      </w:r>
      <w:r w:rsidR="000661CC" w:rsidRPr="00D870AC">
        <w:rPr>
          <w:szCs w:val="24"/>
        </w:rPr>
        <w:t xml:space="preserve">de la procédure de </w:t>
      </w:r>
      <w:r w:rsidR="00526897" w:rsidRPr="00D870AC">
        <w:rPr>
          <w:szCs w:val="24"/>
        </w:rPr>
        <w:t xml:space="preserve">consultation </w:t>
      </w:r>
      <w:r w:rsidR="00F65127" w:rsidRPr="00D870AC">
        <w:rPr>
          <w:szCs w:val="24"/>
        </w:rPr>
        <w:t>entre</w:t>
      </w:r>
      <w:r w:rsidR="000661CC" w:rsidRPr="00D870AC">
        <w:rPr>
          <w:szCs w:val="24"/>
        </w:rPr>
        <w:t xml:space="preserve"> chefs des groupes régionaux</w:t>
      </w:r>
      <w:r w:rsidR="00526897" w:rsidRPr="00D870AC">
        <w:rPr>
          <w:szCs w:val="24"/>
        </w:rPr>
        <w:t xml:space="preserve">, </w:t>
      </w:r>
      <w:r w:rsidR="00F65127" w:rsidRPr="00D870AC">
        <w:rPr>
          <w:szCs w:val="24"/>
        </w:rPr>
        <w:t>qui a conduit cinq des six</w:t>
      </w:r>
      <w:r w:rsidR="00526897" w:rsidRPr="00D870AC">
        <w:rPr>
          <w:szCs w:val="24"/>
        </w:rPr>
        <w:t xml:space="preserve"> group</w:t>
      </w:r>
      <w:r w:rsidR="00F65127" w:rsidRPr="00D870AC">
        <w:rPr>
          <w:szCs w:val="24"/>
        </w:rPr>
        <w:t>e</w:t>
      </w:r>
      <w:r w:rsidR="00526897" w:rsidRPr="00D870AC">
        <w:rPr>
          <w:szCs w:val="24"/>
        </w:rPr>
        <w:t>s</w:t>
      </w:r>
      <w:r w:rsidR="00F65127" w:rsidRPr="00D870AC">
        <w:rPr>
          <w:szCs w:val="24"/>
        </w:rPr>
        <w:t xml:space="preserve"> régionaux à</w:t>
      </w:r>
      <w:r w:rsidR="00526897" w:rsidRPr="00D870AC">
        <w:rPr>
          <w:szCs w:val="24"/>
        </w:rPr>
        <w:t xml:space="preserve"> confirm</w:t>
      </w:r>
      <w:r w:rsidR="00F65127" w:rsidRPr="00D870AC">
        <w:rPr>
          <w:szCs w:val="24"/>
        </w:rPr>
        <w:t>er leur accord au compromis trouvé</w:t>
      </w:r>
      <w:r w:rsidR="00526897" w:rsidRPr="00D870AC">
        <w:rPr>
          <w:szCs w:val="24"/>
        </w:rPr>
        <w:t>.</w:t>
      </w:r>
      <w:bookmarkEnd w:id="6"/>
      <w:r w:rsidR="00526897" w:rsidRPr="00D870AC">
        <w:rPr>
          <w:szCs w:val="24"/>
        </w:rPr>
        <w:t xml:space="preserve"> </w:t>
      </w:r>
      <w:r w:rsidR="00F65127" w:rsidRPr="00D870AC">
        <w:rPr>
          <w:szCs w:val="24"/>
        </w:rPr>
        <w:t xml:space="preserve">La commission </w:t>
      </w:r>
      <w:r w:rsidR="009C6A9D" w:rsidRPr="00D870AC">
        <w:rPr>
          <w:szCs w:val="24"/>
        </w:rPr>
        <w:t>prévoit</w:t>
      </w:r>
      <w:r w:rsidR="00F65127" w:rsidRPr="00D870AC">
        <w:rPr>
          <w:szCs w:val="24"/>
        </w:rPr>
        <w:t xml:space="preserve"> de mettre la dernière main au texte avec les chefs des groupes régionaux aussitôt après la séance plénière en cours.</w:t>
      </w:r>
    </w:p>
    <w:p w14:paraId="177909A4" w14:textId="02C20C97" w:rsidR="00AC082C" w:rsidRPr="00D870AC" w:rsidRDefault="00AC082C" w:rsidP="000921EB">
      <w:r w:rsidRPr="00D870AC">
        <w:t>1.9</w:t>
      </w:r>
      <w:r w:rsidRPr="00D870AC">
        <w:tab/>
        <w:t xml:space="preserve">Il est </w:t>
      </w:r>
      <w:r w:rsidRPr="00D870AC">
        <w:rPr>
          <w:b/>
          <w:bCs/>
        </w:rPr>
        <w:t>pris note</w:t>
      </w:r>
      <w:r w:rsidRPr="00D870AC">
        <w:t xml:space="preserve"> du rapport verbal </w:t>
      </w:r>
      <w:r w:rsidR="00F65127" w:rsidRPr="00D870AC">
        <w:t>du</w:t>
      </w:r>
      <w:r w:rsidRPr="00D870AC">
        <w:t xml:space="preserve"> Président de la Commission 6.</w:t>
      </w:r>
    </w:p>
    <w:p w14:paraId="6BEABCD1" w14:textId="5DE30524" w:rsidR="00AC082C" w:rsidRPr="00D870AC" w:rsidRDefault="00AC082C" w:rsidP="000921EB">
      <w:r w:rsidRPr="00D870AC">
        <w:t>1.10</w:t>
      </w:r>
      <w:r w:rsidRPr="00D870AC">
        <w:tab/>
      </w:r>
      <w:r w:rsidR="00F65127" w:rsidRPr="00D870AC">
        <w:t xml:space="preserve">Le </w:t>
      </w:r>
      <w:r w:rsidR="00F65127" w:rsidRPr="00D870AC">
        <w:rPr>
          <w:b/>
          <w:bCs/>
        </w:rPr>
        <w:t>Président de la Commission 7</w:t>
      </w:r>
      <w:r w:rsidR="00F65127" w:rsidRPr="00D870AC">
        <w:t xml:space="preserve"> déclare que la commission soumet trois séries de textes en première lecture à la séance plénière en cours.</w:t>
      </w:r>
    </w:p>
    <w:p w14:paraId="0504F845" w14:textId="22BE775B" w:rsidR="00AC082C" w:rsidRPr="00D870AC" w:rsidRDefault="00AC082C" w:rsidP="000921EB">
      <w:r w:rsidRPr="00D870AC">
        <w:t>1.11</w:t>
      </w:r>
      <w:r w:rsidRPr="00D870AC">
        <w:tab/>
        <w:t xml:space="preserve">Il est </w:t>
      </w:r>
      <w:r w:rsidRPr="00D870AC">
        <w:rPr>
          <w:b/>
          <w:bCs/>
        </w:rPr>
        <w:t>pris note</w:t>
      </w:r>
      <w:r w:rsidRPr="00D870AC">
        <w:t xml:space="preserve"> du rapport verbal </w:t>
      </w:r>
      <w:r w:rsidR="00F65127" w:rsidRPr="00D870AC">
        <w:t>du</w:t>
      </w:r>
      <w:r w:rsidRPr="00D870AC">
        <w:t xml:space="preserve"> Président de la Commission 7.</w:t>
      </w:r>
    </w:p>
    <w:p w14:paraId="1F587999" w14:textId="69A7E072" w:rsidR="00AC082C" w:rsidRPr="00D870AC" w:rsidRDefault="00AC082C" w:rsidP="000921EB">
      <w:pPr>
        <w:pStyle w:val="Heading1"/>
        <w:rPr>
          <w:szCs w:val="28"/>
        </w:rPr>
      </w:pPr>
      <w:r w:rsidRPr="00D870AC">
        <w:t>2</w:t>
      </w:r>
      <w:r w:rsidRPr="00D870AC">
        <w:tab/>
        <w:t xml:space="preserve">Troisième rapport de la Commission 6 à la plénière </w:t>
      </w:r>
      <w:r w:rsidRPr="00D870AC">
        <w:rPr>
          <w:szCs w:val="28"/>
        </w:rPr>
        <w:t>(Document 478)</w:t>
      </w:r>
    </w:p>
    <w:p w14:paraId="73C8619E" w14:textId="02838B3D" w:rsidR="00AC082C" w:rsidRPr="00D870AC" w:rsidRDefault="00AC082C" w:rsidP="000921EB">
      <w:r w:rsidRPr="00D870AC">
        <w:t>2.1</w:t>
      </w:r>
      <w:r w:rsidRPr="00D870AC">
        <w:tab/>
      </w:r>
      <w:r w:rsidR="00F65127" w:rsidRPr="00D870AC">
        <w:t xml:space="preserve">Le </w:t>
      </w:r>
      <w:r w:rsidR="00F65127" w:rsidRPr="00D870AC">
        <w:rPr>
          <w:b/>
          <w:bCs/>
        </w:rPr>
        <w:t>Président de la Commission 6</w:t>
      </w:r>
      <w:r w:rsidR="00F65127" w:rsidRPr="00D870AC">
        <w:t xml:space="preserve"> présente le Document 478 </w:t>
      </w:r>
      <w:r w:rsidR="00E45E8B" w:rsidRPr="00D870AC">
        <w:t>qui</w:t>
      </w:r>
      <w:r w:rsidR="000C52E0" w:rsidRPr="00D870AC">
        <w:t xml:space="preserve"> contient</w:t>
      </w:r>
      <w:r w:rsidR="00F65127" w:rsidRPr="00D870AC">
        <w:t xml:space="preserve">, en vertu de l'approbation par la </w:t>
      </w:r>
      <w:r w:rsidR="000921EB" w:rsidRPr="00D870AC">
        <w:t>c</w:t>
      </w:r>
      <w:r w:rsidR="00F65127" w:rsidRPr="00D870AC">
        <w:t xml:space="preserve">onférence du Document 272, la liste des </w:t>
      </w:r>
      <w:r w:rsidR="000921EB" w:rsidRPr="00D870AC">
        <w:t>r</w:t>
      </w:r>
      <w:r w:rsidR="00F65127" w:rsidRPr="00D870AC">
        <w:t xml:space="preserve">ecommandations de l'UIT-R destinées à être incorporées </w:t>
      </w:r>
      <w:r w:rsidR="000C52E0" w:rsidRPr="00D870AC">
        <w:t xml:space="preserve">par référence dans le Volume 4 de la prochaine édition du Règlement des radiocommunications. Cette liste est le fruit de l'examen par la commission des </w:t>
      </w:r>
      <w:r w:rsidR="000921EB" w:rsidRPr="00D870AC">
        <w:t>r</w:t>
      </w:r>
      <w:r w:rsidR="000C52E0" w:rsidRPr="00D870AC">
        <w:t xml:space="preserve">ecommandations incorporées par référence qui ont été révisées depuis la CMR-19, et des conclusions des Commissions 4 et 5 </w:t>
      </w:r>
      <w:r w:rsidR="00E45E8B" w:rsidRPr="00D870AC">
        <w:t>quant à</w:t>
      </w:r>
      <w:r w:rsidR="000C52E0" w:rsidRPr="00D870AC">
        <w:t xml:space="preserve"> la nécessité de modifier la liste.</w:t>
      </w:r>
    </w:p>
    <w:p w14:paraId="2516D212" w14:textId="040172BA" w:rsidR="00AC082C" w:rsidRPr="00D870AC" w:rsidRDefault="00AC082C" w:rsidP="000921EB">
      <w:r w:rsidRPr="00D870AC">
        <w:lastRenderedPageBreak/>
        <w:t>2.2</w:t>
      </w:r>
      <w:r w:rsidRPr="00D870AC">
        <w:tab/>
      </w:r>
      <w:r w:rsidR="000C52E0" w:rsidRPr="00D870AC">
        <w:t xml:space="preserve">La plénière est invitée à examiner et à approuver les conclusions de la Commission 6, et à parachever la liste des </w:t>
      </w:r>
      <w:r w:rsidR="000921EB" w:rsidRPr="00D870AC">
        <w:t>r</w:t>
      </w:r>
      <w:r w:rsidR="000C52E0" w:rsidRPr="00D870AC">
        <w:t xml:space="preserve">ecommandations de l'UIT-R </w:t>
      </w:r>
      <w:r w:rsidR="00562005" w:rsidRPr="00D870AC">
        <w:t>destinées à être</w:t>
      </w:r>
      <w:r w:rsidR="000C52E0" w:rsidRPr="00D870AC">
        <w:t xml:space="preserve"> incorpor</w:t>
      </w:r>
      <w:r w:rsidR="00562005" w:rsidRPr="00D870AC">
        <w:t>é</w:t>
      </w:r>
      <w:r w:rsidR="000C52E0" w:rsidRPr="00D870AC">
        <w:t>e</w:t>
      </w:r>
      <w:r w:rsidR="00562005" w:rsidRPr="00D870AC">
        <w:t>s</w:t>
      </w:r>
      <w:r w:rsidR="000C52E0" w:rsidRPr="00D870AC">
        <w:t xml:space="preserve"> par référence dans le Volume 4 de la prochaine édition du Règlement des radiocommunications</w:t>
      </w:r>
      <w:r w:rsidR="007663DA" w:rsidRPr="00D870AC">
        <w:t xml:space="preserve">, sur la base </w:t>
      </w:r>
      <w:r w:rsidR="00562005" w:rsidRPr="00D870AC">
        <w:t xml:space="preserve">des éventuelles décisions pertinentes </w:t>
      </w:r>
      <w:r w:rsidR="009C6A9D" w:rsidRPr="00D870AC">
        <w:t xml:space="preserve">qui seront </w:t>
      </w:r>
      <w:r w:rsidR="00562005" w:rsidRPr="00D870AC">
        <w:t xml:space="preserve">prises par la </w:t>
      </w:r>
      <w:r w:rsidR="000921EB" w:rsidRPr="00D870AC">
        <w:t>c</w:t>
      </w:r>
      <w:r w:rsidR="00562005" w:rsidRPr="00D870AC">
        <w:t>onférence.</w:t>
      </w:r>
    </w:p>
    <w:p w14:paraId="1904F9E3" w14:textId="7271630A" w:rsidR="000C0F6C" w:rsidRPr="00D870AC" w:rsidRDefault="000C0F6C" w:rsidP="000921EB">
      <w:r w:rsidRPr="00D870AC">
        <w:t>2.3</w:t>
      </w:r>
      <w:r w:rsidRPr="00D870AC">
        <w:tab/>
      </w:r>
      <w:r w:rsidR="00F3236C" w:rsidRPr="00D870AC">
        <w:t xml:space="preserve">Il en est ainsi </w:t>
      </w:r>
      <w:r w:rsidR="00F3236C" w:rsidRPr="00D870AC">
        <w:rPr>
          <w:b/>
          <w:bCs/>
        </w:rPr>
        <w:t>décidé</w:t>
      </w:r>
      <w:r w:rsidR="00F3236C" w:rsidRPr="00D870AC">
        <w:t xml:space="preserve">, et le Document 478 est </w:t>
      </w:r>
      <w:r w:rsidR="00F3236C" w:rsidRPr="00D870AC">
        <w:rPr>
          <w:b/>
          <w:bCs/>
        </w:rPr>
        <w:t>approuvé</w:t>
      </w:r>
      <w:r w:rsidR="00F3236C" w:rsidRPr="00D870AC">
        <w:t>.</w:t>
      </w:r>
    </w:p>
    <w:p w14:paraId="7E7C03B0" w14:textId="3BF794BD" w:rsidR="00AC082C" w:rsidRPr="00D870AC" w:rsidRDefault="00AC082C" w:rsidP="000921EB">
      <w:pPr>
        <w:pStyle w:val="Heading1"/>
        <w:rPr>
          <w:bCs/>
          <w:szCs w:val="28"/>
        </w:rPr>
      </w:pPr>
      <w:r w:rsidRPr="00D870AC">
        <w:t>3</w:t>
      </w:r>
      <w:r w:rsidRPr="00D870AC">
        <w:tab/>
        <w:t xml:space="preserve">Troisième rapport de la Commission 5 à la plénière </w:t>
      </w:r>
      <w:r w:rsidRPr="00D870AC">
        <w:rPr>
          <w:bCs/>
          <w:szCs w:val="28"/>
        </w:rPr>
        <w:t>(Document 485)</w:t>
      </w:r>
    </w:p>
    <w:p w14:paraId="3F62C83D" w14:textId="50418B35" w:rsidR="00AC082C" w:rsidRPr="00D870AC" w:rsidRDefault="00AC082C" w:rsidP="000921EB">
      <w:r w:rsidRPr="00D870AC">
        <w:t>3.1</w:t>
      </w:r>
      <w:r w:rsidRPr="00D870AC">
        <w:tab/>
      </w:r>
      <w:r w:rsidR="00E45E8B" w:rsidRPr="00D870AC">
        <w:t>S'exprimant au nom de la Présidente de la commission en l'absence de cette dernière, l</w:t>
      </w:r>
      <w:r w:rsidR="00F3236C" w:rsidRPr="00D870AC">
        <w:t xml:space="preserve">e </w:t>
      </w:r>
      <w:r w:rsidR="00F3236C" w:rsidRPr="00D870AC">
        <w:rPr>
          <w:b/>
          <w:bCs/>
        </w:rPr>
        <w:t>Vice-Président de la Commission 5</w:t>
      </w:r>
      <w:r w:rsidR="007C4FF0" w:rsidRPr="00D870AC">
        <w:t xml:space="preserve"> présente le Document 485, qui invite les participants à la plénière à examiner et à approuver le texte suivant à inclure dans le procès-verbal de la plénière:</w:t>
      </w:r>
    </w:p>
    <w:p w14:paraId="47CDA768" w14:textId="77777777" w:rsidR="00AC082C" w:rsidRPr="00D870AC" w:rsidRDefault="00AC082C" w:rsidP="000921EB">
      <w:pPr>
        <w:pStyle w:val="Headingb"/>
      </w:pPr>
      <w:r w:rsidRPr="00D870AC">
        <w:t>«Demande de la Chine visant à maintenir les assignations de fréquence du réseau CHINASAT</w:t>
      </w:r>
      <w:r w:rsidRPr="00D870AC">
        <w:noBreakHyphen/>
        <w:t>D-163E dans le Fichier de référence international des fréquences</w:t>
      </w:r>
    </w:p>
    <w:p w14:paraId="7DBD2984" w14:textId="379C0F9B" w:rsidR="00AC082C" w:rsidRPr="00D870AC" w:rsidRDefault="00AC082C" w:rsidP="000921EB">
      <w:r w:rsidRPr="00D870AC">
        <w:t>La CMR-23 a reçu une demande de la Chine visant à maintenir certaines assignations de fréquence précises du réseau à satellite CHINASAT-D-163E dans le Fichier de référence international des fréquences. Les renseignements sur ce cas ont été étudiés par le Comité du Règlement des radiocommunications (Comité) à sa 88ème réunion et, d'après les renseignements fournis, le Comité a considéré que le Bureau avait agi correctement lors de l'application des numéros </w:t>
      </w:r>
      <w:r w:rsidRPr="00D870AC">
        <w:rPr>
          <w:b/>
          <w:bCs/>
        </w:rPr>
        <w:t>11.44</w:t>
      </w:r>
      <w:r w:rsidRPr="00D870AC">
        <w:t xml:space="preserve">, </w:t>
      </w:r>
      <w:r w:rsidRPr="00D870AC">
        <w:rPr>
          <w:b/>
          <w:bCs/>
        </w:rPr>
        <w:t>11.44B</w:t>
      </w:r>
      <w:r w:rsidRPr="00D870AC">
        <w:t xml:space="preserve"> et </w:t>
      </w:r>
      <w:r w:rsidRPr="00D870AC">
        <w:rPr>
          <w:b/>
          <w:bCs/>
        </w:rPr>
        <w:t>11.44B.2</w:t>
      </w:r>
      <w:r w:rsidRPr="00D870AC">
        <w:t xml:space="preserve"> du RR, que l'Administration chinoise n'avait pas agi conformément au numéro </w:t>
      </w:r>
      <w:r w:rsidRPr="00D870AC">
        <w:rPr>
          <w:b/>
          <w:bCs/>
        </w:rPr>
        <w:t>11.44B.2</w:t>
      </w:r>
      <w:r w:rsidRPr="00D870AC">
        <w:t xml:space="preserve"> du RR et que le rétablissement d'assignations de fréquence qui n'étaient pas conformes au numéro </w:t>
      </w:r>
      <w:r w:rsidRPr="00D870AC">
        <w:rPr>
          <w:b/>
          <w:bCs/>
        </w:rPr>
        <w:t>11.44B.2</w:t>
      </w:r>
      <w:r w:rsidRPr="00D870AC">
        <w:t xml:space="preserve"> du RR serait contraire à la décision de la CMR-15 et aux dispositions du Règlement des radiocommunications. </w:t>
      </w:r>
      <w:r w:rsidRPr="00D870AC">
        <w:rPr>
          <w:rFonts w:eastAsia="SimSun"/>
        </w:rPr>
        <w:t>En conséquence, le Comité a conclu qu'il ne pouvait accéder à la demande de l'Administration chinoise et a chargé le Bureau de supprimer du Fichier de référence international des fréquences les assignations de fréquence du réseau à satellite CHINASAT-D-163E, à l'exception des assignations de fréquence du réseau à satellite CHINASAT</w:t>
      </w:r>
      <w:r w:rsidRPr="00D870AC">
        <w:rPr>
          <w:rFonts w:eastAsia="SimSun"/>
        </w:rPr>
        <w:noBreakHyphen/>
        <w:t>D-163E dans les bandes de fréquences 3 400</w:t>
      </w:r>
      <w:r w:rsidRPr="00D870AC">
        <w:rPr>
          <w:rFonts w:eastAsia="SimSun"/>
        </w:rPr>
        <w:noBreakHyphen/>
        <w:t>4 200 MHz, 5 850-6 725 MHz, 12,250-12,750 GHz et 14,000-14,500 GHz, pour lesquelles la suppression ne devrait pas être effectuée avant la fin de la CMR-23.</w:t>
      </w:r>
      <w:r w:rsidRPr="00D870AC">
        <w:t>»</w:t>
      </w:r>
    </w:p>
    <w:p w14:paraId="03CD2E6C" w14:textId="56686567" w:rsidR="00AC082C" w:rsidRPr="00D870AC" w:rsidRDefault="00AC082C" w:rsidP="000921EB">
      <w:r w:rsidRPr="00D870AC">
        <w:t>3.2</w:t>
      </w:r>
      <w:r w:rsidRPr="00D870AC">
        <w:tab/>
      </w:r>
      <w:r w:rsidR="007C4FF0" w:rsidRPr="00D870AC">
        <w:t xml:space="preserve">Le Document 485 </w:t>
      </w:r>
      <w:r w:rsidR="00E45E8B" w:rsidRPr="00D870AC">
        <w:t>est</w:t>
      </w:r>
      <w:r w:rsidR="007C4FF0" w:rsidRPr="00D870AC">
        <w:t xml:space="preserve"> </w:t>
      </w:r>
      <w:r w:rsidR="007C4FF0" w:rsidRPr="00D870AC">
        <w:rPr>
          <w:b/>
          <w:bCs/>
        </w:rPr>
        <w:t>approuvé</w:t>
      </w:r>
      <w:r w:rsidR="007C4FF0" w:rsidRPr="00D870AC">
        <w:t>.</w:t>
      </w:r>
    </w:p>
    <w:p w14:paraId="11D7DAE4" w14:textId="39044E85" w:rsidR="00AC082C" w:rsidRPr="00D870AC" w:rsidRDefault="00AC082C" w:rsidP="000921EB">
      <w:pPr>
        <w:pStyle w:val="Heading1"/>
        <w:rPr>
          <w:bCs/>
          <w:szCs w:val="28"/>
        </w:rPr>
      </w:pPr>
      <w:r w:rsidRPr="00D870AC">
        <w:t>4</w:t>
      </w:r>
      <w:r w:rsidRPr="00D870AC">
        <w:tab/>
        <w:t xml:space="preserve">Trente-cinquième série de textes soumis par la Commission de rédaction à la séance plénière en première lecture (B35) </w:t>
      </w:r>
      <w:r w:rsidRPr="00D870AC">
        <w:rPr>
          <w:bCs/>
          <w:szCs w:val="28"/>
        </w:rPr>
        <w:t>(Document 457)</w:t>
      </w:r>
    </w:p>
    <w:p w14:paraId="7A9149D9" w14:textId="4C7189B4" w:rsidR="00AC082C" w:rsidRPr="00D870AC" w:rsidRDefault="00AC082C" w:rsidP="000921EB">
      <w:r w:rsidRPr="00D870AC">
        <w:t>4.1</w:t>
      </w:r>
      <w:r w:rsidRPr="00D870AC">
        <w:tab/>
        <w:t xml:space="preserve">Le </w:t>
      </w:r>
      <w:r w:rsidRPr="00D870AC">
        <w:rPr>
          <w:b/>
          <w:bCs/>
        </w:rPr>
        <w:t>Président de la Commission de rédaction</w:t>
      </w:r>
      <w:r w:rsidRPr="00D870AC">
        <w:t xml:space="preserve"> présente le Document 457.</w:t>
      </w:r>
    </w:p>
    <w:p w14:paraId="08FFECD4" w14:textId="5DC1ABC5" w:rsidR="00AC082C" w:rsidRPr="00D870AC" w:rsidRDefault="00AC082C" w:rsidP="000921EB">
      <w:r w:rsidRPr="00D870AC">
        <w:t>4.2</w:t>
      </w:r>
      <w:r w:rsidRPr="00D870AC">
        <w:tab/>
      </w:r>
      <w:r w:rsidR="007C4FF0" w:rsidRPr="00D870AC">
        <w:t xml:space="preserve">Le </w:t>
      </w:r>
      <w:r w:rsidR="007C4FF0" w:rsidRPr="00D870AC">
        <w:rPr>
          <w:b/>
          <w:bCs/>
        </w:rPr>
        <w:t>délégué de la Fédération de Russie</w:t>
      </w:r>
      <w:r w:rsidR="007C4FF0" w:rsidRPr="00D870AC">
        <w:t xml:space="preserve"> ayant attiré l'attention sur une divergence dans la version russe de la Résolution COM5/4, le </w:t>
      </w:r>
      <w:r w:rsidR="007C4FF0" w:rsidRPr="00D870AC">
        <w:rPr>
          <w:b/>
          <w:bCs/>
        </w:rPr>
        <w:t>Président</w:t>
      </w:r>
      <w:r w:rsidR="007C4FF0" w:rsidRPr="00D870AC">
        <w:t xml:space="preserve"> propose de renvoyer le Document 457 </w:t>
      </w:r>
      <w:r w:rsidR="007E7973" w:rsidRPr="00D870AC">
        <w:t>à la</w:t>
      </w:r>
      <w:r w:rsidR="007C4FF0" w:rsidRPr="00D870AC">
        <w:t xml:space="preserve"> Com</w:t>
      </w:r>
      <w:r w:rsidR="007E7973" w:rsidRPr="00D870AC">
        <w:t>mission</w:t>
      </w:r>
      <w:r w:rsidR="007C4FF0" w:rsidRPr="00D870AC">
        <w:t xml:space="preserve"> de rédaction en vue de le vérifier et de le soumettre de nouveau.</w:t>
      </w:r>
    </w:p>
    <w:p w14:paraId="7A6CB5B6" w14:textId="72CD98E4" w:rsidR="00AC082C" w:rsidRPr="00D870AC" w:rsidRDefault="00AC082C" w:rsidP="000921EB">
      <w:r w:rsidRPr="00D870AC">
        <w:t>4.3</w:t>
      </w:r>
      <w:r w:rsidRPr="00D870AC">
        <w:tab/>
        <w:t xml:space="preserve">Il en est ainsi </w:t>
      </w:r>
      <w:r w:rsidRPr="00D870AC">
        <w:rPr>
          <w:b/>
          <w:bCs/>
        </w:rPr>
        <w:t>décidé</w:t>
      </w:r>
      <w:r w:rsidRPr="00D870AC">
        <w:t>.</w:t>
      </w:r>
    </w:p>
    <w:p w14:paraId="1974EE0D" w14:textId="020CD110" w:rsidR="00AC082C" w:rsidRPr="00D870AC" w:rsidRDefault="00AC082C" w:rsidP="000921EB">
      <w:pPr>
        <w:pStyle w:val="Heading1"/>
        <w:rPr>
          <w:bCs/>
          <w:szCs w:val="28"/>
        </w:rPr>
      </w:pPr>
      <w:r w:rsidRPr="00D870AC">
        <w:t>5</w:t>
      </w:r>
      <w:r w:rsidRPr="00D870AC">
        <w:tab/>
      </w:r>
      <w:r w:rsidR="007C4FF0" w:rsidRPr="00D870AC">
        <w:t>Quarante</w:t>
      </w:r>
      <w:r w:rsidRPr="00D870AC">
        <w:t xml:space="preserve">-cinquième série de textes soumis par la Commission de rédaction à la séance plénière en première lecture (B45) </w:t>
      </w:r>
      <w:r w:rsidRPr="00D870AC">
        <w:rPr>
          <w:bCs/>
          <w:szCs w:val="28"/>
        </w:rPr>
        <w:t>(Document 487)</w:t>
      </w:r>
    </w:p>
    <w:p w14:paraId="2637AD84" w14:textId="00B092F3" w:rsidR="00AC082C" w:rsidRPr="00D870AC" w:rsidRDefault="00AC082C" w:rsidP="000921EB">
      <w:r w:rsidRPr="00D870AC">
        <w:t>5.1</w:t>
      </w:r>
      <w:r w:rsidRPr="00D870AC">
        <w:tab/>
        <w:t xml:space="preserve">Le </w:t>
      </w:r>
      <w:r w:rsidRPr="00D870AC">
        <w:rPr>
          <w:b/>
          <w:bCs/>
        </w:rPr>
        <w:t>Président de la Commission de rédaction</w:t>
      </w:r>
      <w:r w:rsidRPr="00D870AC">
        <w:t xml:space="preserve"> présente le Document 487.</w:t>
      </w:r>
    </w:p>
    <w:p w14:paraId="1B9C1EB4" w14:textId="543E1DDB" w:rsidR="00AC082C" w:rsidRPr="00D870AC" w:rsidRDefault="00AC082C" w:rsidP="000921EB">
      <w:r w:rsidRPr="00D870AC">
        <w:t>5.2</w:t>
      </w:r>
      <w:r w:rsidRPr="00D870AC">
        <w:tab/>
        <w:t xml:space="preserve">Le </w:t>
      </w:r>
      <w:r w:rsidRPr="00D870AC">
        <w:rPr>
          <w:b/>
          <w:bCs/>
        </w:rPr>
        <w:t>Président</w:t>
      </w:r>
      <w:r w:rsidRPr="00D870AC">
        <w:t xml:space="preserve"> invite les participants à examiner le Document 487.</w:t>
      </w:r>
    </w:p>
    <w:p w14:paraId="06A56036" w14:textId="5114C196" w:rsidR="00AC082C" w:rsidRPr="00D870AC" w:rsidRDefault="00AC082C" w:rsidP="000921EB">
      <w:pPr>
        <w:pStyle w:val="Headingb"/>
      </w:pPr>
      <w:r w:rsidRPr="00D870AC">
        <w:lastRenderedPageBreak/>
        <w:t>MOD Résolution 76 (Rév.CMR-15)</w:t>
      </w:r>
    </w:p>
    <w:p w14:paraId="49806AEA" w14:textId="07C5400A" w:rsidR="00AC082C" w:rsidRPr="00D870AC" w:rsidRDefault="00AC082C" w:rsidP="000921EB">
      <w:r w:rsidRPr="00D870AC">
        <w:t>5.3</w:t>
      </w:r>
      <w:r w:rsidRPr="00D870AC">
        <w:tab/>
      </w:r>
      <w:r w:rsidRPr="00D870AC">
        <w:rPr>
          <w:b/>
          <w:bCs/>
        </w:rPr>
        <w:t>Approuvé</w:t>
      </w:r>
      <w:r w:rsidR="0023480A" w:rsidRPr="00D870AC">
        <w:rPr>
          <w:b/>
          <w:bCs/>
        </w:rPr>
        <w:t>e</w:t>
      </w:r>
      <w:r w:rsidRPr="00D870AC">
        <w:t>.</w:t>
      </w:r>
    </w:p>
    <w:p w14:paraId="435D15AF" w14:textId="2EBADD37" w:rsidR="00AC082C" w:rsidRPr="00D870AC" w:rsidRDefault="00AC082C" w:rsidP="000921EB">
      <w:r w:rsidRPr="00D870AC">
        <w:t>5.4</w:t>
      </w:r>
      <w:r w:rsidRPr="00D870AC">
        <w:tab/>
        <w:t xml:space="preserve">La quarante-cinquième série de textes soumis par la Commission de rédaction en première lecture (B45) (Document </w:t>
      </w:r>
      <w:r w:rsidR="001A60D3" w:rsidRPr="00D870AC">
        <w:t>487</w:t>
      </w:r>
      <w:r w:rsidRPr="00D870AC">
        <w:t xml:space="preserve">) est </w:t>
      </w:r>
      <w:r w:rsidRPr="00D870AC">
        <w:rPr>
          <w:b/>
          <w:bCs/>
        </w:rPr>
        <w:t>approuvée</w:t>
      </w:r>
      <w:r w:rsidRPr="00D870AC">
        <w:t>.</w:t>
      </w:r>
    </w:p>
    <w:p w14:paraId="1AE9B7EE" w14:textId="5B6B76D2" w:rsidR="001A60D3" w:rsidRPr="00D870AC" w:rsidRDefault="001A60D3" w:rsidP="000921EB">
      <w:pPr>
        <w:pStyle w:val="Heading1"/>
        <w:rPr>
          <w:bCs/>
          <w:szCs w:val="28"/>
        </w:rPr>
      </w:pPr>
      <w:r w:rsidRPr="00D870AC">
        <w:t>6</w:t>
      </w:r>
      <w:r w:rsidRPr="00D870AC">
        <w:tab/>
      </w:r>
      <w:r w:rsidR="007E7973" w:rsidRPr="00D870AC">
        <w:t>Quarante</w:t>
      </w:r>
      <w:r w:rsidRPr="00D870AC">
        <w:t>-cinquième série de textes soumis par la Commission de rédaction à la séance plénière – seconde lecture (B45)</w:t>
      </w:r>
      <w:r w:rsidRPr="00D870AC">
        <w:rPr>
          <w:bCs/>
          <w:szCs w:val="28"/>
        </w:rPr>
        <w:t xml:space="preserve"> (Document 487)</w:t>
      </w:r>
    </w:p>
    <w:p w14:paraId="10B60BDF" w14:textId="21DE00BC" w:rsidR="001A60D3" w:rsidRPr="00D870AC" w:rsidRDefault="001A60D3" w:rsidP="000921EB">
      <w:r w:rsidRPr="00D870AC">
        <w:t>6.1</w:t>
      </w:r>
      <w:r w:rsidRPr="00D870AC">
        <w:tab/>
        <w:t xml:space="preserve">La </w:t>
      </w:r>
      <w:r w:rsidR="007E7973" w:rsidRPr="00D870AC">
        <w:t>quarante</w:t>
      </w:r>
      <w:r w:rsidRPr="00D870AC">
        <w:t xml:space="preserve">-cinquième série de textes soumis par la Commission de rédaction (B45) (Document 487) est </w:t>
      </w:r>
      <w:r w:rsidRPr="00D870AC">
        <w:rPr>
          <w:b/>
          <w:bCs/>
        </w:rPr>
        <w:t>approuvée</w:t>
      </w:r>
      <w:r w:rsidRPr="00D870AC">
        <w:t xml:space="preserve"> en deuxième lecture.</w:t>
      </w:r>
    </w:p>
    <w:p w14:paraId="3582425C" w14:textId="1FA1C7FC" w:rsidR="001A60D3" w:rsidRPr="00D870AC" w:rsidRDefault="001A60D3" w:rsidP="000921EB">
      <w:pPr>
        <w:pStyle w:val="Heading1"/>
      </w:pPr>
      <w:r w:rsidRPr="00D870AC">
        <w:t>7</w:t>
      </w:r>
      <w:r w:rsidRPr="00D870AC">
        <w:tab/>
      </w:r>
      <w:r w:rsidR="007E7973" w:rsidRPr="00D870AC">
        <w:t>Quarante</w:t>
      </w:r>
      <w:r w:rsidRPr="00D870AC">
        <w:t>-sixième série de textes soumis par la Commission de rédaction à la séance plénière en première lecture (B46) (Document</w:t>
      </w:r>
      <w:r w:rsidR="001C5A0C" w:rsidRPr="00D870AC">
        <w:t> </w:t>
      </w:r>
      <w:r w:rsidRPr="00D870AC">
        <w:t>488)</w:t>
      </w:r>
    </w:p>
    <w:p w14:paraId="031FD803" w14:textId="25954016" w:rsidR="001A60D3" w:rsidRPr="00D870AC" w:rsidRDefault="001A60D3" w:rsidP="000921EB">
      <w:r w:rsidRPr="00D870AC">
        <w:t>7.1</w:t>
      </w:r>
      <w:r w:rsidRPr="00D870AC">
        <w:tab/>
      </w:r>
      <w:r w:rsidR="007E7973" w:rsidRPr="00D870AC">
        <w:t xml:space="preserve">Le </w:t>
      </w:r>
      <w:r w:rsidR="007E7973" w:rsidRPr="00D870AC">
        <w:rPr>
          <w:b/>
          <w:bCs/>
        </w:rPr>
        <w:t>Président de la Commission de rédaction</w:t>
      </w:r>
      <w:r w:rsidR="007E7973" w:rsidRPr="00D870AC">
        <w:t xml:space="preserve"> présente le Document 488, qui contient la version finale du renvoi 5.296A résultant des discussions supplémentaires menées par la Commission 6 à l'invitation de la huitième séance plénière.</w:t>
      </w:r>
    </w:p>
    <w:p w14:paraId="4B8D94F2" w14:textId="036FE703" w:rsidR="001A60D3" w:rsidRPr="00D870AC" w:rsidRDefault="001A60D3" w:rsidP="000921EB">
      <w:r w:rsidRPr="00D870AC">
        <w:t>7.2</w:t>
      </w:r>
      <w:r w:rsidRPr="00D870AC">
        <w:tab/>
        <w:t xml:space="preserve">Le </w:t>
      </w:r>
      <w:r w:rsidRPr="00D870AC">
        <w:rPr>
          <w:b/>
          <w:bCs/>
        </w:rPr>
        <w:t>Président</w:t>
      </w:r>
      <w:r w:rsidRPr="00D870AC">
        <w:t xml:space="preserve"> invite les participants à examiner le Document 488.</w:t>
      </w:r>
    </w:p>
    <w:p w14:paraId="31505F27" w14:textId="07B3951B" w:rsidR="001A60D3" w:rsidRPr="00D870AC" w:rsidRDefault="001A60D3" w:rsidP="000921EB">
      <w:pPr>
        <w:pStyle w:val="Headingb"/>
      </w:pPr>
      <w:r w:rsidRPr="00D870AC">
        <w:t>Article 5 (MOD 5.296A)</w:t>
      </w:r>
    </w:p>
    <w:p w14:paraId="36859957" w14:textId="1F41E26C" w:rsidR="001A60D3" w:rsidRPr="00D870AC" w:rsidRDefault="001A60D3" w:rsidP="000921EB">
      <w:r w:rsidRPr="00D870AC">
        <w:t>7.3</w:t>
      </w:r>
      <w:r w:rsidRPr="00D870AC">
        <w:tab/>
      </w:r>
      <w:r w:rsidRPr="00D870AC">
        <w:rPr>
          <w:b/>
          <w:bCs/>
        </w:rPr>
        <w:t>Approuvé</w:t>
      </w:r>
      <w:r w:rsidRPr="00D870AC">
        <w:t>.</w:t>
      </w:r>
    </w:p>
    <w:p w14:paraId="2427818A" w14:textId="39E60760" w:rsidR="001A60D3" w:rsidRPr="00D870AC" w:rsidRDefault="001A60D3" w:rsidP="000921EB">
      <w:r w:rsidRPr="00D870AC">
        <w:t>7.4</w:t>
      </w:r>
      <w:r w:rsidRPr="00D870AC">
        <w:tab/>
        <w:t xml:space="preserve">La </w:t>
      </w:r>
      <w:r w:rsidR="007E7973" w:rsidRPr="00D870AC">
        <w:t>quarante-sixième</w:t>
      </w:r>
      <w:r w:rsidRPr="00D870AC">
        <w:t xml:space="preserve"> série de textes soumis par la Commission de rédaction en première</w:t>
      </w:r>
      <w:r w:rsidR="001C5A0C" w:rsidRPr="00D870AC">
        <w:t> </w:t>
      </w:r>
      <w:r w:rsidRPr="00D870AC">
        <w:t xml:space="preserve">lecture (B46) (Document 488) est </w:t>
      </w:r>
      <w:r w:rsidRPr="00D870AC">
        <w:rPr>
          <w:b/>
          <w:bCs/>
        </w:rPr>
        <w:t>approuvée</w:t>
      </w:r>
      <w:r w:rsidRPr="00D870AC">
        <w:t>.</w:t>
      </w:r>
    </w:p>
    <w:p w14:paraId="2153F5C5" w14:textId="082ADBD6" w:rsidR="001A60D3" w:rsidRPr="00D870AC" w:rsidRDefault="001A60D3" w:rsidP="000921EB">
      <w:pPr>
        <w:pStyle w:val="Heading1"/>
      </w:pPr>
      <w:r w:rsidRPr="00D870AC">
        <w:t>8</w:t>
      </w:r>
      <w:r w:rsidRPr="00D870AC">
        <w:tab/>
      </w:r>
      <w:r w:rsidR="007E7973" w:rsidRPr="00D870AC">
        <w:t>Quarante</w:t>
      </w:r>
      <w:r w:rsidRPr="00D870AC">
        <w:t>-sixième série de textes soumis par la Commission de rédaction à la séance plénière – seconde lecture (B46) (Document 488)</w:t>
      </w:r>
    </w:p>
    <w:p w14:paraId="0F271677" w14:textId="13F8509D" w:rsidR="001A60D3" w:rsidRPr="00D870AC" w:rsidRDefault="001A60D3" w:rsidP="000921EB">
      <w:r w:rsidRPr="00D870AC">
        <w:t>8.1</w:t>
      </w:r>
      <w:r w:rsidRPr="00D870AC">
        <w:tab/>
        <w:t xml:space="preserve">La </w:t>
      </w:r>
      <w:r w:rsidR="007E7973" w:rsidRPr="00D870AC">
        <w:t>quarante</w:t>
      </w:r>
      <w:r w:rsidRPr="00D870AC">
        <w:t xml:space="preserve">-sixième série de textes soumis par la Commission de rédaction (B46) (Document 488) est </w:t>
      </w:r>
      <w:r w:rsidRPr="00D870AC">
        <w:rPr>
          <w:b/>
          <w:bCs/>
        </w:rPr>
        <w:t>approuvée</w:t>
      </w:r>
      <w:r w:rsidRPr="00D870AC">
        <w:t xml:space="preserve"> en deuxième lecture.</w:t>
      </w:r>
    </w:p>
    <w:p w14:paraId="7C31E391" w14:textId="02677BD2" w:rsidR="001A60D3" w:rsidRPr="00D870AC" w:rsidRDefault="001A60D3" w:rsidP="000921EB">
      <w:pPr>
        <w:pStyle w:val="Heading1"/>
        <w:rPr>
          <w:szCs w:val="28"/>
        </w:rPr>
      </w:pPr>
      <w:r w:rsidRPr="00D870AC">
        <w:t>9</w:t>
      </w:r>
      <w:r w:rsidRPr="00D870AC">
        <w:tab/>
        <w:t xml:space="preserve">Derniers jours de la conférence </w:t>
      </w:r>
      <w:r w:rsidRPr="00D870AC">
        <w:rPr>
          <w:szCs w:val="28"/>
        </w:rPr>
        <w:t>(Document 435)</w:t>
      </w:r>
    </w:p>
    <w:p w14:paraId="34CB3B9F" w14:textId="3D98010E" w:rsidR="001A60D3" w:rsidRPr="00D870AC" w:rsidRDefault="001A60D3" w:rsidP="000921EB">
      <w:r w:rsidRPr="00D870AC">
        <w:t>9.1</w:t>
      </w:r>
      <w:r w:rsidRPr="00D870AC">
        <w:tab/>
      </w:r>
      <w:r w:rsidR="00F573CB" w:rsidRPr="00D870AC">
        <w:rPr>
          <w:szCs w:val="24"/>
        </w:rPr>
        <w:t xml:space="preserve">La </w:t>
      </w:r>
      <w:r w:rsidR="00F573CB" w:rsidRPr="00D870AC">
        <w:rPr>
          <w:b/>
          <w:bCs/>
          <w:szCs w:val="24"/>
        </w:rPr>
        <w:t>Secrétaire de la plénière</w:t>
      </w:r>
      <w:r w:rsidR="00F573CB" w:rsidRPr="00D870AC">
        <w:rPr>
          <w:szCs w:val="24"/>
        </w:rPr>
        <w:t xml:space="preserve"> présente le Document 435, </w:t>
      </w:r>
      <w:r w:rsidR="00F268D8" w:rsidRPr="00D870AC">
        <w:rPr>
          <w:szCs w:val="24"/>
        </w:rPr>
        <w:t xml:space="preserve">qui contient le calendrier des </w:t>
      </w:r>
      <w:r w:rsidR="00F86EE3" w:rsidRPr="00D870AC">
        <w:rPr>
          <w:szCs w:val="24"/>
        </w:rPr>
        <w:t xml:space="preserve">mesures </w:t>
      </w:r>
      <w:r w:rsidR="00F268D8" w:rsidRPr="00D870AC">
        <w:rPr>
          <w:szCs w:val="24"/>
        </w:rPr>
        <w:t>prévues après l'approbation des textes f</w:t>
      </w:r>
      <w:r w:rsidR="00F573CB" w:rsidRPr="00D870AC">
        <w:rPr>
          <w:szCs w:val="24"/>
        </w:rPr>
        <w:t>inal</w:t>
      </w:r>
      <w:r w:rsidR="00F268D8" w:rsidRPr="00D870AC">
        <w:rPr>
          <w:szCs w:val="24"/>
        </w:rPr>
        <w:t>s</w:t>
      </w:r>
      <w:r w:rsidR="00F573CB" w:rsidRPr="00D870AC">
        <w:rPr>
          <w:szCs w:val="24"/>
        </w:rPr>
        <w:t xml:space="preserve"> </w:t>
      </w:r>
      <w:r w:rsidR="00F268D8" w:rsidRPr="00D870AC">
        <w:rPr>
          <w:szCs w:val="24"/>
        </w:rPr>
        <w:t xml:space="preserve">en séance plénière, </w:t>
      </w:r>
      <w:r w:rsidR="00E45E8B" w:rsidRPr="00D870AC">
        <w:rPr>
          <w:szCs w:val="24"/>
        </w:rPr>
        <w:t>parmi lesquelles</w:t>
      </w:r>
      <w:r w:rsidR="00F268D8" w:rsidRPr="00D870AC">
        <w:rPr>
          <w:szCs w:val="24"/>
        </w:rPr>
        <w:t xml:space="preserve"> la pu</w:t>
      </w:r>
      <w:r w:rsidR="00F573CB" w:rsidRPr="00D870AC">
        <w:rPr>
          <w:szCs w:val="24"/>
        </w:rPr>
        <w:t xml:space="preserve">blication </w:t>
      </w:r>
      <w:r w:rsidR="00F268D8" w:rsidRPr="00D870AC">
        <w:rPr>
          <w:szCs w:val="24"/>
        </w:rPr>
        <w:t xml:space="preserve">des </w:t>
      </w:r>
      <w:r w:rsidR="00F573CB" w:rsidRPr="00D870AC">
        <w:rPr>
          <w:szCs w:val="24"/>
        </w:rPr>
        <w:t>act</w:t>
      </w:r>
      <w:r w:rsidR="00F268D8" w:rsidRPr="00D870AC">
        <w:rPr>
          <w:szCs w:val="24"/>
        </w:rPr>
        <w:t>e</w:t>
      </w:r>
      <w:r w:rsidR="00F573CB" w:rsidRPr="00D870AC">
        <w:rPr>
          <w:szCs w:val="24"/>
        </w:rPr>
        <w:t>s</w:t>
      </w:r>
      <w:r w:rsidR="00F268D8" w:rsidRPr="00D870AC">
        <w:rPr>
          <w:szCs w:val="24"/>
        </w:rPr>
        <w:t xml:space="preserve"> finals provisoires</w:t>
      </w:r>
      <w:r w:rsidR="00F573CB" w:rsidRPr="00D870AC">
        <w:rPr>
          <w:szCs w:val="24"/>
        </w:rPr>
        <w:t xml:space="preserve">, </w:t>
      </w:r>
      <w:r w:rsidR="00F268D8" w:rsidRPr="00D870AC">
        <w:rPr>
          <w:szCs w:val="24"/>
        </w:rPr>
        <w:t>le dépôt des dé</w:t>
      </w:r>
      <w:r w:rsidR="00F573CB" w:rsidRPr="00D870AC">
        <w:rPr>
          <w:szCs w:val="24"/>
        </w:rPr>
        <w:t xml:space="preserve">clarations </w:t>
      </w:r>
      <w:r w:rsidR="00F268D8" w:rsidRPr="00D870AC">
        <w:rPr>
          <w:szCs w:val="24"/>
        </w:rPr>
        <w:t>et des réserves relatives aux actes finals et la cérémonie de signature.</w:t>
      </w:r>
    </w:p>
    <w:p w14:paraId="22044A29" w14:textId="046C4FA7" w:rsidR="001A60D3" w:rsidRPr="00D870AC" w:rsidRDefault="001A60D3" w:rsidP="000921EB">
      <w:r w:rsidRPr="00D870AC">
        <w:t>9.2</w:t>
      </w:r>
      <w:r w:rsidRPr="00D870AC">
        <w:tab/>
      </w:r>
      <w:r w:rsidR="00F268D8" w:rsidRPr="00D870AC">
        <w:t xml:space="preserve">Il est </w:t>
      </w:r>
      <w:r w:rsidR="00F268D8" w:rsidRPr="00D870AC">
        <w:rPr>
          <w:b/>
          <w:bCs/>
        </w:rPr>
        <w:t>pris note</w:t>
      </w:r>
      <w:r w:rsidR="00F268D8" w:rsidRPr="00D870AC">
        <w:t xml:space="preserve"> du Document 435.</w:t>
      </w:r>
    </w:p>
    <w:p w14:paraId="1D51C680" w14:textId="7D7A536D" w:rsidR="001A60D3" w:rsidRPr="00D870AC" w:rsidRDefault="001A60D3" w:rsidP="000921EB">
      <w:r w:rsidRPr="00D870AC">
        <w:t>9.3</w:t>
      </w:r>
      <w:r w:rsidRPr="00D870AC">
        <w:tab/>
      </w:r>
      <w:bookmarkStart w:id="7" w:name="lt_pId134"/>
      <w:r w:rsidR="00FE0D1C" w:rsidRPr="00D870AC">
        <w:rPr>
          <w:szCs w:val="24"/>
        </w:rPr>
        <w:t>Les dernières heures de la conférence approchant,</w:t>
      </w:r>
      <w:r w:rsidR="00F268D8" w:rsidRPr="00D870AC">
        <w:rPr>
          <w:szCs w:val="24"/>
        </w:rPr>
        <w:t xml:space="preserve"> </w:t>
      </w:r>
      <w:r w:rsidR="00FE0D1C" w:rsidRPr="00D870AC">
        <w:rPr>
          <w:szCs w:val="24"/>
        </w:rPr>
        <w:t xml:space="preserve">le </w:t>
      </w:r>
      <w:r w:rsidR="00F268D8" w:rsidRPr="00D870AC">
        <w:rPr>
          <w:b/>
          <w:bCs/>
          <w:szCs w:val="24"/>
        </w:rPr>
        <w:t xml:space="preserve">Directeur du BR </w:t>
      </w:r>
      <w:r w:rsidR="00FE0D1C" w:rsidRPr="00D870AC">
        <w:rPr>
          <w:szCs w:val="24"/>
        </w:rPr>
        <w:t>invite les participants</w:t>
      </w:r>
      <w:r w:rsidR="00F268D8" w:rsidRPr="00D870AC">
        <w:rPr>
          <w:szCs w:val="24"/>
        </w:rPr>
        <w:t xml:space="preserve"> </w:t>
      </w:r>
      <w:r w:rsidR="00FE0D1C" w:rsidRPr="00D870AC">
        <w:rPr>
          <w:szCs w:val="24"/>
        </w:rPr>
        <w:t>aux délibérations en cours sur les points de l'ordre du jour en suspens à travailler dans l'esprit de compromis qui caractérise l'UIT,</w:t>
      </w:r>
      <w:r w:rsidR="00F268D8" w:rsidRPr="00D870AC">
        <w:rPr>
          <w:szCs w:val="24"/>
        </w:rPr>
        <w:t xml:space="preserve"> </w:t>
      </w:r>
      <w:r w:rsidR="00FE0D1C" w:rsidRPr="00D870AC">
        <w:rPr>
          <w:szCs w:val="24"/>
        </w:rPr>
        <w:t>et à s'abstenir de remettre en question en séance plénière les textes ayant fait l'objet d'un accord</w:t>
      </w:r>
      <w:bookmarkEnd w:id="7"/>
      <w:r w:rsidR="00FE0D1C" w:rsidRPr="00D870AC">
        <w:rPr>
          <w:szCs w:val="24"/>
        </w:rPr>
        <w:t>.</w:t>
      </w:r>
    </w:p>
    <w:p w14:paraId="46510B5C" w14:textId="48B5D2BA" w:rsidR="001A60D3" w:rsidRPr="00D870AC" w:rsidRDefault="001A60D3" w:rsidP="0023480A">
      <w:pPr>
        <w:keepNext/>
        <w:keepLines/>
      </w:pPr>
      <w:r w:rsidRPr="00D870AC">
        <w:lastRenderedPageBreak/>
        <w:t>9.4</w:t>
      </w:r>
      <w:r w:rsidRPr="00D870AC">
        <w:tab/>
      </w:r>
      <w:r w:rsidR="00FE0D1C" w:rsidRPr="00D870AC">
        <w:t xml:space="preserve">Le </w:t>
      </w:r>
      <w:r w:rsidR="00FE0D1C" w:rsidRPr="00D870AC">
        <w:rPr>
          <w:b/>
          <w:bCs/>
        </w:rPr>
        <w:t>Président</w:t>
      </w:r>
      <w:r w:rsidR="00FE0D1C" w:rsidRPr="00D870AC">
        <w:t xml:space="preserve"> fait sie</w:t>
      </w:r>
      <w:r w:rsidR="00693030" w:rsidRPr="00D870AC">
        <w:t>nne cette déclaration. Il rappelle aux groupes ad hoc que les Commissions 4 et 6 ont jusqu'au 13 décembre 2023 à 18 heures pour faire rapport à la plénière sur tous les points de l'ordre du jour en suspens, car tous les documents doivent être approuvés au plus tard à la mi-journée le 14 décembre 2023 afin que les actes finals puissent être traités. Il ne sera fait aucune exception à ce délai.</w:t>
      </w:r>
    </w:p>
    <w:p w14:paraId="27E0935F" w14:textId="66AFF0E3" w:rsidR="001A60D3" w:rsidRPr="00D870AC" w:rsidRDefault="001A60D3" w:rsidP="0023480A">
      <w:pPr>
        <w:keepNext/>
        <w:keepLines/>
        <w:rPr>
          <w:b/>
          <w:bCs/>
        </w:rPr>
      </w:pPr>
      <w:r w:rsidRPr="00D870AC">
        <w:rPr>
          <w:b/>
          <w:bCs/>
        </w:rPr>
        <w:t xml:space="preserve">La séance est levée à </w:t>
      </w:r>
      <w:r w:rsidR="0023480A" w:rsidRPr="00D870AC">
        <w:rPr>
          <w:b/>
          <w:bCs/>
        </w:rPr>
        <w:t>0</w:t>
      </w:r>
      <w:r w:rsidRPr="00D870AC">
        <w:rPr>
          <w:b/>
          <w:bCs/>
        </w:rPr>
        <w:t>9 h 40.</w:t>
      </w:r>
    </w:p>
    <w:p w14:paraId="789EF8DD" w14:textId="3AE69C1D" w:rsidR="001A60D3" w:rsidRPr="00D870AC" w:rsidRDefault="001A60D3" w:rsidP="0023480A">
      <w:pPr>
        <w:keepNext/>
        <w:keepLines/>
        <w:tabs>
          <w:tab w:val="clear" w:pos="1134"/>
          <w:tab w:val="clear" w:pos="1871"/>
          <w:tab w:val="clear" w:pos="2268"/>
          <w:tab w:val="left" w:pos="7088"/>
        </w:tabs>
        <w:spacing w:before="840" w:after="120"/>
      </w:pPr>
      <w:r w:rsidRPr="00D870AC">
        <w:t>La Secrétaire générale:</w:t>
      </w:r>
      <w:r w:rsidRPr="00D870AC">
        <w:tab/>
        <w:t>Le Président:</w:t>
      </w:r>
      <w:r w:rsidRPr="00D870AC">
        <w:br/>
        <w:t>D. BOGDAN-MARTIN</w:t>
      </w:r>
      <w:r w:rsidRPr="00D870AC">
        <w:tab/>
        <w:t>M. AL RAMSI</w:t>
      </w:r>
    </w:p>
    <w:sectPr w:rsidR="001A60D3" w:rsidRPr="00D870AC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1518" w14:textId="77777777" w:rsidR="00771AD6" w:rsidRDefault="00771AD6">
      <w:r>
        <w:separator/>
      </w:r>
    </w:p>
  </w:endnote>
  <w:endnote w:type="continuationSeparator" w:id="0">
    <w:p w14:paraId="7EB6B89C" w14:textId="77777777" w:rsidR="00771AD6" w:rsidRDefault="0077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8F7D" w14:textId="2C32955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870AC">
      <w:rPr>
        <w:noProof/>
        <w:lang w:val="en-US"/>
      </w:rPr>
      <w:t>P:\FRA\ITU-R\CONF-R\CMR23\DIV\061F.docx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1F54">
      <w:rPr>
        <w:noProof/>
      </w:rPr>
      <w:t>20.02.24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870AC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071" w14:textId="33C5A98B" w:rsidR="00936D25" w:rsidRDefault="006C1BF8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D4662">
      <w:rPr>
        <w:lang w:val="en-US"/>
      </w:rPr>
      <w:t>P:\FRA\ITU-R\CONF-R\CMR23\500\525F.docx</w:t>
    </w:r>
    <w:r>
      <w:fldChar w:fldCharType="end"/>
    </w:r>
    <w:r w:rsidRPr="000921EB">
      <w:rPr>
        <w:lang w:val="en-US"/>
      </w:rPr>
      <w:t xml:space="preserve"> (533</w:t>
    </w:r>
    <w:r w:rsidR="008D4662">
      <w:rPr>
        <w:lang w:val="en-US"/>
      </w:rPr>
      <w:t>280</w:t>
    </w:r>
    <w:r w:rsidRPr="000921EB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0C43" w14:textId="192DA2F5" w:rsidR="00936D25" w:rsidRDefault="00936D25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D4662">
      <w:rPr>
        <w:lang w:val="en-US"/>
      </w:rPr>
      <w:t>P:\FRA\ITU-R\CONF-R\CMR23\500\525F.docx</w:t>
    </w:r>
    <w:r>
      <w:fldChar w:fldCharType="end"/>
    </w:r>
    <w:r w:rsidR="0083226B" w:rsidRPr="00862C99">
      <w:rPr>
        <w:lang w:val="en-US"/>
      </w:rPr>
      <w:t xml:space="preserve"> (533</w:t>
    </w:r>
    <w:r w:rsidR="008D4662">
      <w:rPr>
        <w:lang w:val="en-US"/>
      </w:rPr>
      <w:t>280</w:t>
    </w:r>
    <w:r w:rsidR="0083226B" w:rsidRPr="00862C99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85A1" w14:textId="77777777" w:rsidR="00771AD6" w:rsidRDefault="00771AD6">
      <w:r>
        <w:rPr>
          <w:b/>
        </w:rPr>
        <w:t>_______________</w:t>
      </w:r>
    </w:p>
  </w:footnote>
  <w:footnote w:type="continuationSeparator" w:id="0">
    <w:p w14:paraId="1D0D523D" w14:textId="77777777" w:rsidR="00771AD6" w:rsidRDefault="0077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B4EB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E5E3D">
      <w:rPr>
        <w:noProof/>
      </w:rPr>
      <w:t>2</w:t>
    </w:r>
    <w:r>
      <w:fldChar w:fldCharType="end"/>
    </w:r>
  </w:p>
  <w:p w14:paraId="36924F5F" w14:textId="2BB5EDAB" w:rsidR="004F1F8E" w:rsidRDefault="00F372DE" w:rsidP="00587A4E">
    <w:pPr>
      <w:pStyle w:val="Header"/>
    </w:pPr>
    <w:r>
      <w:t>WRC</w:t>
    </w:r>
    <w:r w:rsidR="00CD3928">
      <w:t>23</w:t>
    </w:r>
    <w:r w:rsidR="004F1F8E">
      <w:t>/</w:t>
    </w:r>
    <w:r w:rsidR="006C1BF8">
      <w:t>525</w:t>
    </w:r>
    <w:r w:rsidR="004F1F8E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26220872">
    <w:abstractNumId w:val="0"/>
  </w:num>
  <w:num w:numId="2" w16cid:durableId="106630243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6"/>
    <w:rsid w:val="00016648"/>
    <w:rsid w:val="0003522F"/>
    <w:rsid w:val="00052D43"/>
    <w:rsid w:val="000661CC"/>
    <w:rsid w:val="00080E2C"/>
    <w:rsid w:val="0008707A"/>
    <w:rsid w:val="000921EB"/>
    <w:rsid w:val="000A4755"/>
    <w:rsid w:val="000B1F54"/>
    <w:rsid w:val="000B2E0C"/>
    <w:rsid w:val="000B3D0C"/>
    <w:rsid w:val="000C0F6C"/>
    <w:rsid w:val="000C52E0"/>
    <w:rsid w:val="001167B9"/>
    <w:rsid w:val="001267A0"/>
    <w:rsid w:val="00134655"/>
    <w:rsid w:val="00160C64"/>
    <w:rsid w:val="0019352B"/>
    <w:rsid w:val="001960D0"/>
    <w:rsid w:val="001A60D3"/>
    <w:rsid w:val="001B39D3"/>
    <w:rsid w:val="001C5A0C"/>
    <w:rsid w:val="00232FD2"/>
    <w:rsid w:val="0023480A"/>
    <w:rsid w:val="002A4622"/>
    <w:rsid w:val="002B17E5"/>
    <w:rsid w:val="002C0EBF"/>
    <w:rsid w:val="002C5FCD"/>
    <w:rsid w:val="00315AFE"/>
    <w:rsid w:val="003606A6"/>
    <w:rsid w:val="0036650C"/>
    <w:rsid w:val="003A583E"/>
    <w:rsid w:val="003D1D9A"/>
    <w:rsid w:val="003E112B"/>
    <w:rsid w:val="003E5E3D"/>
    <w:rsid w:val="00416F68"/>
    <w:rsid w:val="00457428"/>
    <w:rsid w:val="00466211"/>
    <w:rsid w:val="004D01FC"/>
    <w:rsid w:val="004E28C3"/>
    <w:rsid w:val="004F1F8E"/>
    <w:rsid w:val="00526897"/>
    <w:rsid w:val="00562005"/>
    <w:rsid w:val="00567365"/>
    <w:rsid w:val="00584FF8"/>
    <w:rsid w:val="00586CF2"/>
    <w:rsid w:val="00587A4E"/>
    <w:rsid w:val="005C3768"/>
    <w:rsid w:val="005C6C3F"/>
    <w:rsid w:val="00613635"/>
    <w:rsid w:val="0062093D"/>
    <w:rsid w:val="00637ECF"/>
    <w:rsid w:val="00647B59"/>
    <w:rsid w:val="00654E39"/>
    <w:rsid w:val="00660807"/>
    <w:rsid w:val="00693030"/>
    <w:rsid w:val="006C1BF8"/>
    <w:rsid w:val="006F7F9D"/>
    <w:rsid w:val="00701BAE"/>
    <w:rsid w:val="00715A4E"/>
    <w:rsid w:val="00730E95"/>
    <w:rsid w:val="007663DA"/>
    <w:rsid w:val="00771AD6"/>
    <w:rsid w:val="00774362"/>
    <w:rsid w:val="007A04E8"/>
    <w:rsid w:val="007C4FF0"/>
    <w:rsid w:val="007E7973"/>
    <w:rsid w:val="0083226B"/>
    <w:rsid w:val="0084553F"/>
    <w:rsid w:val="00862C99"/>
    <w:rsid w:val="008A3120"/>
    <w:rsid w:val="008C000E"/>
    <w:rsid w:val="008D41BE"/>
    <w:rsid w:val="008D4662"/>
    <w:rsid w:val="008D58D3"/>
    <w:rsid w:val="008D6821"/>
    <w:rsid w:val="00923064"/>
    <w:rsid w:val="00936D25"/>
    <w:rsid w:val="00941EA5"/>
    <w:rsid w:val="00966C16"/>
    <w:rsid w:val="009765A8"/>
    <w:rsid w:val="0098732F"/>
    <w:rsid w:val="009C6A9D"/>
    <w:rsid w:val="009C7E7C"/>
    <w:rsid w:val="00A00473"/>
    <w:rsid w:val="00A03C9B"/>
    <w:rsid w:val="00A606C3"/>
    <w:rsid w:val="00A83B09"/>
    <w:rsid w:val="00A84541"/>
    <w:rsid w:val="00AC082C"/>
    <w:rsid w:val="00AE36A0"/>
    <w:rsid w:val="00B00294"/>
    <w:rsid w:val="00B177EA"/>
    <w:rsid w:val="00B23EDF"/>
    <w:rsid w:val="00B64FD0"/>
    <w:rsid w:val="00BF26E7"/>
    <w:rsid w:val="00C01C69"/>
    <w:rsid w:val="00C814B9"/>
    <w:rsid w:val="00C84955"/>
    <w:rsid w:val="00C913E9"/>
    <w:rsid w:val="00CD3928"/>
    <w:rsid w:val="00CD516F"/>
    <w:rsid w:val="00CE2C8D"/>
    <w:rsid w:val="00CE6A1C"/>
    <w:rsid w:val="00CF293A"/>
    <w:rsid w:val="00D119A7"/>
    <w:rsid w:val="00D25FBA"/>
    <w:rsid w:val="00D66EAC"/>
    <w:rsid w:val="00D730DF"/>
    <w:rsid w:val="00D772F0"/>
    <w:rsid w:val="00D77BDC"/>
    <w:rsid w:val="00D8241C"/>
    <w:rsid w:val="00D870AC"/>
    <w:rsid w:val="00DB236B"/>
    <w:rsid w:val="00DC402B"/>
    <w:rsid w:val="00DE0932"/>
    <w:rsid w:val="00E049F1"/>
    <w:rsid w:val="00E37A25"/>
    <w:rsid w:val="00E45E8B"/>
    <w:rsid w:val="00E70A31"/>
    <w:rsid w:val="00E977A2"/>
    <w:rsid w:val="00EA3F38"/>
    <w:rsid w:val="00EA5AB6"/>
    <w:rsid w:val="00EC7615"/>
    <w:rsid w:val="00ED16AA"/>
    <w:rsid w:val="00EF662E"/>
    <w:rsid w:val="00F148F1"/>
    <w:rsid w:val="00F268D8"/>
    <w:rsid w:val="00F3236C"/>
    <w:rsid w:val="00F34054"/>
    <w:rsid w:val="00F372DE"/>
    <w:rsid w:val="00F573CB"/>
    <w:rsid w:val="00F65127"/>
    <w:rsid w:val="00F86EE3"/>
    <w:rsid w:val="00F9722E"/>
    <w:rsid w:val="00FA3BBF"/>
    <w:rsid w:val="00FB14D0"/>
    <w:rsid w:val="00FC0101"/>
    <w:rsid w:val="00FC41F8"/>
    <w:rsid w:val="00FC4ADC"/>
    <w:rsid w:val="00FD7EB9"/>
    <w:rsid w:val="00FE0D1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5AD93"/>
  <w15:docId w15:val="{472A5DB6-D949-4DFA-B33B-FC0AA16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  <w:style w:type="character" w:styleId="CommentReference">
    <w:name w:val="annotation reference"/>
    <w:basedOn w:val="DefaultParagraphFont"/>
    <w:semiHidden/>
    <w:unhideWhenUsed/>
    <w:rsid w:val="005620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20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005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2005"/>
    <w:rPr>
      <w:rFonts w:ascii="Times New Roman" w:hAnsi="Times New Roman"/>
      <w:b/>
      <w:bCs/>
      <w:lang w:val="fr-FR" w:eastAsia="en-US"/>
    </w:rPr>
  </w:style>
  <w:style w:type="paragraph" w:styleId="Revision">
    <w:name w:val="Revision"/>
    <w:hidden/>
    <w:uiPriority w:val="99"/>
    <w:semiHidden/>
    <w:rsid w:val="00562005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BR\PF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PF_WRC23.dotx</Template>
  <TotalTime>3</TotalTime>
  <Pages>5</Pages>
  <Words>1687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10375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- 2023</dc:subject>
  <dc:creator>French</dc:creator>
  <cp:keywords>WRC-23</cp:keywords>
  <cp:lastModifiedBy>French</cp:lastModifiedBy>
  <cp:revision>3</cp:revision>
  <cp:lastPrinted>2003-06-05T19:34:00Z</cp:lastPrinted>
  <dcterms:created xsi:type="dcterms:W3CDTF">2024-02-20T09:27:00Z</dcterms:created>
  <dcterms:modified xsi:type="dcterms:W3CDTF">2024-02-20T09:30:00Z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