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rsidRPr="00142DAA" w14:paraId="3E0F33F1" w14:textId="77777777" w:rsidTr="00762BBC">
        <w:trPr>
          <w:cantSplit/>
        </w:trPr>
        <w:tc>
          <w:tcPr>
            <w:tcW w:w="1418" w:type="dxa"/>
            <w:vAlign w:val="center"/>
          </w:tcPr>
          <w:p w14:paraId="5D9BA4E9" w14:textId="77777777" w:rsidR="00762BBC" w:rsidRPr="00142DAA" w:rsidRDefault="00762BBC" w:rsidP="00762BBC">
            <w:pPr>
              <w:spacing w:before="0" w:after="100" w:afterAutospacing="1" w:line="240" w:lineRule="atLeast"/>
              <w:rPr>
                <w:rFonts w:ascii="Verdana" w:hAnsi="Verdana"/>
                <w:position w:val="6"/>
              </w:rPr>
            </w:pPr>
            <w:r w:rsidRPr="00142DAA">
              <w:rPr>
                <w:noProof/>
              </w:rPr>
              <w:drawing>
                <wp:inline distT="0" distB="0" distL="0" distR="0" wp14:anchorId="1378A41E" wp14:editId="163CCE1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371263A6" w14:textId="77777777" w:rsidR="00762BBC" w:rsidRPr="00142DAA" w:rsidRDefault="00762BBC" w:rsidP="00C97A88">
            <w:pPr>
              <w:spacing w:before="400" w:after="48" w:line="240" w:lineRule="atLeast"/>
              <w:rPr>
                <w:rFonts w:ascii="Verdana" w:hAnsi="Verdana"/>
                <w:position w:val="6"/>
              </w:rPr>
            </w:pPr>
            <w:r w:rsidRPr="00142DAA">
              <w:rPr>
                <w:rFonts w:ascii="Verdana" w:hAnsi="Verdana" w:cs="Times"/>
                <w:b/>
                <w:position w:val="6"/>
                <w:sz w:val="20"/>
              </w:rPr>
              <w:t>Conferencia Mundial de Radiocomunicaciones (CMR-23)</w:t>
            </w:r>
            <w:r w:rsidRPr="00142DAA">
              <w:rPr>
                <w:rFonts w:ascii="Verdana" w:hAnsi="Verdana" w:cs="Times"/>
                <w:b/>
                <w:position w:val="6"/>
                <w:sz w:val="20"/>
              </w:rPr>
              <w:br/>
            </w:r>
            <w:r w:rsidRPr="00142DAA">
              <w:rPr>
                <w:rFonts w:ascii="Verdana" w:hAnsi="Verdana"/>
                <w:b/>
                <w:bCs/>
                <w:position w:val="6"/>
                <w:sz w:val="17"/>
                <w:szCs w:val="17"/>
              </w:rPr>
              <w:t>Dubái, 20 de noviembre - 15 de diciembre de 2023</w:t>
            </w:r>
          </w:p>
        </w:tc>
        <w:tc>
          <w:tcPr>
            <w:tcW w:w="2093" w:type="dxa"/>
            <w:vAlign w:val="center"/>
          </w:tcPr>
          <w:p w14:paraId="5785AB73" w14:textId="77777777" w:rsidR="00762BBC" w:rsidRPr="00142DAA" w:rsidRDefault="00762BBC" w:rsidP="00762BBC">
            <w:pPr>
              <w:spacing w:before="0" w:line="240" w:lineRule="atLeast"/>
            </w:pPr>
            <w:bookmarkStart w:id="0" w:name="ditulogo"/>
            <w:bookmarkEnd w:id="0"/>
            <w:r w:rsidRPr="00142DAA">
              <w:rPr>
                <w:noProof/>
              </w:rPr>
              <w:drawing>
                <wp:inline distT="0" distB="0" distL="0" distR="0" wp14:anchorId="35BB353A" wp14:editId="69F5C8FC">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142DAA" w14:paraId="4105C9EA" w14:textId="77777777" w:rsidTr="00A1779F">
        <w:trPr>
          <w:cantSplit/>
        </w:trPr>
        <w:tc>
          <w:tcPr>
            <w:tcW w:w="10031" w:type="dxa"/>
            <w:gridSpan w:val="4"/>
            <w:tcBorders>
              <w:bottom w:val="single" w:sz="12" w:space="0" w:color="auto"/>
            </w:tcBorders>
          </w:tcPr>
          <w:p w14:paraId="6848843B" w14:textId="77777777" w:rsidR="00C8286D" w:rsidRPr="00142DAA" w:rsidRDefault="00C8286D" w:rsidP="00C8286D">
            <w:pPr>
              <w:spacing w:before="0" w:after="48" w:line="240" w:lineRule="atLeast"/>
              <w:rPr>
                <w:rFonts w:ascii="Verdana" w:hAnsi="Verdana"/>
                <w:b/>
                <w:smallCaps/>
                <w:sz w:val="20"/>
              </w:rPr>
            </w:pPr>
            <w:bookmarkStart w:id="1" w:name="dhead"/>
          </w:p>
        </w:tc>
      </w:tr>
      <w:tr w:rsidR="00C8286D" w:rsidRPr="00142DAA" w14:paraId="51DF591F" w14:textId="77777777" w:rsidTr="0050008E">
        <w:trPr>
          <w:cantSplit/>
        </w:trPr>
        <w:tc>
          <w:tcPr>
            <w:tcW w:w="6911" w:type="dxa"/>
            <w:gridSpan w:val="2"/>
            <w:tcBorders>
              <w:top w:val="single" w:sz="12" w:space="0" w:color="auto"/>
            </w:tcBorders>
          </w:tcPr>
          <w:p w14:paraId="161FE0DD" w14:textId="77777777" w:rsidR="00C8286D" w:rsidRPr="00142DAA"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6002435E" w14:textId="77777777" w:rsidR="00C8286D" w:rsidRPr="00142DAA" w:rsidRDefault="00C8286D" w:rsidP="00C8286D">
            <w:pPr>
              <w:spacing w:before="0" w:line="240" w:lineRule="atLeast"/>
              <w:rPr>
                <w:rFonts w:ascii="Verdana" w:hAnsi="Verdana"/>
                <w:sz w:val="20"/>
              </w:rPr>
            </w:pPr>
          </w:p>
        </w:tc>
      </w:tr>
      <w:tr w:rsidR="007907E5" w:rsidRPr="00142DAA" w14:paraId="5BAA179C" w14:textId="77777777" w:rsidTr="0050008E">
        <w:trPr>
          <w:cantSplit/>
          <w:trHeight w:val="23"/>
        </w:trPr>
        <w:tc>
          <w:tcPr>
            <w:tcW w:w="6911" w:type="dxa"/>
            <w:gridSpan w:val="2"/>
            <w:vMerge w:val="restart"/>
          </w:tcPr>
          <w:p w14:paraId="006ACA4A" w14:textId="076CDC6B" w:rsidR="007907E5" w:rsidRPr="00142DAA" w:rsidRDefault="007907E5" w:rsidP="007907E5">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142DAA">
              <w:rPr>
                <w:rFonts w:ascii="Verdana" w:hAnsi="Verdana"/>
                <w:b/>
                <w:sz w:val="20"/>
              </w:rPr>
              <w:t xml:space="preserve">SESIÓN PLENARIA </w:t>
            </w:r>
          </w:p>
        </w:tc>
        <w:tc>
          <w:tcPr>
            <w:tcW w:w="3120" w:type="dxa"/>
            <w:gridSpan w:val="2"/>
          </w:tcPr>
          <w:p w14:paraId="1BDF2C10" w14:textId="0DD60156" w:rsidR="007907E5" w:rsidRPr="00142DAA" w:rsidRDefault="007907E5" w:rsidP="007907E5">
            <w:pPr>
              <w:tabs>
                <w:tab w:val="left" w:pos="851"/>
              </w:tabs>
              <w:spacing w:before="0" w:line="240" w:lineRule="atLeast"/>
              <w:rPr>
                <w:rFonts w:ascii="Verdana" w:hAnsi="Verdana"/>
                <w:sz w:val="20"/>
              </w:rPr>
            </w:pPr>
            <w:r w:rsidRPr="00142DAA">
              <w:rPr>
                <w:rFonts w:ascii="Verdana" w:hAnsi="Verdana"/>
                <w:b/>
                <w:sz w:val="20"/>
              </w:rPr>
              <w:t>Documento 451-S</w:t>
            </w:r>
          </w:p>
        </w:tc>
      </w:tr>
      <w:tr w:rsidR="007907E5" w:rsidRPr="00142DAA" w14:paraId="0A971A7D" w14:textId="77777777" w:rsidTr="0050008E">
        <w:trPr>
          <w:cantSplit/>
          <w:trHeight w:val="23"/>
        </w:trPr>
        <w:tc>
          <w:tcPr>
            <w:tcW w:w="6911" w:type="dxa"/>
            <w:gridSpan w:val="2"/>
            <w:vMerge/>
          </w:tcPr>
          <w:p w14:paraId="2758B10D" w14:textId="77777777" w:rsidR="007907E5" w:rsidRPr="00142DAA" w:rsidRDefault="007907E5" w:rsidP="007907E5">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108CF4C6" w14:textId="5CAF122B" w:rsidR="007907E5" w:rsidRPr="00142DAA" w:rsidRDefault="007907E5" w:rsidP="007907E5">
            <w:pPr>
              <w:tabs>
                <w:tab w:val="left" w:pos="993"/>
              </w:tabs>
              <w:spacing w:before="0"/>
              <w:rPr>
                <w:rFonts w:ascii="Verdana" w:hAnsi="Verdana"/>
                <w:sz w:val="20"/>
              </w:rPr>
            </w:pPr>
            <w:r w:rsidRPr="00142DAA">
              <w:rPr>
                <w:rFonts w:ascii="Verdana" w:hAnsi="Verdana"/>
                <w:b/>
                <w:sz w:val="20"/>
              </w:rPr>
              <w:t>11 de diciembre de 2023</w:t>
            </w:r>
          </w:p>
        </w:tc>
      </w:tr>
      <w:tr w:rsidR="007907E5" w:rsidRPr="00142DAA" w14:paraId="2C520B16" w14:textId="77777777" w:rsidTr="0050008E">
        <w:trPr>
          <w:cantSplit/>
          <w:trHeight w:val="23"/>
        </w:trPr>
        <w:tc>
          <w:tcPr>
            <w:tcW w:w="6911" w:type="dxa"/>
            <w:gridSpan w:val="2"/>
            <w:vMerge/>
          </w:tcPr>
          <w:p w14:paraId="61DFD69E" w14:textId="77777777" w:rsidR="007907E5" w:rsidRPr="00142DAA" w:rsidRDefault="007907E5" w:rsidP="007907E5">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633967DA" w14:textId="41A025F0" w:rsidR="007907E5" w:rsidRPr="00142DAA" w:rsidRDefault="007907E5" w:rsidP="007907E5">
            <w:pPr>
              <w:tabs>
                <w:tab w:val="left" w:pos="993"/>
              </w:tabs>
              <w:spacing w:before="0" w:after="120"/>
              <w:rPr>
                <w:rFonts w:ascii="Verdana" w:hAnsi="Verdana"/>
                <w:sz w:val="20"/>
              </w:rPr>
            </w:pPr>
            <w:r w:rsidRPr="00142DAA">
              <w:rPr>
                <w:rFonts w:ascii="Verdana" w:hAnsi="Verdana"/>
                <w:b/>
                <w:sz w:val="20"/>
              </w:rPr>
              <w:t>Original: inglés</w:t>
            </w:r>
          </w:p>
        </w:tc>
      </w:tr>
      <w:tr w:rsidR="00C8286D" w:rsidRPr="00142DAA" w14:paraId="6562FB78" w14:textId="77777777" w:rsidTr="0050008E">
        <w:trPr>
          <w:cantSplit/>
        </w:trPr>
        <w:tc>
          <w:tcPr>
            <w:tcW w:w="10031" w:type="dxa"/>
            <w:gridSpan w:val="4"/>
          </w:tcPr>
          <w:p w14:paraId="62800C41" w14:textId="77777777" w:rsidR="00C8286D" w:rsidRPr="00142DAA" w:rsidRDefault="00C8286D" w:rsidP="00496317">
            <w:pPr>
              <w:pStyle w:val="Source"/>
              <w:spacing w:before="0"/>
            </w:pPr>
            <w:bookmarkStart w:id="6" w:name="dsource" w:colFirst="0" w:colLast="0"/>
            <w:bookmarkEnd w:id="5"/>
          </w:p>
        </w:tc>
      </w:tr>
      <w:tr w:rsidR="00C8286D" w:rsidRPr="00142DAA" w14:paraId="7D3C9940" w14:textId="77777777" w:rsidTr="0050008E">
        <w:trPr>
          <w:cantSplit/>
        </w:trPr>
        <w:tc>
          <w:tcPr>
            <w:tcW w:w="10031" w:type="dxa"/>
            <w:gridSpan w:val="4"/>
          </w:tcPr>
          <w:p w14:paraId="34BC308E" w14:textId="47E14035" w:rsidR="007907E5" w:rsidRPr="00142DAA" w:rsidRDefault="007907E5" w:rsidP="007907E5">
            <w:pPr>
              <w:pStyle w:val="Title1"/>
              <w:spacing w:before="720"/>
              <w:rPr>
                <w:rFonts w:asciiTheme="majorBidi" w:hAnsiTheme="majorBidi" w:cstheme="majorBidi"/>
                <w:sz w:val="24"/>
                <w:szCs w:val="24"/>
              </w:rPr>
            </w:pPr>
            <w:bookmarkStart w:id="7" w:name="dtitle1" w:colFirst="0" w:colLast="0"/>
            <w:bookmarkEnd w:id="6"/>
            <w:r w:rsidRPr="00142DAA">
              <w:rPr>
                <w:rFonts w:asciiTheme="majorBidi" w:hAnsiTheme="majorBidi" w:cstheme="majorBidi"/>
                <w:sz w:val="24"/>
                <w:szCs w:val="24"/>
              </w:rPr>
              <w:t>actas</w:t>
            </w:r>
          </w:p>
          <w:p w14:paraId="329F770D" w14:textId="2769101D" w:rsidR="007907E5" w:rsidRPr="00142DAA" w:rsidRDefault="007907E5" w:rsidP="007907E5">
            <w:pPr>
              <w:pStyle w:val="Title1"/>
              <w:rPr>
                <w:rFonts w:asciiTheme="majorBidi" w:hAnsiTheme="majorBidi" w:cstheme="majorBidi"/>
                <w:sz w:val="24"/>
                <w:szCs w:val="24"/>
              </w:rPr>
            </w:pPr>
            <w:r w:rsidRPr="00142DAA">
              <w:rPr>
                <w:rFonts w:asciiTheme="majorBidi" w:hAnsiTheme="majorBidi" w:cstheme="majorBidi"/>
                <w:sz w:val="24"/>
                <w:szCs w:val="24"/>
              </w:rPr>
              <w:t>de la</w:t>
            </w:r>
          </w:p>
          <w:p w14:paraId="21560CFA" w14:textId="2AA701CB" w:rsidR="00C8286D" w:rsidRPr="00142DAA" w:rsidRDefault="007907E5" w:rsidP="007907E5">
            <w:pPr>
              <w:pStyle w:val="Title1"/>
            </w:pPr>
            <w:r w:rsidRPr="00142DAA">
              <w:rPr>
                <w:rFonts w:asciiTheme="majorBidi" w:hAnsiTheme="majorBidi" w:cstheme="majorBidi"/>
                <w:sz w:val="24"/>
                <w:szCs w:val="24"/>
              </w:rPr>
              <w:t>séptima sesión plenaria</w:t>
            </w:r>
          </w:p>
        </w:tc>
      </w:tr>
      <w:tr w:rsidR="007907E5" w:rsidRPr="00142DAA" w14:paraId="03CAC0F6" w14:textId="77777777" w:rsidTr="0050008E">
        <w:trPr>
          <w:cantSplit/>
        </w:trPr>
        <w:tc>
          <w:tcPr>
            <w:tcW w:w="10031" w:type="dxa"/>
            <w:gridSpan w:val="4"/>
          </w:tcPr>
          <w:p w14:paraId="18D02291" w14:textId="02A31DE8" w:rsidR="007907E5" w:rsidRPr="00142DAA" w:rsidRDefault="007907E5" w:rsidP="007907E5">
            <w:pPr>
              <w:jc w:val="center"/>
            </w:pPr>
            <w:bookmarkStart w:id="8" w:name="dtitle2" w:colFirst="0" w:colLast="0"/>
            <w:bookmarkEnd w:id="7"/>
            <w:r w:rsidRPr="00142DAA">
              <w:t>Viernes, 8 de diciembre de 2023, a las 10.45 horas</w:t>
            </w:r>
          </w:p>
        </w:tc>
      </w:tr>
      <w:tr w:rsidR="007907E5" w:rsidRPr="00142DAA" w14:paraId="4381C8FE" w14:textId="77777777" w:rsidTr="0050008E">
        <w:trPr>
          <w:cantSplit/>
        </w:trPr>
        <w:tc>
          <w:tcPr>
            <w:tcW w:w="10031" w:type="dxa"/>
            <w:gridSpan w:val="4"/>
          </w:tcPr>
          <w:p w14:paraId="14595E42" w14:textId="1D665D02" w:rsidR="007907E5" w:rsidRPr="00142DAA" w:rsidRDefault="007907E5" w:rsidP="007907E5">
            <w:pPr>
              <w:jc w:val="center"/>
            </w:pPr>
            <w:bookmarkStart w:id="9" w:name="dtitle3" w:colFirst="0" w:colLast="0"/>
            <w:bookmarkEnd w:id="8"/>
            <w:r w:rsidRPr="00142DAA">
              <w:rPr>
                <w:rFonts w:asciiTheme="majorBidi" w:hAnsiTheme="majorBidi" w:cstheme="majorBidi"/>
                <w:b/>
                <w:bCs/>
                <w:szCs w:val="24"/>
              </w:rPr>
              <w:t>Presidente:</w:t>
            </w:r>
            <w:r w:rsidRPr="00142DAA">
              <w:rPr>
                <w:rFonts w:asciiTheme="majorBidi" w:hAnsiTheme="majorBidi" w:cstheme="majorBidi"/>
                <w:szCs w:val="24"/>
              </w:rPr>
              <w:t xml:space="preserve"> </w:t>
            </w:r>
            <w:r w:rsidRPr="00142DAA">
              <w:t>Excmo. Sr. M. AL RAMSI (Emiratos Árabes Unidos)</w:t>
            </w:r>
          </w:p>
        </w:tc>
      </w:tr>
      <w:bookmarkEnd w:id="9"/>
    </w:tbl>
    <w:p w14:paraId="61B89A18" w14:textId="77777777" w:rsidR="007907E5" w:rsidRPr="00142DAA" w:rsidRDefault="007907E5" w:rsidP="007907E5">
      <w:pPr>
        <w:rPr>
          <w:rFonts w:asciiTheme="majorBidi" w:hAnsiTheme="majorBidi" w:cstheme="majorBidi"/>
          <w:szCs w:val="24"/>
        </w:rPr>
      </w:pPr>
    </w:p>
    <w:tbl>
      <w:tblPr>
        <w:tblW w:w="10031" w:type="dxa"/>
        <w:tblLook w:val="0000" w:firstRow="0" w:lastRow="0" w:firstColumn="0" w:lastColumn="0" w:noHBand="0" w:noVBand="0"/>
      </w:tblPr>
      <w:tblGrid>
        <w:gridCol w:w="482"/>
        <w:gridCol w:w="7466"/>
        <w:gridCol w:w="2083"/>
      </w:tblGrid>
      <w:tr w:rsidR="007907E5" w:rsidRPr="00142DAA" w14:paraId="0C7B26BF" w14:textId="77777777" w:rsidTr="00A51294">
        <w:tc>
          <w:tcPr>
            <w:tcW w:w="482" w:type="dxa"/>
          </w:tcPr>
          <w:p w14:paraId="01FC7E30" w14:textId="77777777" w:rsidR="007907E5" w:rsidRPr="00142DAA" w:rsidRDefault="007907E5" w:rsidP="00496317">
            <w:pPr>
              <w:pStyle w:val="toc0"/>
              <w:rPr>
                <w:rFonts w:asciiTheme="majorBidi" w:hAnsiTheme="majorBidi" w:cstheme="majorBidi"/>
                <w:szCs w:val="24"/>
              </w:rPr>
            </w:pPr>
          </w:p>
        </w:tc>
        <w:tc>
          <w:tcPr>
            <w:tcW w:w="7466" w:type="dxa"/>
          </w:tcPr>
          <w:p w14:paraId="4E81A764" w14:textId="77777777" w:rsidR="007907E5" w:rsidRPr="00142DAA" w:rsidRDefault="007907E5" w:rsidP="00496317">
            <w:pPr>
              <w:pStyle w:val="Tablehead"/>
              <w:jc w:val="left"/>
              <w:rPr>
                <w:sz w:val="24"/>
                <w:szCs w:val="24"/>
              </w:rPr>
            </w:pPr>
            <w:r w:rsidRPr="00142DAA">
              <w:rPr>
                <w:sz w:val="24"/>
                <w:szCs w:val="24"/>
              </w:rPr>
              <w:t>Asuntos tratados</w:t>
            </w:r>
          </w:p>
        </w:tc>
        <w:tc>
          <w:tcPr>
            <w:tcW w:w="2083" w:type="dxa"/>
          </w:tcPr>
          <w:p w14:paraId="5EFF8AC2" w14:textId="77777777" w:rsidR="007907E5" w:rsidRPr="00142DAA" w:rsidRDefault="007907E5" w:rsidP="00496317">
            <w:pPr>
              <w:pStyle w:val="Tablehead"/>
              <w:rPr>
                <w:sz w:val="24"/>
                <w:szCs w:val="24"/>
              </w:rPr>
            </w:pPr>
            <w:r w:rsidRPr="00142DAA">
              <w:rPr>
                <w:sz w:val="24"/>
                <w:szCs w:val="24"/>
              </w:rPr>
              <w:t>Documentos</w:t>
            </w:r>
          </w:p>
        </w:tc>
      </w:tr>
      <w:tr w:rsidR="007907E5" w:rsidRPr="00142DAA" w14:paraId="4F02B7FD" w14:textId="77777777" w:rsidTr="00A51294">
        <w:tc>
          <w:tcPr>
            <w:tcW w:w="482" w:type="dxa"/>
          </w:tcPr>
          <w:p w14:paraId="6B8A20EF" w14:textId="77777777" w:rsidR="007907E5" w:rsidRPr="00142DAA" w:rsidRDefault="007907E5" w:rsidP="00496317">
            <w:pPr>
              <w:pStyle w:val="Tabletext"/>
            </w:pPr>
            <w:r w:rsidRPr="00142DAA">
              <w:t>1</w:t>
            </w:r>
          </w:p>
        </w:tc>
        <w:tc>
          <w:tcPr>
            <w:tcW w:w="7466" w:type="dxa"/>
          </w:tcPr>
          <w:p w14:paraId="2D1E6FD4" w14:textId="77777777" w:rsidR="007907E5" w:rsidRPr="00142DAA" w:rsidRDefault="007907E5" w:rsidP="00496317">
            <w:pPr>
              <w:pStyle w:val="Tabletext"/>
              <w:rPr>
                <w:sz w:val="24"/>
                <w:szCs w:val="24"/>
              </w:rPr>
            </w:pPr>
            <w:r w:rsidRPr="00142DAA">
              <w:rPr>
                <w:sz w:val="24"/>
                <w:szCs w:val="24"/>
              </w:rPr>
              <w:t>Informes verbales de los Presidentes de las Comisiones</w:t>
            </w:r>
          </w:p>
        </w:tc>
        <w:tc>
          <w:tcPr>
            <w:tcW w:w="2083" w:type="dxa"/>
          </w:tcPr>
          <w:p w14:paraId="03B4ED5D" w14:textId="0D9464B4" w:rsidR="007907E5" w:rsidRPr="00142DAA" w:rsidRDefault="00496317" w:rsidP="00496317">
            <w:pPr>
              <w:pStyle w:val="Tabletext"/>
              <w:rPr>
                <w:sz w:val="24"/>
                <w:szCs w:val="24"/>
              </w:rPr>
            </w:pPr>
            <w:r w:rsidRPr="00142DAA">
              <w:rPr>
                <w:sz w:val="24"/>
                <w:szCs w:val="24"/>
              </w:rPr>
              <w:t>–</w:t>
            </w:r>
          </w:p>
        </w:tc>
      </w:tr>
      <w:tr w:rsidR="007907E5" w:rsidRPr="00142DAA" w14:paraId="335F025E" w14:textId="77777777" w:rsidTr="00A51294">
        <w:tc>
          <w:tcPr>
            <w:tcW w:w="482" w:type="dxa"/>
          </w:tcPr>
          <w:p w14:paraId="36594F62" w14:textId="77777777" w:rsidR="007907E5" w:rsidRPr="00142DAA" w:rsidRDefault="007907E5" w:rsidP="00496317">
            <w:pPr>
              <w:pStyle w:val="Tabletext"/>
            </w:pPr>
            <w:r w:rsidRPr="00142DAA">
              <w:t>2</w:t>
            </w:r>
          </w:p>
        </w:tc>
        <w:tc>
          <w:tcPr>
            <w:tcW w:w="7466" w:type="dxa"/>
          </w:tcPr>
          <w:p w14:paraId="1B4740B7" w14:textId="77777777" w:rsidR="007907E5" w:rsidRPr="00142DAA" w:rsidRDefault="007907E5" w:rsidP="00496317">
            <w:pPr>
              <w:pStyle w:val="Tabletext"/>
              <w:rPr>
                <w:sz w:val="24"/>
                <w:szCs w:val="24"/>
              </w:rPr>
            </w:pPr>
            <w:r w:rsidRPr="00142DAA">
              <w:rPr>
                <w:sz w:val="24"/>
                <w:szCs w:val="24"/>
              </w:rPr>
              <w:t>Primer informe de la Comisión 6 a la Plenaria</w:t>
            </w:r>
          </w:p>
        </w:tc>
        <w:tc>
          <w:tcPr>
            <w:tcW w:w="2083" w:type="dxa"/>
          </w:tcPr>
          <w:p w14:paraId="178A655B" w14:textId="77777777" w:rsidR="007907E5" w:rsidRPr="00142DAA" w:rsidRDefault="007907E5" w:rsidP="00496317">
            <w:pPr>
              <w:pStyle w:val="Tabletext"/>
              <w:rPr>
                <w:sz w:val="24"/>
                <w:szCs w:val="24"/>
              </w:rPr>
            </w:pPr>
            <w:r w:rsidRPr="00142DAA">
              <w:rPr>
                <w:sz w:val="24"/>
                <w:szCs w:val="24"/>
              </w:rPr>
              <w:t>357</w:t>
            </w:r>
          </w:p>
        </w:tc>
      </w:tr>
      <w:tr w:rsidR="007907E5" w:rsidRPr="00142DAA" w14:paraId="11378817" w14:textId="77777777" w:rsidTr="00A51294">
        <w:tc>
          <w:tcPr>
            <w:tcW w:w="482" w:type="dxa"/>
          </w:tcPr>
          <w:p w14:paraId="5EEA8D5D" w14:textId="77777777" w:rsidR="007907E5" w:rsidRPr="00142DAA" w:rsidRDefault="007907E5" w:rsidP="00496317">
            <w:pPr>
              <w:pStyle w:val="Tabletext"/>
            </w:pPr>
            <w:r w:rsidRPr="00142DAA">
              <w:t>3</w:t>
            </w:r>
          </w:p>
        </w:tc>
        <w:tc>
          <w:tcPr>
            <w:tcW w:w="7466" w:type="dxa"/>
          </w:tcPr>
          <w:p w14:paraId="673E11FB" w14:textId="77777777" w:rsidR="007907E5" w:rsidRPr="00142DAA" w:rsidRDefault="007907E5" w:rsidP="00496317">
            <w:pPr>
              <w:pStyle w:val="Tabletext"/>
              <w:rPr>
                <w:bCs/>
                <w:sz w:val="24"/>
                <w:szCs w:val="24"/>
              </w:rPr>
            </w:pPr>
            <w:r w:rsidRPr="00142DAA">
              <w:rPr>
                <w:sz w:val="24"/>
                <w:szCs w:val="24"/>
              </w:rPr>
              <w:t xml:space="preserve">Decimoquinta serie de textos sometidos por la Comisión de Redacción en primera lectura </w:t>
            </w:r>
            <w:r w:rsidRPr="00142DAA">
              <w:rPr>
                <w:bCs/>
                <w:sz w:val="24"/>
                <w:szCs w:val="24"/>
              </w:rPr>
              <w:t>(B15)</w:t>
            </w:r>
          </w:p>
        </w:tc>
        <w:tc>
          <w:tcPr>
            <w:tcW w:w="2083" w:type="dxa"/>
          </w:tcPr>
          <w:p w14:paraId="5344CB49" w14:textId="77777777" w:rsidR="007907E5" w:rsidRPr="00142DAA" w:rsidRDefault="007907E5" w:rsidP="00496317">
            <w:pPr>
              <w:pStyle w:val="Tabletext"/>
              <w:rPr>
                <w:sz w:val="24"/>
                <w:szCs w:val="24"/>
              </w:rPr>
            </w:pPr>
            <w:r w:rsidRPr="00142DAA">
              <w:rPr>
                <w:sz w:val="24"/>
                <w:szCs w:val="24"/>
              </w:rPr>
              <w:t>338</w:t>
            </w:r>
          </w:p>
        </w:tc>
      </w:tr>
      <w:tr w:rsidR="007907E5" w:rsidRPr="00142DAA" w14:paraId="0FC1298A" w14:textId="77777777" w:rsidTr="00A51294">
        <w:tc>
          <w:tcPr>
            <w:tcW w:w="482" w:type="dxa"/>
          </w:tcPr>
          <w:p w14:paraId="1A6C824B" w14:textId="77777777" w:rsidR="007907E5" w:rsidRPr="00142DAA" w:rsidRDefault="007907E5" w:rsidP="00496317">
            <w:pPr>
              <w:pStyle w:val="Tabletext"/>
            </w:pPr>
            <w:r w:rsidRPr="00142DAA">
              <w:t>4</w:t>
            </w:r>
          </w:p>
        </w:tc>
        <w:tc>
          <w:tcPr>
            <w:tcW w:w="7466" w:type="dxa"/>
          </w:tcPr>
          <w:p w14:paraId="4FCF49F7" w14:textId="77777777" w:rsidR="007907E5" w:rsidRPr="00142DAA" w:rsidRDefault="007907E5" w:rsidP="00496317">
            <w:pPr>
              <w:pStyle w:val="Tabletext"/>
              <w:rPr>
                <w:sz w:val="24"/>
                <w:szCs w:val="24"/>
              </w:rPr>
            </w:pPr>
            <w:r w:rsidRPr="00142DAA">
              <w:rPr>
                <w:sz w:val="24"/>
                <w:szCs w:val="24"/>
              </w:rPr>
              <w:t>Decimoquinta serie de textos sometidos por la Comisión de Redacción (B15) – segunda lectura</w:t>
            </w:r>
          </w:p>
        </w:tc>
        <w:tc>
          <w:tcPr>
            <w:tcW w:w="2083" w:type="dxa"/>
          </w:tcPr>
          <w:p w14:paraId="5E5576F3" w14:textId="77777777" w:rsidR="007907E5" w:rsidRPr="00142DAA" w:rsidRDefault="007907E5" w:rsidP="00496317">
            <w:pPr>
              <w:pStyle w:val="Tabletext"/>
              <w:rPr>
                <w:sz w:val="24"/>
                <w:szCs w:val="24"/>
              </w:rPr>
            </w:pPr>
            <w:r w:rsidRPr="00142DAA">
              <w:rPr>
                <w:sz w:val="24"/>
                <w:szCs w:val="24"/>
              </w:rPr>
              <w:t>338</w:t>
            </w:r>
          </w:p>
        </w:tc>
      </w:tr>
      <w:tr w:rsidR="007907E5" w:rsidRPr="00142DAA" w14:paraId="64AE932E" w14:textId="77777777" w:rsidTr="00A51294">
        <w:tc>
          <w:tcPr>
            <w:tcW w:w="482" w:type="dxa"/>
          </w:tcPr>
          <w:p w14:paraId="00633DC5" w14:textId="77777777" w:rsidR="007907E5" w:rsidRPr="00142DAA" w:rsidRDefault="007907E5" w:rsidP="00496317">
            <w:pPr>
              <w:pStyle w:val="Tabletext"/>
            </w:pPr>
            <w:r w:rsidRPr="00142DAA">
              <w:t>5</w:t>
            </w:r>
          </w:p>
        </w:tc>
        <w:tc>
          <w:tcPr>
            <w:tcW w:w="7466" w:type="dxa"/>
          </w:tcPr>
          <w:p w14:paraId="7A456F9A" w14:textId="77777777" w:rsidR="007907E5" w:rsidRPr="00142DAA" w:rsidRDefault="007907E5" w:rsidP="00496317">
            <w:pPr>
              <w:pStyle w:val="Tabletext"/>
              <w:rPr>
                <w:sz w:val="24"/>
                <w:szCs w:val="24"/>
              </w:rPr>
            </w:pPr>
            <w:r w:rsidRPr="00142DAA">
              <w:rPr>
                <w:sz w:val="24"/>
                <w:szCs w:val="24"/>
              </w:rPr>
              <w:t>Decimosexta serie de textos sometidos por la Comisión de Redacción en primera lectura (B16)</w:t>
            </w:r>
          </w:p>
        </w:tc>
        <w:tc>
          <w:tcPr>
            <w:tcW w:w="2083" w:type="dxa"/>
          </w:tcPr>
          <w:p w14:paraId="54D75A43" w14:textId="77777777" w:rsidR="007907E5" w:rsidRPr="00142DAA" w:rsidRDefault="007907E5" w:rsidP="00496317">
            <w:pPr>
              <w:pStyle w:val="Tabletext"/>
              <w:rPr>
                <w:sz w:val="24"/>
                <w:szCs w:val="24"/>
              </w:rPr>
            </w:pPr>
            <w:r w:rsidRPr="00142DAA">
              <w:rPr>
                <w:sz w:val="24"/>
                <w:szCs w:val="24"/>
              </w:rPr>
              <w:t>339</w:t>
            </w:r>
          </w:p>
        </w:tc>
      </w:tr>
      <w:tr w:rsidR="007907E5" w:rsidRPr="00142DAA" w14:paraId="34E7C57E" w14:textId="77777777" w:rsidTr="00A51294">
        <w:tc>
          <w:tcPr>
            <w:tcW w:w="482" w:type="dxa"/>
          </w:tcPr>
          <w:p w14:paraId="1851398F" w14:textId="77777777" w:rsidR="007907E5" w:rsidRPr="00142DAA" w:rsidRDefault="007907E5" w:rsidP="00496317">
            <w:pPr>
              <w:pStyle w:val="Tabletext"/>
            </w:pPr>
            <w:r w:rsidRPr="00142DAA">
              <w:t>6</w:t>
            </w:r>
          </w:p>
        </w:tc>
        <w:tc>
          <w:tcPr>
            <w:tcW w:w="7466" w:type="dxa"/>
          </w:tcPr>
          <w:p w14:paraId="7F19E15C" w14:textId="77777777" w:rsidR="007907E5" w:rsidRPr="00142DAA" w:rsidRDefault="007907E5" w:rsidP="00496317">
            <w:pPr>
              <w:pStyle w:val="Tabletext"/>
              <w:rPr>
                <w:sz w:val="24"/>
                <w:szCs w:val="24"/>
              </w:rPr>
            </w:pPr>
            <w:r w:rsidRPr="00142DAA">
              <w:rPr>
                <w:sz w:val="24"/>
                <w:szCs w:val="24"/>
              </w:rPr>
              <w:t>Decimosexta serie de textos sometidos por la Comisión de Redacción (B16) – segunda lectura</w:t>
            </w:r>
          </w:p>
        </w:tc>
        <w:tc>
          <w:tcPr>
            <w:tcW w:w="2083" w:type="dxa"/>
          </w:tcPr>
          <w:p w14:paraId="1EE79264" w14:textId="77777777" w:rsidR="007907E5" w:rsidRPr="00142DAA" w:rsidRDefault="007907E5" w:rsidP="00496317">
            <w:pPr>
              <w:pStyle w:val="Tabletext"/>
              <w:rPr>
                <w:sz w:val="24"/>
                <w:szCs w:val="24"/>
              </w:rPr>
            </w:pPr>
            <w:r w:rsidRPr="00142DAA">
              <w:rPr>
                <w:sz w:val="24"/>
                <w:szCs w:val="24"/>
              </w:rPr>
              <w:t>339</w:t>
            </w:r>
          </w:p>
        </w:tc>
      </w:tr>
      <w:tr w:rsidR="007907E5" w:rsidRPr="00142DAA" w14:paraId="08081F72" w14:textId="77777777" w:rsidTr="00A51294">
        <w:tc>
          <w:tcPr>
            <w:tcW w:w="482" w:type="dxa"/>
          </w:tcPr>
          <w:p w14:paraId="3A905155" w14:textId="77777777" w:rsidR="007907E5" w:rsidRPr="00142DAA" w:rsidRDefault="007907E5" w:rsidP="00496317">
            <w:pPr>
              <w:pStyle w:val="Tabletext"/>
            </w:pPr>
            <w:r w:rsidRPr="00142DAA">
              <w:t>7</w:t>
            </w:r>
          </w:p>
        </w:tc>
        <w:tc>
          <w:tcPr>
            <w:tcW w:w="7466" w:type="dxa"/>
          </w:tcPr>
          <w:p w14:paraId="4D8D0C8F" w14:textId="77777777" w:rsidR="007907E5" w:rsidRPr="00142DAA" w:rsidRDefault="007907E5" w:rsidP="00496317">
            <w:pPr>
              <w:pStyle w:val="Tabletext"/>
              <w:rPr>
                <w:sz w:val="24"/>
                <w:szCs w:val="24"/>
              </w:rPr>
            </w:pPr>
            <w:r w:rsidRPr="00142DAA">
              <w:rPr>
                <w:sz w:val="24"/>
                <w:szCs w:val="24"/>
              </w:rPr>
              <w:t>Decimoséptima serie de textos sometidos por la Comisión de Redacción en primera lectura (B17)</w:t>
            </w:r>
          </w:p>
        </w:tc>
        <w:tc>
          <w:tcPr>
            <w:tcW w:w="2083" w:type="dxa"/>
          </w:tcPr>
          <w:p w14:paraId="3727AC42" w14:textId="77777777" w:rsidR="007907E5" w:rsidRPr="00142DAA" w:rsidRDefault="007907E5" w:rsidP="00496317">
            <w:pPr>
              <w:pStyle w:val="Tabletext"/>
              <w:rPr>
                <w:sz w:val="24"/>
                <w:szCs w:val="24"/>
              </w:rPr>
            </w:pPr>
            <w:r w:rsidRPr="00142DAA">
              <w:rPr>
                <w:sz w:val="24"/>
                <w:szCs w:val="24"/>
              </w:rPr>
              <w:t>340</w:t>
            </w:r>
          </w:p>
        </w:tc>
      </w:tr>
      <w:tr w:rsidR="007907E5" w:rsidRPr="00142DAA" w14:paraId="1BC67771" w14:textId="77777777" w:rsidTr="00A51294">
        <w:tc>
          <w:tcPr>
            <w:tcW w:w="482" w:type="dxa"/>
          </w:tcPr>
          <w:p w14:paraId="3AAB061F" w14:textId="77777777" w:rsidR="007907E5" w:rsidRPr="00142DAA" w:rsidRDefault="007907E5" w:rsidP="00496317">
            <w:pPr>
              <w:pStyle w:val="Tabletext"/>
            </w:pPr>
            <w:r w:rsidRPr="00142DAA">
              <w:t>8</w:t>
            </w:r>
          </w:p>
        </w:tc>
        <w:tc>
          <w:tcPr>
            <w:tcW w:w="7466" w:type="dxa"/>
          </w:tcPr>
          <w:p w14:paraId="4E16A575" w14:textId="77777777" w:rsidR="007907E5" w:rsidRPr="00142DAA" w:rsidRDefault="007907E5" w:rsidP="00496317">
            <w:pPr>
              <w:pStyle w:val="Tabletext"/>
              <w:rPr>
                <w:sz w:val="24"/>
                <w:szCs w:val="24"/>
              </w:rPr>
            </w:pPr>
            <w:r w:rsidRPr="00142DAA">
              <w:rPr>
                <w:sz w:val="24"/>
                <w:szCs w:val="24"/>
              </w:rPr>
              <w:t>Decimoséptima serie de textos sometidos por la Comisión de Redacción (B17) – segunda lectura</w:t>
            </w:r>
          </w:p>
        </w:tc>
        <w:tc>
          <w:tcPr>
            <w:tcW w:w="2083" w:type="dxa"/>
          </w:tcPr>
          <w:p w14:paraId="55D65D4F" w14:textId="77777777" w:rsidR="007907E5" w:rsidRPr="00142DAA" w:rsidRDefault="007907E5" w:rsidP="00496317">
            <w:pPr>
              <w:pStyle w:val="Tabletext"/>
              <w:rPr>
                <w:sz w:val="24"/>
                <w:szCs w:val="24"/>
              </w:rPr>
            </w:pPr>
            <w:r w:rsidRPr="00142DAA">
              <w:rPr>
                <w:sz w:val="24"/>
                <w:szCs w:val="24"/>
              </w:rPr>
              <w:t>340</w:t>
            </w:r>
          </w:p>
        </w:tc>
      </w:tr>
      <w:tr w:rsidR="007907E5" w:rsidRPr="00142DAA" w14:paraId="54EC8007" w14:textId="77777777" w:rsidTr="00A51294">
        <w:tc>
          <w:tcPr>
            <w:tcW w:w="482" w:type="dxa"/>
          </w:tcPr>
          <w:p w14:paraId="27E0F86D" w14:textId="77777777" w:rsidR="007907E5" w:rsidRPr="00142DAA" w:rsidRDefault="007907E5" w:rsidP="00496317">
            <w:pPr>
              <w:pStyle w:val="Tabletext"/>
            </w:pPr>
            <w:r w:rsidRPr="00142DAA">
              <w:t>9</w:t>
            </w:r>
          </w:p>
        </w:tc>
        <w:tc>
          <w:tcPr>
            <w:tcW w:w="7466" w:type="dxa"/>
          </w:tcPr>
          <w:p w14:paraId="7CA74749" w14:textId="77777777" w:rsidR="007907E5" w:rsidRPr="00142DAA" w:rsidRDefault="007907E5" w:rsidP="00496317">
            <w:pPr>
              <w:pStyle w:val="Tabletext"/>
              <w:rPr>
                <w:sz w:val="24"/>
                <w:szCs w:val="24"/>
              </w:rPr>
            </w:pPr>
            <w:r w:rsidRPr="00142DAA">
              <w:rPr>
                <w:sz w:val="24"/>
                <w:szCs w:val="24"/>
              </w:rPr>
              <w:t>Decimoctava serie de textos sometidos por la Comisión de Redacción en primera lectura (B18)</w:t>
            </w:r>
          </w:p>
        </w:tc>
        <w:tc>
          <w:tcPr>
            <w:tcW w:w="2083" w:type="dxa"/>
          </w:tcPr>
          <w:p w14:paraId="3866A59E" w14:textId="77777777" w:rsidR="007907E5" w:rsidRPr="00142DAA" w:rsidRDefault="007907E5" w:rsidP="00496317">
            <w:pPr>
              <w:pStyle w:val="Tabletext"/>
              <w:rPr>
                <w:sz w:val="24"/>
                <w:szCs w:val="24"/>
              </w:rPr>
            </w:pPr>
            <w:r w:rsidRPr="00142DAA">
              <w:rPr>
                <w:sz w:val="24"/>
                <w:szCs w:val="24"/>
              </w:rPr>
              <w:t>341</w:t>
            </w:r>
          </w:p>
        </w:tc>
      </w:tr>
      <w:tr w:rsidR="007907E5" w:rsidRPr="00142DAA" w14:paraId="293A81E0" w14:textId="77777777" w:rsidTr="00A51294">
        <w:tc>
          <w:tcPr>
            <w:tcW w:w="482" w:type="dxa"/>
          </w:tcPr>
          <w:p w14:paraId="0FF88063" w14:textId="77777777" w:rsidR="007907E5" w:rsidRPr="00142DAA" w:rsidRDefault="007907E5" w:rsidP="00496317">
            <w:pPr>
              <w:pStyle w:val="Tabletext"/>
            </w:pPr>
            <w:r w:rsidRPr="00142DAA">
              <w:t>10</w:t>
            </w:r>
          </w:p>
        </w:tc>
        <w:tc>
          <w:tcPr>
            <w:tcW w:w="7466" w:type="dxa"/>
          </w:tcPr>
          <w:p w14:paraId="4B620266" w14:textId="77777777" w:rsidR="007907E5" w:rsidRPr="00142DAA" w:rsidRDefault="007907E5" w:rsidP="00496317">
            <w:pPr>
              <w:pStyle w:val="Tabletext"/>
              <w:rPr>
                <w:sz w:val="24"/>
                <w:szCs w:val="24"/>
              </w:rPr>
            </w:pPr>
            <w:r w:rsidRPr="00142DAA">
              <w:rPr>
                <w:sz w:val="24"/>
                <w:szCs w:val="24"/>
              </w:rPr>
              <w:t>Decimoctava serie de textos sometidos por la Comisión de Redacción (B18) – segunda lectura</w:t>
            </w:r>
          </w:p>
        </w:tc>
        <w:tc>
          <w:tcPr>
            <w:tcW w:w="2083" w:type="dxa"/>
          </w:tcPr>
          <w:p w14:paraId="0A02D1E2" w14:textId="77777777" w:rsidR="007907E5" w:rsidRPr="00142DAA" w:rsidRDefault="007907E5" w:rsidP="00496317">
            <w:pPr>
              <w:pStyle w:val="Tabletext"/>
              <w:rPr>
                <w:sz w:val="24"/>
                <w:szCs w:val="24"/>
              </w:rPr>
            </w:pPr>
            <w:r w:rsidRPr="00142DAA">
              <w:rPr>
                <w:sz w:val="24"/>
                <w:szCs w:val="24"/>
              </w:rPr>
              <w:t>341</w:t>
            </w:r>
          </w:p>
        </w:tc>
      </w:tr>
      <w:tr w:rsidR="007907E5" w:rsidRPr="00142DAA" w14:paraId="722835C2" w14:textId="77777777" w:rsidTr="00A51294">
        <w:tc>
          <w:tcPr>
            <w:tcW w:w="482" w:type="dxa"/>
          </w:tcPr>
          <w:p w14:paraId="44953FBF" w14:textId="77777777" w:rsidR="007907E5" w:rsidRPr="00142DAA" w:rsidRDefault="007907E5" w:rsidP="00496317">
            <w:pPr>
              <w:pStyle w:val="Tabletext"/>
            </w:pPr>
            <w:r w:rsidRPr="00142DAA">
              <w:t>11</w:t>
            </w:r>
          </w:p>
        </w:tc>
        <w:tc>
          <w:tcPr>
            <w:tcW w:w="7466" w:type="dxa"/>
          </w:tcPr>
          <w:p w14:paraId="2CBB6645" w14:textId="77777777" w:rsidR="007907E5" w:rsidRPr="00142DAA" w:rsidRDefault="007907E5" w:rsidP="00496317">
            <w:pPr>
              <w:pStyle w:val="Tabletext"/>
              <w:rPr>
                <w:sz w:val="24"/>
                <w:szCs w:val="24"/>
              </w:rPr>
            </w:pPr>
            <w:r w:rsidRPr="00142DAA">
              <w:rPr>
                <w:sz w:val="24"/>
                <w:szCs w:val="24"/>
              </w:rPr>
              <w:t>Decimonovena serie de textos sometidos por la Comisión de Redacción en primera lectura (B19)</w:t>
            </w:r>
          </w:p>
        </w:tc>
        <w:tc>
          <w:tcPr>
            <w:tcW w:w="2083" w:type="dxa"/>
          </w:tcPr>
          <w:p w14:paraId="2C4F1D6A" w14:textId="77777777" w:rsidR="007907E5" w:rsidRPr="00142DAA" w:rsidRDefault="007907E5" w:rsidP="00496317">
            <w:pPr>
              <w:pStyle w:val="Tabletext"/>
              <w:rPr>
                <w:sz w:val="24"/>
                <w:szCs w:val="24"/>
              </w:rPr>
            </w:pPr>
            <w:r w:rsidRPr="00142DAA">
              <w:rPr>
                <w:sz w:val="24"/>
                <w:szCs w:val="24"/>
              </w:rPr>
              <w:t>342</w:t>
            </w:r>
          </w:p>
        </w:tc>
      </w:tr>
      <w:tr w:rsidR="007907E5" w:rsidRPr="00142DAA" w14:paraId="30999264" w14:textId="77777777" w:rsidTr="00A51294">
        <w:tc>
          <w:tcPr>
            <w:tcW w:w="482" w:type="dxa"/>
          </w:tcPr>
          <w:p w14:paraId="0BA353E8" w14:textId="77777777" w:rsidR="007907E5" w:rsidRPr="00142DAA" w:rsidRDefault="007907E5" w:rsidP="00496317">
            <w:pPr>
              <w:pStyle w:val="Tabletext"/>
            </w:pPr>
            <w:r w:rsidRPr="00142DAA">
              <w:t>12</w:t>
            </w:r>
          </w:p>
        </w:tc>
        <w:tc>
          <w:tcPr>
            <w:tcW w:w="7466" w:type="dxa"/>
          </w:tcPr>
          <w:p w14:paraId="13D6ABA6" w14:textId="77777777" w:rsidR="007907E5" w:rsidRPr="00142DAA" w:rsidRDefault="007907E5" w:rsidP="00496317">
            <w:pPr>
              <w:pStyle w:val="Tabletext"/>
              <w:rPr>
                <w:sz w:val="24"/>
                <w:szCs w:val="24"/>
              </w:rPr>
            </w:pPr>
            <w:r w:rsidRPr="00142DAA">
              <w:rPr>
                <w:sz w:val="24"/>
                <w:szCs w:val="24"/>
              </w:rPr>
              <w:t>Decimonovena serie de textos sometidos por la Comisión de Redacción (B19) – segunda lectura</w:t>
            </w:r>
          </w:p>
        </w:tc>
        <w:tc>
          <w:tcPr>
            <w:tcW w:w="2083" w:type="dxa"/>
          </w:tcPr>
          <w:p w14:paraId="2D83B3E8" w14:textId="77777777" w:rsidR="007907E5" w:rsidRPr="00142DAA" w:rsidRDefault="007907E5" w:rsidP="00496317">
            <w:pPr>
              <w:pStyle w:val="Tabletext"/>
              <w:rPr>
                <w:sz w:val="24"/>
                <w:szCs w:val="24"/>
              </w:rPr>
            </w:pPr>
            <w:r w:rsidRPr="00142DAA">
              <w:rPr>
                <w:sz w:val="24"/>
                <w:szCs w:val="24"/>
              </w:rPr>
              <w:t>342</w:t>
            </w:r>
          </w:p>
        </w:tc>
      </w:tr>
      <w:tr w:rsidR="007907E5" w:rsidRPr="00142DAA" w14:paraId="418143C2" w14:textId="77777777" w:rsidTr="00A51294">
        <w:tc>
          <w:tcPr>
            <w:tcW w:w="482" w:type="dxa"/>
          </w:tcPr>
          <w:p w14:paraId="0E91C845" w14:textId="77777777" w:rsidR="007907E5" w:rsidRPr="00142DAA" w:rsidRDefault="007907E5" w:rsidP="00496317">
            <w:pPr>
              <w:pStyle w:val="Tabletext"/>
            </w:pPr>
            <w:r w:rsidRPr="00142DAA">
              <w:t>13</w:t>
            </w:r>
          </w:p>
        </w:tc>
        <w:tc>
          <w:tcPr>
            <w:tcW w:w="7466" w:type="dxa"/>
          </w:tcPr>
          <w:p w14:paraId="09BCAC8D" w14:textId="77777777" w:rsidR="007907E5" w:rsidRPr="00142DAA" w:rsidRDefault="007907E5" w:rsidP="00496317">
            <w:pPr>
              <w:pStyle w:val="Tabletext"/>
              <w:rPr>
                <w:sz w:val="24"/>
                <w:szCs w:val="24"/>
              </w:rPr>
            </w:pPr>
            <w:r w:rsidRPr="00142DAA">
              <w:rPr>
                <w:sz w:val="24"/>
                <w:szCs w:val="24"/>
              </w:rPr>
              <w:t>Vigésima serie de textos sometidos por la Comisión de Redacción en primera lectura (B20)</w:t>
            </w:r>
          </w:p>
        </w:tc>
        <w:tc>
          <w:tcPr>
            <w:tcW w:w="2083" w:type="dxa"/>
          </w:tcPr>
          <w:p w14:paraId="26345A84" w14:textId="77777777" w:rsidR="007907E5" w:rsidRPr="00142DAA" w:rsidRDefault="007907E5" w:rsidP="00496317">
            <w:pPr>
              <w:pStyle w:val="Tabletext"/>
              <w:rPr>
                <w:sz w:val="24"/>
                <w:szCs w:val="24"/>
              </w:rPr>
            </w:pPr>
            <w:r w:rsidRPr="00142DAA">
              <w:rPr>
                <w:sz w:val="24"/>
                <w:szCs w:val="24"/>
              </w:rPr>
              <w:t>346</w:t>
            </w:r>
          </w:p>
        </w:tc>
      </w:tr>
      <w:tr w:rsidR="007907E5" w:rsidRPr="00142DAA" w14:paraId="000C5B78" w14:textId="77777777" w:rsidTr="00A51294">
        <w:tc>
          <w:tcPr>
            <w:tcW w:w="482" w:type="dxa"/>
          </w:tcPr>
          <w:p w14:paraId="17114019" w14:textId="77777777" w:rsidR="007907E5" w:rsidRPr="00142DAA" w:rsidRDefault="007907E5" w:rsidP="00496317">
            <w:pPr>
              <w:pStyle w:val="Tabletext"/>
            </w:pPr>
            <w:r w:rsidRPr="00142DAA">
              <w:lastRenderedPageBreak/>
              <w:t>14</w:t>
            </w:r>
          </w:p>
        </w:tc>
        <w:tc>
          <w:tcPr>
            <w:tcW w:w="7466" w:type="dxa"/>
          </w:tcPr>
          <w:p w14:paraId="0BD4B1AA" w14:textId="77777777" w:rsidR="007907E5" w:rsidRPr="00142DAA" w:rsidRDefault="007907E5" w:rsidP="00496317">
            <w:pPr>
              <w:pStyle w:val="Tabletext"/>
              <w:rPr>
                <w:sz w:val="24"/>
                <w:szCs w:val="24"/>
              </w:rPr>
            </w:pPr>
            <w:r w:rsidRPr="00142DAA">
              <w:rPr>
                <w:sz w:val="24"/>
                <w:szCs w:val="24"/>
              </w:rPr>
              <w:t>Vigésima serie de textos sometidos por la Comisión de Redacción (B20) – segunda lectura</w:t>
            </w:r>
          </w:p>
        </w:tc>
        <w:tc>
          <w:tcPr>
            <w:tcW w:w="2083" w:type="dxa"/>
          </w:tcPr>
          <w:p w14:paraId="79B06B2B" w14:textId="77777777" w:rsidR="007907E5" w:rsidRPr="00142DAA" w:rsidRDefault="007907E5" w:rsidP="00496317">
            <w:pPr>
              <w:pStyle w:val="Tabletext"/>
              <w:rPr>
                <w:sz w:val="24"/>
                <w:szCs w:val="24"/>
              </w:rPr>
            </w:pPr>
            <w:r w:rsidRPr="00142DAA">
              <w:rPr>
                <w:sz w:val="24"/>
                <w:szCs w:val="24"/>
              </w:rPr>
              <w:t>346</w:t>
            </w:r>
          </w:p>
        </w:tc>
      </w:tr>
    </w:tbl>
    <w:p w14:paraId="751DAE08" w14:textId="77777777" w:rsidR="007907E5" w:rsidRPr="00142DAA" w:rsidRDefault="007907E5" w:rsidP="007907E5">
      <w:pPr>
        <w:jc w:val="center"/>
      </w:pPr>
    </w:p>
    <w:p w14:paraId="0EAA65E4" w14:textId="77777777" w:rsidR="007907E5" w:rsidRPr="00142DAA" w:rsidRDefault="007907E5" w:rsidP="007907E5">
      <w:pPr>
        <w:tabs>
          <w:tab w:val="clear" w:pos="1134"/>
          <w:tab w:val="clear" w:pos="1871"/>
          <w:tab w:val="clear" w:pos="2268"/>
        </w:tabs>
        <w:overflowPunct/>
        <w:autoSpaceDE/>
        <w:autoSpaceDN/>
        <w:adjustRightInd/>
        <w:spacing w:before="0"/>
        <w:textAlignment w:val="auto"/>
      </w:pPr>
      <w:r w:rsidRPr="00142DAA">
        <w:br w:type="page"/>
      </w:r>
    </w:p>
    <w:p w14:paraId="3A139C31" w14:textId="77777777" w:rsidR="007907E5" w:rsidRPr="00142DAA" w:rsidRDefault="007907E5" w:rsidP="007907E5">
      <w:pPr>
        <w:pStyle w:val="Heading1"/>
      </w:pPr>
      <w:r w:rsidRPr="00142DAA">
        <w:lastRenderedPageBreak/>
        <w:t>1</w:t>
      </w:r>
      <w:r w:rsidRPr="00142DAA">
        <w:tab/>
      </w:r>
      <w:r w:rsidRPr="00142DAA">
        <w:tab/>
        <w:t>Informes verbales de los Presidentes de las Comisiones</w:t>
      </w:r>
    </w:p>
    <w:p w14:paraId="1D5BDEC4" w14:textId="77777777" w:rsidR="007907E5" w:rsidRPr="00142DAA" w:rsidRDefault="007907E5" w:rsidP="007907E5">
      <w:r w:rsidRPr="00142DAA">
        <w:t>1.1</w:t>
      </w:r>
      <w:r w:rsidRPr="00142DAA">
        <w:tab/>
        <w:t xml:space="preserve">La </w:t>
      </w:r>
      <w:r w:rsidRPr="00142DAA">
        <w:rPr>
          <w:b/>
        </w:rPr>
        <w:t>Presidenta de la Comisión 2</w:t>
      </w:r>
      <w:r w:rsidRPr="00142DAA">
        <w:t xml:space="preserve"> informa de que, desde la aprobación de su informe final por la Plenaria, su Comisión ha recibido otros cinco instrumentos de credenciales, que se han considerado conformes. Una delegación que se ha sumado recientemente a la Conferencia aún no ha presentado su instrumento de credenciales. El Documento 305 se actualizará en consecuencia. </w:t>
      </w:r>
    </w:p>
    <w:p w14:paraId="687DCC4F" w14:textId="77777777" w:rsidR="007907E5" w:rsidRPr="00142DAA" w:rsidRDefault="007907E5" w:rsidP="007907E5">
      <w:r w:rsidRPr="00142DAA">
        <w:t>1.2</w:t>
      </w:r>
      <w:r w:rsidRPr="00142DAA">
        <w:tab/>
        <w:t xml:space="preserve">Se </w:t>
      </w:r>
      <w:r w:rsidRPr="00142DAA">
        <w:rPr>
          <w:b/>
          <w:bCs/>
        </w:rPr>
        <w:t>toma nota</w:t>
      </w:r>
      <w:r w:rsidRPr="00142DAA">
        <w:t xml:space="preserve"> del informe verbal de la Presidenta de la Comisión 2. </w:t>
      </w:r>
    </w:p>
    <w:p w14:paraId="3D13DB00" w14:textId="77777777" w:rsidR="007907E5" w:rsidRPr="00142DAA" w:rsidRDefault="007907E5" w:rsidP="007907E5">
      <w:r w:rsidRPr="00142DAA">
        <w:t>1.3</w:t>
      </w:r>
      <w:r w:rsidRPr="00142DAA">
        <w:tab/>
        <w:t xml:space="preserve">La </w:t>
      </w:r>
      <w:r w:rsidRPr="00142DAA">
        <w:rPr>
          <w:b/>
        </w:rPr>
        <w:t>Presidenta de la Comisión 3</w:t>
      </w:r>
      <w:r w:rsidRPr="00142DAA">
        <w:t xml:space="preserve"> indica que su Comisión celebrará su tercera y última reunión el lunes 11 de diciembre de 2023, fecha en la que examinará el estado financiero de la Conferencia y las repercusiones financieras provisionales de las decisiones de la CMR-23 a partir del 8 de diciembre de 2023. </w:t>
      </w:r>
    </w:p>
    <w:p w14:paraId="3DC562D8" w14:textId="77777777" w:rsidR="007907E5" w:rsidRPr="00142DAA" w:rsidRDefault="007907E5" w:rsidP="007907E5">
      <w:r w:rsidRPr="00142DAA">
        <w:t>1.4</w:t>
      </w:r>
      <w:r w:rsidRPr="00142DAA">
        <w:tab/>
        <w:t xml:space="preserve">Se </w:t>
      </w:r>
      <w:r w:rsidRPr="00142DAA">
        <w:rPr>
          <w:b/>
          <w:bCs/>
        </w:rPr>
        <w:t>toma nota</w:t>
      </w:r>
      <w:r w:rsidRPr="00142DAA">
        <w:t xml:space="preserve"> del informe verbal de la Presidenta de la Comisión 3. </w:t>
      </w:r>
    </w:p>
    <w:p w14:paraId="586DDC1F" w14:textId="77777777" w:rsidR="007907E5" w:rsidRPr="00142DAA" w:rsidRDefault="007907E5" w:rsidP="007907E5">
      <w:r w:rsidRPr="00142DAA">
        <w:t>1.5</w:t>
      </w:r>
      <w:r w:rsidRPr="00142DAA">
        <w:tab/>
        <w:t xml:space="preserve">El </w:t>
      </w:r>
      <w:r w:rsidRPr="00142DAA">
        <w:rPr>
          <w:b/>
        </w:rPr>
        <w:t>Presidente de la Comisión 4</w:t>
      </w:r>
      <w:r w:rsidRPr="00142DAA">
        <w:t xml:space="preserve"> indica que su Comisión se ha reunido una vez desde la sesión plenaria anterior y ha concluido el examen del Punto 1.6 del orden del día. Todos los grupos de trabajo han concluido su labor y la Comisión examinará los documentos de resultados en su próxima reunión. Quedan algunas cuestiones pendientes que probablemente deban seguir debatiéndose en el marco de la Comisión. </w:t>
      </w:r>
    </w:p>
    <w:p w14:paraId="09A2816F" w14:textId="77777777" w:rsidR="007907E5" w:rsidRPr="00142DAA" w:rsidRDefault="007907E5" w:rsidP="007907E5">
      <w:r w:rsidRPr="00142DAA">
        <w:t>1.6</w:t>
      </w:r>
      <w:r w:rsidRPr="00142DAA">
        <w:tab/>
        <w:t xml:space="preserve">Se </w:t>
      </w:r>
      <w:r w:rsidRPr="00142DAA">
        <w:rPr>
          <w:b/>
          <w:bCs/>
        </w:rPr>
        <w:t>toma nota</w:t>
      </w:r>
      <w:r w:rsidRPr="00142DAA">
        <w:t xml:space="preserve"> del informe verbal del Presidente de la Comisión 4. </w:t>
      </w:r>
    </w:p>
    <w:p w14:paraId="3A4C2F94" w14:textId="77777777" w:rsidR="007907E5" w:rsidRPr="00142DAA" w:rsidRDefault="007907E5" w:rsidP="007907E5">
      <w:r w:rsidRPr="00142DAA">
        <w:t>1.7</w:t>
      </w:r>
      <w:r w:rsidRPr="00142DAA">
        <w:tab/>
        <w:t xml:space="preserve">La </w:t>
      </w:r>
      <w:r w:rsidRPr="00142DAA">
        <w:rPr>
          <w:b/>
        </w:rPr>
        <w:t>Presidenta de la Comisión 5</w:t>
      </w:r>
      <w:r w:rsidRPr="00142DAA">
        <w:t xml:space="preserve"> indica que su Comisión ha celebrado una reunión desde la última sesión plenaria. La Comisión ha concluido sus trabajos sobre los Puntos 7 (Tema C) y 9.1 (Temas A y D) del orden del día, que se someterán a la aprobación de la sesión plenaria en curso (Documento 340). También ha logrado concluir sus trabajos sobre los Puntos 1.15 y 1.16 del orden del día, que se presentarán a la sesión plenaria del 11 de diciembre de 2023. Aunque los trabajos siguen su curso, todavía queda mucho por hacer. La Presidenta insta encarecidamente a todos los participantes a que hagan todo lo posible para alcanzar los compromisos necesarios a fin de obtener resultados satisfactorios para todos.</w:t>
      </w:r>
    </w:p>
    <w:p w14:paraId="17CA19B5" w14:textId="77777777" w:rsidR="007907E5" w:rsidRPr="00142DAA" w:rsidRDefault="007907E5" w:rsidP="007907E5">
      <w:r w:rsidRPr="00142DAA">
        <w:t>1.8</w:t>
      </w:r>
      <w:r w:rsidRPr="00142DAA">
        <w:tab/>
        <w:t xml:space="preserve">Se </w:t>
      </w:r>
      <w:r w:rsidRPr="00142DAA">
        <w:rPr>
          <w:b/>
          <w:bCs/>
        </w:rPr>
        <w:t>toma nota</w:t>
      </w:r>
      <w:r w:rsidRPr="00142DAA">
        <w:t xml:space="preserve"> del informe verbal de la Presidenta de la Comisión 5. </w:t>
      </w:r>
    </w:p>
    <w:p w14:paraId="3F48FF88" w14:textId="77777777" w:rsidR="007907E5" w:rsidRPr="00142DAA" w:rsidRDefault="007907E5" w:rsidP="007907E5">
      <w:r w:rsidRPr="00142DAA">
        <w:t>1.9</w:t>
      </w:r>
      <w:r w:rsidRPr="00142DAA">
        <w:tab/>
        <w:t xml:space="preserve">El </w:t>
      </w:r>
      <w:r w:rsidRPr="00142DAA">
        <w:rPr>
          <w:b/>
        </w:rPr>
        <w:t>Presidente de la Comisión 6</w:t>
      </w:r>
      <w:r w:rsidRPr="00142DAA">
        <w:t xml:space="preserve"> informa de que, en las dos últimas reuniones, su Comisión ha concluido sus trabajos sobre los Puntos 4, 8 y 9.1 del orden del día. Algunos de los resultados se someten a la sesión plenaria en curso (Documentos 341, 342 y 346), y el resto se someterá a la sesión plenaria del 11 de diciembre de 2023. En cuanto al Punto 10 del orden del día, el Grupo de Trabajo 6B examinará los resultados de los grupos de redacción en su reunión de este mismo día. Tras consultar con los jefes de los grupos regionales, se han priorizado los temas que se incluirán en el orden del día de la CMR</w:t>
      </w:r>
      <w:r w:rsidRPr="00142DAA">
        <w:noBreakHyphen/>
        <w:t xml:space="preserve">27 y en el orden del día preliminar de la CMR-31, y el grupo de trabajo aplicará este enfoque en su labor. El Presidente insta a los participantes a que den muestras del espíritu de colaboración y cooperación necesario para que la Comisión concluya su importante labor. </w:t>
      </w:r>
    </w:p>
    <w:p w14:paraId="6E7FE8E2" w14:textId="77777777" w:rsidR="007907E5" w:rsidRPr="00142DAA" w:rsidRDefault="007907E5" w:rsidP="007907E5">
      <w:r w:rsidRPr="00142DAA">
        <w:t>1.10</w:t>
      </w:r>
      <w:r w:rsidRPr="00142DAA">
        <w:tab/>
        <w:t xml:space="preserve">Se </w:t>
      </w:r>
      <w:r w:rsidRPr="00142DAA">
        <w:rPr>
          <w:b/>
          <w:bCs/>
        </w:rPr>
        <w:t>toma nota</w:t>
      </w:r>
      <w:r w:rsidRPr="00142DAA">
        <w:t xml:space="preserve"> del informe verbal del Presidente de la Comisión 6. </w:t>
      </w:r>
    </w:p>
    <w:p w14:paraId="3C161632" w14:textId="77777777" w:rsidR="007907E5" w:rsidRPr="00142DAA" w:rsidRDefault="007907E5" w:rsidP="007907E5">
      <w:r w:rsidRPr="00142DAA">
        <w:t>1.11</w:t>
      </w:r>
      <w:r w:rsidRPr="00142DAA">
        <w:tab/>
        <w:t xml:space="preserve">El </w:t>
      </w:r>
      <w:r w:rsidRPr="00142DAA">
        <w:rPr>
          <w:b/>
        </w:rPr>
        <w:t>Presidente</w:t>
      </w:r>
      <w:r w:rsidRPr="00142DAA">
        <w:t xml:space="preserve"> se hace eco de los llamamientos de los Presidentes de las Comisiones 5 y 6 y señala que la Conferencia debe acelerar sus trabajos para alcanzar un consenso sobre varios puntos del orden del día. </w:t>
      </w:r>
    </w:p>
    <w:p w14:paraId="365E4BD0" w14:textId="77777777" w:rsidR="007907E5" w:rsidRPr="00142DAA" w:rsidRDefault="007907E5" w:rsidP="007907E5">
      <w:r w:rsidRPr="00142DAA">
        <w:t>1.12</w:t>
      </w:r>
      <w:r w:rsidRPr="00142DAA">
        <w:tab/>
        <w:t xml:space="preserve">El </w:t>
      </w:r>
      <w:r w:rsidRPr="00142DAA">
        <w:rPr>
          <w:b/>
        </w:rPr>
        <w:t>Presidente de la Comisión 7</w:t>
      </w:r>
      <w:r w:rsidRPr="00142DAA">
        <w:t xml:space="preserve"> indica que su Comisión someterá seis series de textos a la aprobación de la Plenaria en curso.</w:t>
      </w:r>
    </w:p>
    <w:p w14:paraId="5A8F479F" w14:textId="77777777" w:rsidR="007907E5" w:rsidRPr="00142DAA" w:rsidRDefault="007907E5" w:rsidP="007907E5">
      <w:r w:rsidRPr="00142DAA">
        <w:t>1.13</w:t>
      </w:r>
      <w:r w:rsidRPr="00142DAA">
        <w:tab/>
        <w:t xml:space="preserve">Se </w:t>
      </w:r>
      <w:r w:rsidRPr="00142DAA">
        <w:rPr>
          <w:b/>
          <w:bCs/>
        </w:rPr>
        <w:t>toma nota</w:t>
      </w:r>
      <w:r w:rsidRPr="00142DAA">
        <w:t xml:space="preserve"> del informe verbal del Presidente de la Comisión 7.</w:t>
      </w:r>
    </w:p>
    <w:p w14:paraId="45BB8F87" w14:textId="77777777" w:rsidR="007907E5" w:rsidRPr="00142DAA" w:rsidRDefault="007907E5" w:rsidP="007907E5">
      <w:pPr>
        <w:pStyle w:val="Heading1"/>
        <w:rPr>
          <w:bCs/>
        </w:rPr>
      </w:pPr>
      <w:r w:rsidRPr="00142DAA">
        <w:lastRenderedPageBreak/>
        <w:t>2</w:t>
      </w:r>
      <w:r w:rsidRPr="00142DAA">
        <w:tab/>
        <w:t>Primer informe de la Comisión 6 a la Plenaria (Documento 357)</w:t>
      </w:r>
    </w:p>
    <w:p w14:paraId="477E160B" w14:textId="77777777" w:rsidR="007907E5" w:rsidRPr="00142DAA" w:rsidRDefault="007907E5" w:rsidP="007907E5">
      <w:pPr>
        <w:keepNext/>
        <w:keepLines/>
      </w:pPr>
      <w:r w:rsidRPr="00142DAA">
        <w:t>2.1</w:t>
      </w:r>
      <w:r w:rsidRPr="00142DAA">
        <w:tab/>
        <w:t xml:space="preserve">El </w:t>
      </w:r>
      <w:r w:rsidRPr="00142DAA">
        <w:rPr>
          <w:b/>
        </w:rPr>
        <w:t>Presidente de la Comisión 6</w:t>
      </w:r>
      <w:r w:rsidRPr="00142DAA">
        <w:t xml:space="preserve"> presenta el Documento 357, que contiene el primer informe de la Comisión 6 a la Plenaria, en el que se enumeran las 79 Resoluciones y 21 Recomendaciones que la Comisión ha acordado mantener sin cambios en el Punto 4 del orden del día, de conformidad con la Resolución 95 (Rev.CMR-19). Se invita a la Plenaria a aprobar el Documento 357 en el entendimiento de que las posibles decisiones futuras de la Conferencia en relación con otros puntos del orden del día pueden conllevar cambios de redacción en algunas de las Resoluciones y Recomendaciones enumeradas en el documento.</w:t>
      </w:r>
    </w:p>
    <w:p w14:paraId="4B208255" w14:textId="77777777" w:rsidR="007907E5" w:rsidRPr="00142DAA" w:rsidRDefault="007907E5" w:rsidP="007907E5">
      <w:r w:rsidRPr="00142DAA">
        <w:t>2.2</w:t>
      </w:r>
      <w:r w:rsidRPr="00142DAA">
        <w:tab/>
        <w:t xml:space="preserve">Se </w:t>
      </w:r>
      <w:r w:rsidRPr="00142DAA">
        <w:rPr>
          <w:b/>
        </w:rPr>
        <w:t>aprueba</w:t>
      </w:r>
      <w:r w:rsidRPr="00142DAA">
        <w:t xml:space="preserve"> el Documento 357, en ese entendimiento.</w:t>
      </w:r>
    </w:p>
    <w:p w14:paraId="3934C4A8" w14:textId="77777777" w:rsidR="007907E5" w:rsidRPr="00142DAA" w:rsidRDefault="007907E5" w:rsidP="007907E5">
      <w:pPr>
        <w:pStyle w:val="Heading1"/>
        <w:rPr>
          <w:bCs/>
        </w:rPr>
      </w:pPr>
      <w:r w:rsidRPr="00142DAA">
        <w:t>3</w:t>
      </w:r>
      <w:r w:rsidRPr="00142DAA">
        <w:tab/>
        <w:t>Decimoquinta serie de textos sometidos por la Comisión de Redacción en primera lectura (B15) (Documento 338)</w:t>
      </w:r>
    </w:p>
    <w:p w14:paraId="38692956" w14:textId="77777777" w:rsidR="007907E5" w:rsidRPr="00142DAA" w:rsidRDefault="007907E5" w:rsidP="007907E5">
      <w:r w:rsidRPr="00142DAA">
        <w:t>3.1</w:t>
      </w:r>
      <w:r w:rsidRPr="00142DAA">
        <w:tab/>
        <w:t xml:space="preserve">El </w:t>
      </w:r>
      <w:r w:rsidRPr="00142DAA">
        <w:rPr>
          <w:b/>
        </w:rPr>
        <w:t>Presidente de la Comisión de Redacción</w:t>
      </w:r>
      <w:r w:rsidRPr="00142DAA">
        <w:t xml:space="preserve"> presenta el Documento 338.</w:t>
      </w:r>
    </w:p>
    <w:p w14:paraId="3563ACF2" w14:textId="77777777" w:rsidR="007907E5" w:rsidRPr="00142DAA" w:rsidRDefault="007907E5" w:rsidP="007907E5">
      <w:r w:rsidRPr="00142DAA">
        <w:t>3.2</w:t>
      </w:r>
      <w:r w:rsidRPr="00142DAA">
        <w:tab/>
        <w:t xml:space="preserve">El </w:t>
      </w:r>
      <w:r w:rsidRPr="00142DAA">
        <w:rPr>
          <w:b/>
        </w:rPr>
        <w:t>Presidente</w:t>
      </w:r>
      <w:r w:rsidRPr="00142DAA">
        <w:t xml:space="preserve"> invita a la reunión a examinar el Documento 338.</w:t>
      </w:r>
    </w:p>
    <w:p w14:paraId="4BEE9E8C" w14:textId="77777777" w:rsidR="007907E5" w:rsidRPr="00142DAA" w:rsidRDefault="007907E5" w:rsidP="007907E5">
      <w:pPr>
        <w:rPr>
          <w:b/>
          <w:bCs/>
        </w:rPr>
      </w:pPr>
      <w:r w:rsidRPr="00142DAA">
        <w:rPr>
          <w:b/>
        </w:rPr>
        <w:t>Artículo 5 (MOD Cuadro 75,2-137,175 MHz, ADD 5.A17, ADD 5.B17, MOD 5.200, MOD Cuadro 890-1 300 MHz, ADD 5.A91B); Artículo 21 (MOD Cuadro 21-2); Apéndice 4 (MOD Cuadro 1, MOD Cuadro A); Apéndice 5 (MOD 1.1); ADD Resolución COM4/2 (WRC-23) – Utilización de la banda de frecuencias 117,975-137 MHz por el servicio móvil aeronáutico (R); SUP Resolución 428 (CMR-19); SUP Resolución 774 (CMR-19)</w:t>
      </w:r>
    </w:p>
    <w:p w14:paraId="1C454A83" w14:textId="77777777" w:rsidR="007907E5" w:rsidRPr="00142DAA" w:rsidRDefault="007907E5" w:rsidP="007907E5">
      <w:pPr>
        <w:rPr>
          <w:b/>
          <w:bCs/>
        </w:rPr>
      </w:pPr>
      <w:r w:rsidRPr="00142DAA">
        <w:t>3.3</w:t>
      </w:r>
      <w:r w:rsidRPr="00142DAA">
        <w:tab/>
        <w:t xml:space="preserve">Se </w:t>
      </w:r>
      <w:r w:rsidRPr="00142DAA">
        <w:rPr>
          <w:b/>
        </w:rPr>
        <w:t>aprueba</w:t>
      </w:r>
      <w:r w:rsidRPr="00142DAA">
        <w:t>.</w:t>
      </w:r>
    </w:p>
    <w:p w14:paraId="29483B6A" w14:textId="77777777" w:rsidR="007907E5" w:rsidRPr="00142DAA" w:rsidRDefault="007907E5" w:rsidP="007907E5">
      <w:r w:rsidRPr="00142DAA">
        <w:t>3.4</w:t>
      </w:r>
      <w:r w:rsidRPr="00142DAA">
        <w:rPr>
          <w:b/>
        </w:rPr>
        <w:tab/>
      </w:r>
      <w:r w:rsidRPr="00142DAA">
        <w:t xml:space="preserve">Se </w:t>
      </w:r>
      <w:r w:rsidRPr="00142DAA">
        <w:rPr>
          <w:b/>
        </w:rPr>
        <w:t>aprueba</w:t>
      </w:r>
      <w:r w:rsidRPr="00142DAA">
        <w:t xml:space="preserve"> la decimoquinta serie de textos sometidos por la Comisión de Redacción en primera lectura (B15) (Documento 338).</w:t>
      </w:r>
    </w:p>
    <w:p w14:paraId="531C1159" w14:textId="77777777" w:rsidR="007907E5" w:rsidRPr="00142DAA" w:rsidRDefault="007907E5" w:rsidP="007907E5">
      <w:pPr>
        <w:pStyle w:val="Heading1"/>
        <w:rPr>
          <w:bCs/>
        </w:rPr>
      </w:pPr>
      <w:r w:rsidRPr="00142DAA">
        <w:t>4</w:t>
      </w:r>
      <w:r w:rsidRPr="00142DAA">
        <w:tab/>
        <w:t>Decimoquinta serie de textos sometidos por la Comisión de Redacción (B15) – segunda lectura (Documento 338)</w:t>
      </w:r>
    </w:p>
    <w:p w14:paraId="76D253E0" w14:textId="77777777" w:rsidR="007907E5" w:rsidRPr="00142DAA" w:rsidRDefault="007907E5" w:rsidP="007907E5">
      <w:r w:rsidRPr="00142DAA">
        <w:t>4.1</w:t>
      </w:r>
      <w:r w:rsidRPr="00142DAA">
        <w:rPr>
          <w:b/>
        </w:rPr>
        <w:tab/>
      </w:r>
      <w:r w:rsidRPr="00142DAA">
        <w:t xml:space="preserve">Se </w:t>
      </w:r>
      <w:r w:rsidRPr="00142DAA">
        <w:rPr>
          <w:b/>
          <w:bCs/>
        </w:rPr>
        <w:t>aprueba</w:t>
      </w:r>
      <w:r w:rsidRPr="00142DAA">
        <w:t xml:space="preserve"> la decimoquinta serie de textos sometidos por la Comisión de Redacción (B15) (Documento 338) en segunda lectura.</w:t>
      </w:r>
    </w:p>
    <w:p w14:paraId="7DE8C2B0" w14:textId="77777777" w:rsidR="007907E5" w:rsidRPr="00142DAA" w:rsidRDefault="007907E5" w:rsidP="007907E5">
      <w:pPr>
        <w:pStyle w:val="Heading1"/>
        <w:rPr>
          <w:bCs/>
        </w:rPr>
      </w:pPr>
      <w:r w:rsidRPr="00142DAA">
        <w:t>5</w:t>
      </w:r>
      <w:r w:rsidRPr="00142DAA">
        <w:tab/>
        <w:t>Decimosexta serie de textos sometidos por la Comisión de Redacción en primera lectura (B16) (Documento 339)</w:t>
      </w:r>
    </w:p>
    <w:p w14:paraId="6581E620" w14:textId="77777777" w:rsidR="007907E5" w:rsidRPr="00142DAA" w:rsidRDefault="007907E5" w:rsidP="007907E5">
      <w:r w:rsidRPr="00142DAA">
        <w:t>5.1</w:t>
      </w:r>
      <w:r w:rsidRPr="00142DAA">
        <w:tab/>
        <w:t xml:space="preserve">El </w:t>
      </w:r>
      <w:r w:rsidRPr="00142DAA">
        <w:rPr>
          <w:b/>
        </w:rPr>
        <w:t>Presidente de la Comisión de Redacción</w:t>
      </w:r>
      <w:r w:rsidRPr="00142DAA">
        <w:t xml:space="preserve"> presenta el Documento 339.</w:t>
      </w:r>
    </w:p>
    <w:p w14:paraId="43665422" w14:textId="77777777" w:rsidR="007907E5" w:rsidRPr="00142DAA" w:rsidRDefault="007907E5" w:rsidP="007907E5">
      <w:r w:rsidRPr="00142DAA">
        <w:t>5.2</w:t>
      </w:r>
      <w:r w:rsidRPr="00142DAA">
        <w:tab/>
        <w:t xml:space="preserve">El </w:t>
      </w:r>
      <w:r w:rsidRPr="00142DAA">
        <w:rPr>
          <w:b/>
        </w:rPr>
        <w:t>Presidente</w:t>
      </w:r>
      <w:r w:rsidRPr="00142DAA">
        <w:t xml:space="preserve"> invita a la reunión a examinar el Documento 339.</w:t>
      </w:r>
    </w:p>
    <w:p w14:paraId="47B67584" w14:textId="77777777" w:rsidR="007907E5" w:rsidRPr="00142DAA" w:rsidRDefault="007907E5" w:rsidP="007907E5">
      <w:pPr>
        <w:rPr>
          <w:b/>
          <w:bCs/>
        </w:rPr>
      </w:pPr>
      <w:r w:rsidRPr="00142DAA">
        <w:rPr>
          <w:b/>
        </w:rPr>
        <w:t>Artículo 5 (MOD Cuadro 495-1 800 kHz, ADD 5.A111, MOD Cuadro 1 800-2 194 kHz, MOD 5.110, MOD Cuadro 3 230-5 003 kHz, MOD 5.132, MOD Cuadro 5 003-7 000 kHz, ADD 5.B111, MOD Cuadro 7 450-13 360 kHz, MOD Cuadro 13 360-18 030 kHz, MOD Cuadro 18 030-23 350 kHz, MOD Cuadro 23 350-27 500 kHz, MOD Cuadro 161,9375-223 MHz, MOD 5.228C, MOD Cuadro 1 610-1 660 MHz, MOD 5.375); Artículo 19 (MOD 19.11, MOD 19.83, MOD 19.97); Artículo 31 (MOD 31.7); Artículo 32 (MOD 32.7, MOD 32.7.1, MOD 32.10A, MOD 32.12, MOD 32.21A, MOD 32.23, MOD 32.31, MOD 32.34A, MOD 32.47, MOD 32.52, MOD 32.56, MOD 32.57, MOD 32.59, MOD 32.61); Artículo 33 (MOD 33.8, MOD 33.12, MOD 33.20, MOD 33.31, MOD 33.35, ADD 33.40</w:t>
      </w:r>
      <w:r w:rsidRPr="00142DAA">
        <w:rPr>
          <w:b/>
          <w:i/>
        </w:rPr>
        <w:t>bis</w:t>
      </w:r>
      <w:r w:rsidRPr="00142DAA">
        <w:rPr>
          <w:b/>
        </w:rPr>
        <w:t>, MOD 33.41, MOD 33.43, ADD 33.46A1, ADD 33.46A2, MOD 33.47, MOD 33.48, MOD 33.49); Artículo 34 (MOD Sección I); Artículo 47 (MOD Cuadro 47-1); Artículo 51 (MOD 51.40, MOD 51.41, MOD 51.44, MOD 51.49, ADD 51.49</w:t>
      </w:r>
      <w:r w:rsidRPr="00142DAA">
        <w:rPr>
          <w:b/>
          <w:i/>
        </w:rPr>
        <w:t>bis</w:t>
      </w:r>
      <w:r w:rsidRPr="00142DAA">
        <w:rPr>
          <w:b/>
        </w:rPr>
        <w:t>, ADD 51.49</w:t>
      </w:r>
      <w:r w:rsidRPr="00142DAA">
        <w:rPr>
          <w:b/>
          <w:i/>
        </w:rPr>
        <w:t>ter</w:t>
      </w:r>
      <w:r w:rsidRPr="00142DAA">
        <w:rPr>
          <w:b/>
        </w:rPr>
        <w:t xml:space="preserve">, ADD 51.64A1, ADD 51.64A2, ADD 51.64A3, ADD 51.64A4, ADD </w:t>
      </w:r>
      <w:r w:rsidRPr="00142DAA">
        <w:rPr>
          <w:b/>
        </w:rPr>
        <w:lastRenderedPageBreak/>
        <w:t>51.64A5); Artículo 52 (MOD 52.6, ADD 52.13A, MOD 52.97, MOD 52.101, MOD 52.103, MOD 52.111, ADD Sección IV</w:t>
      </w:r>
      <w:r w:rsidRPr="00142DAA">
        <w:rPr>
          <w:b/>
          <w:i/>
        </w:rPr>
        <w:t>bis</w:t>
      </w:r>
      <w:r w:rsidRPr="00142DAA">
        <w:rPr>
          <w:b/>
        </w:rPr>
        <w:t>, ADD 52.xx0, ADD 52.xx1, ADD 52.xx2, ADD 52.xx3, ADD 52.xx4, ADD 52.xx5, MOD 52.189, ADD 52.262A1, ADD B1, ADD 52.262A2, MOD 52.263, MOD B1, MOD 52.264, ADD 52.265A1); ADD Artículo 54</w:t>
      </w:r>
      <w:r w:rsidRPr="00142DAA">
        <w:rPr>
          <w:b/>
          <w:i/>
          <w:iCs/>
        </w:rPr>
        <w:t>bis</w:t>
      </w:r>
      <w:r w:rsidRPr="00142DAA">
        <w:rPr>
          <w:b/>
        </w:rPr>
        <w:t xml:space="preserve"> (ADD 54</w:t>
      </w:r>
      <w:r w:rsidRPr="00142DAA">
        <w:rPr>
          <w:b/>
          <w:i/>
        </w:rPr>
        <w:t>bis</w:t>
      </w:r>
      <w:r w:rsidRPr="00142DAA">
        <w:rPr>
          <w:b/>
        </w:rPr>
        <w:t>.1, ADD 54</w:t>
      </w:r>
      <w:r w:rsidRPr="00142DAA">
        <w:rPr>
          <w:b/>
          <w:i/>
        </w:rPr>
        <w:t>bis</w:t>
      </w:r>
      <w:r w:rsidRPr="00142DAA">
        <w:rPr>
          <w:b/>
        </w:rPr>
        <w:t>.2); Apéndice 14 (MOD Título); Apéndice 15 (MOD Cuadro 15-1, MOD Cuadro 15-2); Apéndice 17 (MOD PART A, MOD PARTE B Sección II); MOD Resolución 18 (Rev.WRC-15); MOD Resolución 349 (Rev.CMR-19); MOD Resolución 354 (CMR-07); ADD Resolución COM4/1 (CMR-23) – Coordinación de los servicios del sistema NAVDAT; Artículo 19 (SUP 19.96A); Artículo 32 (SUP 32.24, SUP 32.38, SUP 32.43, SUP 32.44, SUP 32.48, SUP 32.53); Artículo 33 (SUP 33.13, SUP 33.17, SUP 33.18, SUP 33.36, SUP 33.37, SUP 33.38)</w:t>
      </w:r>
    </w:p>
    <w:p w14:paraId="3DC728A3" w14:textId="77777777" w:rsidR="007907E5" w:rsidRPr="00142DAA" w:rsidRDefault="007907E5" w:rsidP="007907E5">
      <w:pPr>
        <w:rPr>
          <w:b/>
          <w:bCs/>
        </w:rPr>
      </w:pPr>
      <w:r w:rsidRPr="00142DAA">
        <w:t>5.3</w:t>
      </w:r>
      <w:r w:rsidRPr="00142DAA">
        <w:tab/>
        <w:t xml:space="preserve">Se </w:t>
      </w:r>
      <w:r w:rsidRPr="00142DAA">
        <w:rPr>
          <w:b/>
        </w:rPr>
        <w:t>aprueba</w:t>
      </w:r>
      <w:r w:rsidRPr="00142DAA">
        <w:t>.</w:t>
      </w:r>
    </w:p>
    <w:p w14:paraId="1C6ECD55" w14:textId="77777777" w:rsidR="007907E5" w:rsidRPr="00142DAA" w:rsidRDefault="007907E5" w:rsidP="007907E5">
      <w:r w:rsidRPr="00142DAA">
        <w:t>5.4</w:t>
      </w:r>
      <w:r w:rsidRPr="00142DAA">
        <w:rPr>
          <w:b/>
        </w:rPr>
        <w:tab/>
      </w:r>
      <w:r w:rsidRPr="00142DAA">
        <w:t xml:space="preserve">Se </w:t>
      </w:r>
      <w:r w:rsidRPr="00142DAA">
        <w:rPr>
          <w:b/>
          <w:bCs/>
        </w:rPr>
        <w:t>aprueba</w:t>
      </w:r>
      <w:r w:rsidRPr="00142DAA">
        <w:t xml:space="preserve"> la decimosexta serie de textos sometidos por la Comisión de Redacción en primera lectura (B16) (Documento 339).</w:t>
      </w:r>
    </w:p>
    <w:p w14:paraId="61C800BB" w14:textId="77777777" w:rsidR="007907E5" w:rsidRPr="00142DAA" w:rsidRDefault="007907E5" w:rsidP="007907E5">
      <w:pPr>
        <w:rPr>
          <w:b/>
          <w:bCs/>
        </w:rPr>
      </w:pPr>
      <w:r w:rsidRPr="00142DAA">
        <w:rPr>
          <w:b/>
        </w:rPr>
        <w:t>6</w:t>
      </w:r>
      <w:r w:rsidRPr="00142DAA">
        <w:rPr>
          <w:b/>
        </w:rPr>
        <w:tab/>
        <w:t>Decimosexta serie de textos sometidos por la Comisión de Redacción (B16) – segunda lectura (Documento 339)</w:t>
      </w:r>
    </w:p>
    <w:p w14:paraId="50D0F161" w14:textId="77777777" w:rsidR="007907E5" w:rsidRPr="00142DAA" w:rsidRDefault="007907E5" w:rsidP="007907E5">
      <w:r w:rsidRPr="00142DAA">
        <w:t>6.1</w:t>
      </w:r>
      <w:r w:rsidRPr="00142DAA">
        <w:rPr>
          <w:b/>
        </w:rPr>
        <w:tab/>
      </w:r>
      <w:r w:rsidRPr="00142DAA">
        <w:t xml:space="preserve">Se </w:t>
      </w:r>
      <w:r w:rsidRPr="00142DAA">
        <w:rPr>
          <w:b/>
          <w:bCs/>
        </w:rPr>
        <w:t>aprueba</w:t>
      </w:r>
      <w:r w:rsidRPr="00142DAA">
        <w:t xml:space="preserve"> la decimosexta serie de textos sometidos por la Comisión de Redacción (B16) (Documento 339) en segunda lectura.</w:t>
      </w:r>
    </w:p>
    <w:p w14:paraId="7AC90235" w14:textId="77777777" w:rsidR="007907E5" w:rsidRPr="00142DAA" w:rsidRDefault="007907E5" w:rsidP="007907E5">
      <w:pPr>
        <w:pStyle w:val="Heading1"/>
        <w:rPr>
          <w:bCs/>
        </w:rPr>
      </w:pPr>
      <w:r w:rsidRPr="00142DAA">
        <w:t>7</w:t>
      </w:r>
      <w:r w:rsidRPr="00142DAA">
        <w:tab/>
        <w:t>Decimoséptima serie de textos sometidos por la Comisión de Redacción en primera lectura (B17) (Documento 340)</w:t>
      </w:r>
    </w:p>
    <w:p w14:paraId="0C66A1A5" w14:textId="77777777" w:rsidR="007907E5" w:rsidRPr="00142DAA" w:rsidRDefault="007907E5" w:rsidP="007907E5">
      <w:r w:rsidRPr="00142DAA">
        <w:t>7.1</w:t>
      </w:r>
      <w:r w:rsidRPr="00142DAA">
        <w:tab/>
        <w:t xml:space="preserve">El </w:t>
      </w:r>
      <w:r w:rsidRPr="00142DAA">
        <w:rPr>
          <w:b/>
        </w:rPr>
        <w:t>Presidente de la Comisión de Redacción</w:t>
      </w:r>
      <w:r w:rsidRPr="00142DAA">
        <w:t xml:space="preserve"> presenta el Documento 340.</w:t>
      </w:r>
    </w:p>
    <w:p w14:paraId="5853EA1E" w14:textId="77777777" w:rsidR="007907E5" w:rsidRPr="00142DAA" w:rsidRDefault="007907E5" w:rsidP="007907E5">
      <w:r w:rsidRPr="00142DAA">
        <w:t>7.2</w:t>
      </w:r>
      <w:r w:rsidRPr="00142DAA">
        <w:tab/>
        <w:t xml:space="preserve">El </w:t>
      </w:r>
      <w:r w:rsidRPr="00142DAA">
        <w:rPr>
          <w:b/>
        </w:rPr>
        <w:t>Presidente</w:t>
      </w:r>
      <w:r w:rsidRPr="00142DAA">
        <w:t xml:space="preserve"> invita a la reunión a examinar el Documento 340.</w:t>
      </w:r>
    </w:p>
    <w:p w14:paraId="26495D10" w14:textId="77777777" w:rsidR="007907E5" w:rsidRPr="00142DAA" w:rsidRDefault="007907E5" w:rsidP="007907E5">
      <w:pPr>
        <w:rPr>
          <w:b/>
          <w:bCs/>
        </w:rPr>
      </w:pPr>
      <w:r w:rsidRPr="00142DAA">
        <w:rPr>
          <w:b/>
        </w:rPr>
        <w:t>Artículo 5 (MOD Cuadro 7 250-8 500 MHz, ADD 5.A7(C)3, MOD 5.461, MOD Cuadro 18,4-22GHz, ADD 5.B7(C)3, MOD Cuadro 29,9-34,2 GHz, MOD Cuadro 34,2-40 GHz, ADD 5.A91D); ADD Artículo 29B; ADD Resolución COM 5/1 (CMR-23) – Importancia de las aplicaciones del servicio de ayudas a la meteorología (meteorología espacial)</w:t>
      </w:r>
    </w:p>
    <w:p w14:paraId="6783F252" w14:textId="77777777" w:rsidR="007907E5" w:rsidRPr="00142DAA" w:rsidRDefault="007907E5" w:rsidP="007907E5">
      <w:r w:rsidRPr="00142DAA">
        <w:t>7.3</w:t>
      </w:r>
      <w:r w:rsidRPr="00142DAA">
        <w:rPr>
          <w:b/>
        </w:rPr>
        <w:tab/>
      </w:r>
      <w:r w:rsidRPr="00142DAA">
        <w:t xml:space="preserve">La </w:t>
      </w:r>
      <w:r w:rsidRPr="00142DAA">
        <w:rPr>
          <w:b/>
        </w:rPr>
        <w:t>delegada de China</w:t>
      </w:r>
      <w:r w:rsidRPr="00142DAA">
        <w:t xml:space="preserve"> señala a la atención de los presentes algunas discrepancias en la redacción del ADD 5.A91D, y pregunta si las modificaciones correspondientes del Apéndice 4 están incluidas en el Documento 340.</w:t>
      </w:r>
    </w:p>
    <w:p w14:paraId="4BF426E1" w14:textId="77777777" w:rsidR="007907E5" w:rsidRPr="00142DAA" w:rsidRDefault="007907E5" w:rsidP="007907E5">
      <w:pPr>
        <w:rPr>
          <w:b/>
          <w:bCs/>
        </w:rPr>
      </w:pPr>
      <w:r w:rsidRPr="00142DAA">
        <w:t>7.4</w:t>
      </w:r>
      <w:r w:rsidRPr="00142DAA">
        <w:tab/>
        <w:t xml:space="preserve">La </w:t>
      </w:r>
      <w:r w:rsidRPr="00142DAA">
        <w:rPr>
          <w:b/>
        </w:rPr>
        <w:t>Presidenta de la Comisión 5</w:t>
      </w:r>
      <w:r w:rsidRPr="00142DAA">
        <w:t xml:space="preserve"> dice que las modificaciones del Apéndice 4 no se han incluido en el Documento 340. Como los datos del Apéndice 4 se ven afectados por numerosos puntos del orden del día, su Comisión elaborará una compilación separada para presentarla a la Plenaria.</w:t>
      </w:r>
    </w:p>
    <w:p w14:paraId="70845F93" w14:textId="77777777" w:rsidR="007907E5" w:rsidRPr="00142DAA" w:rsidRDefault="007907E5" w:rsidP="007907E5">
      <w:r w:rsidRPr="00142DAA">
        <w:t>7.5</w:t>
      </w:r>
      <w:r w:rsidRPr="00142DAA">
        <w:rPr>
          <w:b/>
        </w:rPr>
        <w:tab/>
      </w:r>
      <w:r w:rsidRPr="00142DAA">
        <w:t xml:space="preserve">Tras un debate en el que participan los </w:t>
      </w:r>
      <w:r w:rsidRPr="00142DAA">
        <w:rPr>
          <w:b/>
          <w:bCs/>
        </w:rPr>
        <w:t>delegados de la República de Corea</w:t>
      </w:r>
      <w:r w:rsidRPr="00142DAA">
        <w:t xml:space="preserve">, la </w:t>
      </w:r>
      <w:r w:rsidRPr="00142DAA">
        <w:rPr>
          <w:b/>
          <w:bCs/>
        </w:rPr>
        <w:t>Federación de Rusia</w:t>
      </w:r>
      <w:r w:rsidRPr="00142DAA">
        <w:t xml:space="preserve"> y </w:t>
      </w:r>
      <w:r w:rsidRPr="00142DAA">
        <w:rPr>
          <w:b/>
          <w:bCs/>
        </w:rPr>
        <w:t>China</w:t>
      </w:r>
      <w:r w:rsidRPr="00142DAA">
        <w:t>, el Presidente invita a la Plenaria a proceder a la aprobación del Documento 340, con la excepción de la nota ADD 5.A91D, que se devolverá a la Comisión de Redacción para que se siga examinado y se vuelva a presentar a una sesión plenaria posterior.</w:t>
      </w:r>
    </w:p>
    <w:p w14:paraId="21538271" w14:textId="77777777" w:rsidR="007907E5" w:rsidRPr="00142DAA" w:rsidRDefault="007907E5" w:rsidP="007907E5">
      <w:r w:rsidRPr="00142DAA">
        <w:t>7.6</w:t>
      </w:r>
      <w:r w:rsidRPr="00142DAA">
        <w:tab/>
        <w:t xml:space="preserve">Así se </w:t>
      </w:r>
      <w:r w:rsidRPr="00142DAA">
        <w:rPr>
          <w:b/>
        </w:rPr>
        <w:t>acuerda</w:t>
      </w:r>
      <w:r w:rsidRPr="00142DAA">
        <w:t>.</w:t>
      </w:r>
    </w:p>
    <w:p w14:paraId="1BBFDC3B" w14:textId="77777777" w:rsidR="007907E5" w:rsidRPr="00142DAA" w:rsidRDefault="007907E5" w:rsidP="007907E5">
      <w:r w:rsidRPr="00142DAA">
        <w:t>7.7</w:t>
      </w:r>
      <w:r w:rsidRPr="00142DAA">
        <w:tab/>
        <w:t xml:space="preserve">Con la excepción del ADD 5.A91D, se </w:t>
      </w:r>
      <w:r w:rsidRPr="00142DAA">
        <w:rPr>
          <w:b/>
        </w:rPr>
        <w:t>aprueba</w:t>
      </w:r>
      <w:r w:rsidRPr="00142DAA">
        <w:t xml:space="preserve"> la decimoséptima serie de textos sometidos por la Comisión de Redacción en primera lectura (B17) (Documento 340).</w:t>
      </w:r>
    </w:p>
    <w:p w14:paraId="2A70793C" w14:textId="77777777" w:rsidR="007907E5" w:rsidRPr="00142DAA" w:rsidRDefault="007907E5" w:rsidP="007907E5">
      <w:pPr>
        <w:pStyle w:val="Heading1"/>
        <w:rPr>
          <w:bCs/>
        </w:rPr>
      </w:pPr>
      <w:r w:rsidRPr="00142DAA">
        <w:lastRenderedPageBreak/>
        <w:t>8</w:t>
      </w:r>
      <w:r w:rsidRPr="00142DAA">
        <w:tab/>
        <w:t>Decimoséptima serie de textos sometidos por la Comisión de Redacción (B17) – segunda lectura (Documento 340)</w:t>
      </w:r>
    </w:p>
    <w:p w14:paraId="37E7B64F" w14:textId="77777777" w:rsidR="007907E5" w:rsidRPr="00142DAA" w:rsidRDefault="007907E5" w:rsidP="007907E5">
      <w:r w:rsidRPr="00142DAA">
        <w:t>8.1</w:t>
      </w:r>
      <w:r w:rsidRPr="00142DAA">
        <w:rPr>
          <w:b/>
        </w:rPr>
        <w:tab/>
      </w:r>
      <w:r w:rsidRPr="00142DAA">
        <w:t xml:space="preserve">Con la excepción del ADD 5.A91D, se </w:t>
      </w:r>
      <w:r w:rsidRPr="00142DAA">
        <w:rPr>
          <w:b/>
        </w:rPr>
        <w:t>aprueba</w:t>
      </w:r>
      <w:r w:rsidRPr="00142DAA">
        <w:t xml:space="preserve"> la decimoséptima serie de textos sometidos por la Comisión de Redacción (B17) (Documento 340) en segunda lectura.</w:t>
      </w:r>
    </w:p>
    <w:p w14:paraId="4F49C16D" w14:textId="77777777" w:rsidR="007907E5" w:rsidRPr="00142DAA" w:rsidRDefault="007907E5" w:rsidP="007907E5">
      <w:pPr>
        <w:pStyle w:val="Heading1"/>
        <w:rPr>
          <w:bCs/>
        </w:rPr>
      </w:pPr>
      <w:r w:rsidRPr="00142DAA">
        <w:t>9</w:t>
      </w:r>
      <w:r w:rsidRPr="00142DAA">
        <w:tab/>
        <w:t>Decimoctava serie de textos sometidos por la Comisión de Redacción en primera lectura (B18) (Documento 341)</w:t>
      </w:r>
    </w:p>
    <w:p w14:paraId="5B8E4C6F" w14:textId="77777777" w:rsidR="007907E5" w:rsidRPr="00142DAA" w:rsidRDefault="007907E5" w:rsidP="007907E5">
      <w:r w:rsidRPr="00142DAA">
        <w:t>9.1</w:t>
      </w:r>
      <w:r w:rsidRPr="00142DAA">
        <w:tab/>
        <w:t xml:space="preserve">El </w:t>
      </w:r>
      <w:r w:rsidRPr="00142DAA">
        <w:rPr>
          <w:b/>
        </w:rPr>
        <w:t>Presidente de la Comisión de Redacción</w:t>
      </w:r>
      <w:r w:rsidRPr="00142DAA">
        <w:t xml:space="preserve"> presenta el Documento 341.</w:t>
      </w:r>
    </w:p>
    <w:p w14:paraId="7D17365B" w14:textId="77777777" w:rsidR="007907E5" w:rsidRPr="00142DAA" w:rsidRDefault="007907E5" w:rsidP="007907E5">
      <w:r w:rsidRPr="00142DAA">
        <w:t>9.2</w:t>
      </w:r>
      <w:r w:rsidRPr="00142DAA">
        <w:tab/>
        <w:t xml:space="preserve">El </w:t>
      </w:r>
      <w:r w:rsidRPr="00142DAA">
        <w:rPr>
          <w:b/>
        </w:rPr>
        <w:t>Presidente</w:t>
      </w:r>
      <w:r w:rsidRPr="00142DAA">
        <w:t xml:space="preserve"> invita a la reunión a examinar el Documento 341.</w:t>
      </w:r>
    </w:p>
    <w:p w14:paraId="7E8D40CF" w14:textId="77777777" w:rsidR="007907E5" w:rsidRPr="00142DAA" w:rsidRDefault="007907E5" w:rsidP="007907E5">
      <w:pPr>
        <w:rPr>
          <w:b/>
          <w:bCs/>
        </w:rPr>
      </w:pPr>
      <w:r w:rsidRPr="00142DAA">
        <w:rPr>
          <w:b/>
        </w:rPr>
        <w:t>SUP Resolución 177 (CMR-19)</w:t>
      </w:r>
    </w:p>
    <w:p w14:paraId="0BFC39DE" w14:textId="77777777" w:rsidR="007907E5" w:rsidRPr="00142DAA" w:rsidRDefault="007907E5" w:rsidP="007907E5">
      <w:pPr>
        <w:rPr>
          <w:b/>
          <w:bCs/>
        </w:rPr>
      </w:pPr>
      <w:r w:rsidRPr="00142DAA">
        <w:t>9.3</w:t>
      </w:r>
      <w:r w:rsidRPr="00142DAA">
        <w:tab/>
        <w:t xml:space="preserve">Se </w:t>
      </w:r>
      <w:r w:rsidRPr="00142DAA">
        <w:rPr>
          <w:b/>
        </w:rPr>
        <w:t>aprueba</w:t>
      </w:r>
      <w:r w:rsidRPr="00142DAA">
        <w:t>.</w:t>
      </w:r>
    </w:p>
    <w:p w14:paraId="6644A614" w14:textId="77777777" w:rsidR="007907E5" w:rsidRPr="00142DAA" w:rsidRDefault="007907E5" w:rsidP="007907E5">
      <w:r w:rsidRPr="00142DAA">
        <w:t>9.4</w:t>
      </w:r>
      <w:r w:rsidRPr="00142DAA">
        <w:tab/>
        <w:t xml:space="preserve">Se </w:t>
      </w:r>
      <w:r w:rsidRPr="00142DAA">
        <w:rPr>
          <w:b/>
          <w:bCs/>
        </w:rPr>
        <w:t>aprueba</w:t>
      </w:r>
      <w:r w:rsidRPr="00142DAA">
        <w:t xml:space="preserve"> la decimoctava serie de textos sometidos por la Comisión de Redacción en primera lectura (B18) (Documento 341).</w:t>
      </w:r>
    </w:p>
    <w:p w14:paraId="72A44273" w14:textId="77777777" w:rsidR="007907E5" w:rsidRPr="00142DAA" w:rsidRDefault="007907E5" w:rsidP="007907E5">
      <w:pPr>
        <w:pStyle w:val="Heading1"/>
        <w:rPr>
          <w:bCs/>
        </w:rPr>
      </w:pPr>
      <w:r w:rsidRPr="00142DAA">
        <w:t>10</w:t>
      </w:r>
      <w:r w:rsidRPr="00142DAA">
        <w:tab/>
        <w:t>Decimoctava serie de textos sometidos por la Comisión de Redacción (B18) – segunda lectura (Documento 341)</w:t>
      </w:r>
    </w:p>
    <w:p w14:paraId="22963947" w14:textId="77777777" w:rsidR="007907E5" w:rsidRPr="00142DAA" w:rsidRDefault="007907E5" w:rsidP="007907E5">
      <w:r w:rsidRPr="00142DAA">
        <w:t>10.1</w:t>
      </w:r>
      <w:r w:rsidRPr="00142DAA">
        <w:rPr>
          <w:b/>
        </w:rPr>
        <w:tab/>
      </w:r>
      <w:r w:rsidRPr="00142DAA">
        <w:t xml:space="preserve">Se </w:t>
      </w:r>
      <w:r w:rsidRPr="00142DAA">
        <w:rPr>
          <w:b/>
          <w:bCs/>
        </w:rPr>
        <w:t>aprueba</w:t>
      </w:r>
      <w:r w:rsidRPr="00142DAA">
        <w:t xml:space="preserve"> la decimoctava serie de textos sometidos por la Comisión de Redacción (B18) (Documento 341) en segunda lectura.</w:t>
      </w:r>
    </w:p>
    <w:p w14:paraId="78202A3D" w14:textId="77777777" w:rsidR="007907E5" w:rsidRPr="00142DAA" w:rsidRDefault="007907E5" w:rsidP="007907E5">
      <w:pPr>
        <w:pStyle w:val="Heading1"/>
        <w:rPr>
          <w:bCs/>
        </w:rPr>
      </w:pPr>
      <w:r w:rsidRPr="00142DAA">
        <w:t>11</w:t>
      </w:r>
      <w:r w:rsidRPr="00142DAA">
        <w:tab/>
        <w:t>Decimonovena serie de textos sometidos por la Comisión de Redacción en primera lectura (B19) (Documento 342)</w:t>
      </w:r>
    </w:p>
    <w:p w14:paraId="05015103" w14:textId="77777777" w:rsidR="007907E5" w:rsidRPr="00142DAA" w:rsidRDefault="007907E5" w:rsidP="007907E5">
      <w:pPr>
        <w:rPr>
          <w:b/>
        </w:rPr>
      </w:pPr>
      <w:r w:rsidRPr="00142DAA">
        <w:t>11.1</w:t>
      </w:r>
      <w:r w:rsidRPr="00142DAA">
        <w:tab/>
        <w:t xml:space="preserve">El </w:t>
      </w:r>
      <w:r w:rsidRPr="00142DAA">
        <w:rPr>
          <w:b/>
        </w:rPr>
        <w:t>Presidente de la Comisión de Redacción</w:t>
      </w:r>
      <w:r w:rsidRPr="00142DAA">
        <w:t xml:space="preserve"> presenta el Documento 342. El Presidente explica que en el documento se han puesto entre corchetes algunas fechas por motivos puramente editoriales, allí donde se hace referencia a otras Resoluciones sobre las que aún no han concluido los trabajos. Una vez recopiladas en las actas finales, se mantendrán las referencias correctas.</w:t>
      </w:r>
    </w:p>
    <w:p w14:paraId="1E8D9478" w14:textId="77777777" w:rsidR="007907E5" w:rsidRPr="00142DAA" w:rsidRDefault="007907E5" w:rsidP="007907E5">
      <w:r w:rsidRPr="00142DAA">
        <w:t>11.2</w:t>
      </w:r>
      <w:r w:rsidRPr="00142DAA">
        <w:tab/>
        <w:t xml:space="preserve">El </w:t>
      </w:r>
      <w:r w:rsidRPr="00142DAA">
        <w:rPr>
          <w:b/>
        </w:rPr>
        <w:t>Presidente</w:t>
      </w:r>
      <w:r w:rsidRPr="00142DAA">
        <w:t xml:space="preserve"> invita a la reunión a examinar el Documento 342.</w:t>
      </w:r>
    </w:p>
    <w:p w14:paraId="388571CC" w14:textId="77777777" w:rsidR="007907E5" w:rsidRPr="00142DAA" w:rsidRDefault="007907E5" w:rsidP="007907E5">
      <w:pPr>
        <w:rPr>
          <w:b/>
          <w:bCs/>
        </w:rPr>
      </w:pPr>
      <w:r w:rsidRPr="00142DAA">
        <w:rPr>
          <w:b/>
        </w:rPr>
        <w:t>Artículo 5 (MOD 5.197A, MOD 5.312A, MOD 5.351A, MOD 5.353A, MOD 5.357A, MOD 5.379D, MOD 5.389A, MOD 5.389C, MOD 5.436, MOD 5.446A, MOD 5.447 MOD 5.447F, MOD 5.450A, MOD 5.457A, MOD 5.457B, MOD 5.506A, MOD 5.506B, MOD 5.517A, MOD 5.530E, MOD 5.532AA, MOD 5.532AB, MOD 5.534A, MOD 5.536A, MOD 5.543B, MOD 5.550B, MOD 5.550D, MOD 5.553B, MOD 5.559AA); Artículo 48 (MOD 48.7); Apéndice 4 (MOD Cuadro 2, MOD Anexo 2 Cuadro A); MOD Resolución 22 (WRC-19); MOD Resolución 85 (CMR-03); MOD Resolución 165 (CMR-19); MOD Resolución 166 (CMR-19); MOD Resolución 167 (CMR-19); MOD Resolución 168 (CMR-19); MOD Resolución 169 (CMR-19); MOD Resolución 212 (Rev.CMR-19); MOD Resolución 217 (CMR-97); MOD Resolución 222 (Rev.CMR-12); MOD Resolución 225 (Rev.CMR-12); MOD Resolución 229 (Rev.CMR-19); MOD Resolución 241 (CMR-19); MOD Resolución 242 (CMR-19); MOD Resolución 243 (CMR-19); MOD Resolución 244 (CMR-19); MOD Resolución 413 (Rev.CMR-12); MOD Resolución 424 (CMR-15); MOD Resolución 716 (Rev.CMR-12); MOD Resolución 744 (Rev.CMR-07); MOD Resolución 749 (Rev.CMR-19); MOD Resolución 902 (Rev.CMR-03); MOD Recomendación 37 (Rev.CMR-03)</w:t>
      </w:r>
    </w:p>
    <w:p w14:paraId="726B6D68" w14:textId="77777777" w:rsidR="007907E5" w:rsidRPr="00142DAA" w:rsidRDefault="007907E5" w:rsidP="007907E5">
      <w:pPr>
        <w:rPr>
          <w:b/>
          <w:bCs/>
        </w:rPr>
      </w:pPr>
      <w:r w:rsidRPr="00142DAA">
        <w:t>11.3</w:t>
      </w:r>
      <w:r w:rsidRPr="00142DAA">
        <w:tab/>
        <w:t xml:space="preserve">Se </w:t>
      </w:r>
      <w:r w:rsidRPr="00142DAA">
        <w:rPr>
          <w:b/>
        </w:rPr>
        <w:t>aprueba</w:t>
      </w:r>
      <w:r w:rsidRPr="00142DAA">
        <w:t>.</w:t>
      </w:r>
    </w:p>
    <w:p w14:paraId="1E5127DE" w14:textId="77777777" w:rsidR="007907E5" w:rsidRPr="00142DAA" w:rsidRDefault="007907E5" w:rsidP="007907E5">
      <w:r w:rsidRPr="00142DAA">
        <w:t>11.4</w:t>
      </w:r>
      <w:r w:rsidRPr="00142DAA">
        <w:tab/>
        <w:t xml:space="preserve">Se </w:t>
      </w:r>
      <w:r w:rsidRPr="00142DAA">
        <w:rPr>
          <w:b/>
          <w:bCs/>
        </w:rPr>
        <w:t>aprueba</w:t>
      </w:r>
      <w:r w:rsidRPr="00142DAA">
        <w:t xml:space="preserve"> la decimonovena serie de textos sometidos por la Comisión de Redacción en primera lectura (B19) (Documento 342).</w:t>
      </w:r>
    </w:p>
    <w:p w14:paraId="2A733782" w14:textId="77777777" w:rsidR="007907E5" w:rsidRPr="00142DAA" w:rsidRDefault="007907E5" w:rsidP="007907E5">
      <w:pPr>
        <w:pStyle w:val="Heading1"/>
        <w:rPr>
          <w:bCs/>
        </w:rPr>
      </w:pPr>
      <w:r w:rsidRPr="00142DAA">
        <w:lastRenderedPageBreak/>
        <w:t>12</w:t>
      </w:r>
      <w:r w:rsidRPr="00142DAA">
        <w:tab/>
        <w:t>Decimonovena serie de textos sometidos por la Comisión de Redacción (B19) – segunda lectura (Documento 342)</w:t>
      </w:r>
    </w:p>
    <w:p w14:paraId="2125311F" w14:textId="77777777" w:rsidR="007907E5" w:rsidRPr="00142DAA" w:rsidRDefault="007907E5" w:rsidP="007907E5">
      <w:r w:rsidRPr="00142DAA">
        <w:t>12.1</w:t>
      </w:r>
      <w:r w:rsidRPr="00142DAA">
        <w:rPr>
          <w:b/>
        </w:rPr>
        <w:tab/>
      </w:r>
      <w:r w:rsidRPr="00142DAA">
        <w:t xml:space="preserve">Se </w:t>
      </w:r>
      <w:r w:rsidRPr="00142DAA">
        <w:rPr>
          <w:b/>
          <w:bCs/>
        </w:rPr>
        <w:t>aprueba</w:t>
      </w:r>
      <w:r w:rsidRPr="00142DAA">
        <w:t xml:space="preserve"> la decimonovena serie de textos sometidos por la Comisión de Redacción (B19) (Documento 342) en segunda lectura.</w:t>
      </w:r>
    </w:p>
    <w:p w14:paraId="2ADA4343" w14:textId="77777777" w:rsidR="007907E5" w:rsidRPr="00142DAA" w:rsidRDefault="007907E5" w:rsidP="007907E5">
      <w:pPr>
        <w:pStyle w:val="Heading1"/>
        <w:rPr>
          <w:bCs/>
        </w:rPr>
      </w:pPr>
      <w:r w:rsidRPr="00142DAA">
        <w:t>13</w:t>
      </w:r>
      <w:r w:rsidRPr="00142DAA">
        <w:tab/>
        <w:t>Vigésima serie de textos sometidos por la Comisión de Redacción en primera lectura (B20) (Documento 346)</w:t>
      </w:r>
    </w:p>
    <w:p w14:paraId="12532261" w14:textId="77777777" w:rsidR="007907E5" w:rsidRPr="00142DAA" w:rsidRDefault="007907E5" w:rsidP="007907E5">
      <w:r w:rsidRPr="00142DAA">
        <w:t>13.1</w:t>
      </w:r>
      <w:r w:rsidRPr="00142DAA">
        <w:tab/>
        <w:t xml:space="preserve">El </w:t>
      </w:r>
      <w:r w:rsidRPr="00142DAA">
        <w:rPr>
          <w:b/>
        </w:rPr>
        <w:t>Presidente de la Comisión de Redacción</w:t>
      </w:r>
      <w:r w:rsidRPr="00142DAA">
        <w:t xml:space="preserve"> presenta el Documento 346.</w:t>
      </w:r>
    </w:p>
    <w:p w14:paraId="1A5AB031" w14:textId="77777777" w:rsidR="007907E5" w:rsidRPr="00142DAA" w:rsidRDefault="007907E5" w:rsidP="007907E5">
      <w:r w:rsidRPr="00142DAA">
        <w:t>13.2</w:t>
      </w:r>
      <w:r w:rsidRPr="00142DAA">
        <w:tab/>
        <w:t xml:space="preserve">El </w:t>
      </w:r>
      <w:r w:rsidRPr="00142DAA">
        <w:rPr>
          <w:b/>
        </w:rPr>
        <w:t>Presidente</w:t>
      </w:r>
      <w:r w:rsidRPr="00142DAA">
        <w:t xml:space="preserve"> invita a la reunión a examinar el Documento 346.</w:t>
      </w:r>
    </w:p>
    <w:p w14:paraId="2426102F" w14:textId="77777777" w:rsidR="007907E5" w:rsidRPr="00142DAA" w:rsidRDefault="007907E5" w:rsidP="007907E5">
      <w:pPr>
        <w:rPr>
          <w:b/>
          <w:bCs/>
        </w:rPr>
      </w:pPr>
      <w:r w:rsidRPr="00142DAA">
        <w:rPr>
          <w:b/>
        </w:rPr>
        <w:t>Artículo 5 (MOD 5.98, MOD 5.175, MOD 5.177, MOD 5.221, MOD 5.291A, MOD 5.322, MOD 5.325A, MOD 5.330, MOD 5.331, MOD 5.349, MOD 5.453, MOD 5.494, MOD 5.524, MOD 5.536B, MOD 5.542, MOD 5.546, MOD 5.553A); MOD Resolución 26 (Rev.CMR-19)</w:t>
      </w:r>
    </w:p>
    <w:p w14:paraId="6347A062" w14:textId="77777777" w:rsidR="007907E5" w:rsidRPr="00142DAA" w:rsidRDefault="007907E5" w:rsidP="007907E5">
      <w:pPr>
        <w:rPr>
          <w:b/>
          <w:bCs/>
        </w:rPr>
      </w:pPr>
      <w:r w:rsidRPr="00142DAA">
        <w:t>13.3</w:t>
      </w:r>
      <w:r w:rsidRPr="00142DAA">
        <w:tab/>
        <w:t xml:space="preserve">Se </w:t>
      </w:r>
      <w:r w:rsidRPr="00142DAA">
        <w:rPr>
          <w:b/>
        </w:rPr>
        <w:t>aprueba</w:t>
      </w:r>
      <w:r w:rsidRPr="00142DAA">
        <w:t>.</w:t>
      </w:r>
    </w:p>
    <w:p w14:paraId="4DE0AA1D" w14:textId="77777777" w:rsidR="007907E5" w:rsidRPr="00142DAA" w:rsidRDefault="007907E5" w:rsidP="007907E5">
      <w:r w:rsidRPr="00142DAA">
        <w:t>13.4</w:t>
      </w:r>
      <w:r w:rsidRPr="00142DAA">
        <w:rPr>
          <w:b/>
        </w:rPr>
        <w:tab/>
      </w:r>
      <w:r w:rsidRPr="00142DAA">
        <w:t xml:space="preserve">Se </w:t>
      </w:r>
      <w:r w:rsidRPr="00142DAA">
        <w:rPr>
          <w:b/>
          <w:bCs/>
        </w:rPr>
        <w:t>aprueba</w:t>
      </w:r>
      <w:r w:rsidRPr="00142DAA">
        <w:t xml:space="preserve"> la vigésima serie de textos sometidos por la Comisión de Redacción en primera lectura (B20) (Documento 346).</w:t>
      </w:r>
    </w:p>
    <w:p w14:paraId="3EEB048F" w14:textId="77777777" w:rsidR="007907E5" w:rsidRPr="00142DAA" w:rsidRDefault="007907E5" w:rsidP="007907E5">
      <w:pPr>
        <w:pStyle w:val="Heading1"/>
        <w:rPr>
          <w:bCs/>
        </w:rPr>
      </w:pPr>
      <w:r w:rsidRPr="00142DAA">
        <w:t>14</w:t>
      </w:r>
      <w:r w:rsidRPr="00142DAA">
        <w:tab/>
        <w:t>Vigésima serie de textos sometidos por la Comisión de Redacción (B20) – segunda lectura (Documento 346)</w:t>
      </w:r>
    </w:p>
    <w:p w14:paraId="591ABC9C" w14:textId="77777777" w:rsidR="007907E5" w:rsidRPr="00142DAA" w:rsidRDefault="007907E5" w:rsidP="007907E5">
      <w:r w:rsidRPr="00142DAA">
        <w:t>14.1</w:t>
      </w:r>
      <w:r w:rsidRPr="00142DAA">
        <w:rPr>
          <w:b/>
        </w:rPr>
        <w:tab/>
      </w:r>
      <w:r w:rsidRPr="00142DAA">
        <w:t xml:space="preserve">Se </w:t>
      </w:r>
      <w:r w:rsidRPr="00142DAA">
        <w:rPr>
          <w:b/>
          <w:bCs/>
        </w:rPr>
        <w:t>aprueba</w:t>
      </w:r>
      <w:r w:rsidRPr="00142DAA">
        <w:t xml:space="preserve"> la vigésima serie de textos sometidos por la Comisión de Redacción (B20) (Documento 346) en segunda lectura.</w:t>
      </w:r>
    </w:p>
    <w:p w14:paraId="71C2A4A1" w14:textId="77777777" w:rsidR="007907E5" w:rsidRPr="00142DAA" w:rsidRDefault="007907E5" w:rsidP="007907E5">
      <w:pPr>
        <w:rPr>
          <w:b/>
          <w:bCs/>
        </w:rPr>
      </w:pPr>
      <w:r w:rsidRPr="00142DAA">
        <w:rPr>
          <w:b/>
        </w:rPr>
        <w:t>Se levanta la sesión a las 11.35 horas</w:t>
      </w:r>
      <w:r w:rsidRPr="00142DAA">
        <w:t>.</w:t>
      </w:r>
    </w:p>
    <w:p w14:paraId="5332AD46" w14:textId="3DD93C90" w:rsidR="007907E5" w:rsidRPr="00142DAA" w:rsidRDefault="007907E5" w:rsidP="00A05C32">
      <w:pPr>
        <w:tabs>
          <w:tab w:val="clear" w:pos="2268"/>
          <w:tab w:val="left" w:pos="6237"/>
        </w:tabs>
        <w:spacing w:before="720"/>
      </w:pPr>
      <w:r w:rsidRPr="00142DAA">
        <w:t>La Secretaria General:</w:t>
      </w:r>
      <w:r w:rsidRPr="00142DAA">
        <w:tab/>
        <w:t>El Presidente:</w:t>
      </w:r>
    </w:p>
    <w:p w14:paraId="5A2E28C6" w14:textId="679206E1" w:rsidR="007907E5" w:rsidRPr="00142DAA" w:rsidRDefault="007907E5" w:rsidP="00A05C32">
      <w:pPr>
        <w:tabs>
          <w:tab w:val="clear" w:pos="2268"/>
          <w:tab w:val="left" w:pos="6237"/>
        </w:tabs>
      </w:pPr>
      <w:r w:rsidRPr="00142DAA">
        <w:t>D. BOGDAN-MARTIN</w:t>
      </w:r>
      <w:r w:rsidRPr="00142DAA">
        <w:tab/>
        <w:t>M. AL RAMSI</w:t>
      </w:r>
    </w:p>
    <w:sectPr w:rsidR="007907E5" w:rsidRPr="00142DAA">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97D8" w14:textId="77777777" w:rsidR="00FF2356" w:rsidRDefault="00FF2356">
      <w:r>
        <w:separator/>
      </w:r>
    </w:p>
  </w:endnote>
  <w:endnote w:type="continuationSeparator" w:id="0">
    <w:p w14:paraId="4B87892A" w14:textId="77777777" w:rsidR="00FF2356" w:rsidRDefault="00FF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D11C"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01601" w14:textId="77777777" w:rsidR="0077084A" w:rsidRDefault="0077084A">
    <w:pPr>
      <w:ind w:right="360"/>
      <w:rPr>
        <w:lang w:val="en-US"/>
      </w:rPr>
    </w:pPr>
    <w:r>
      <w:fldChar w:fldCharType="begin"/>
    </w:r>
    <w:r>
      <w:rPr>
        <w:lang w:val="en-US"/>
      </w:rPr>
      <w:instrText xml:space="preserve"> FILENAME \p  \* MERGEFORMAT </w:instrText>
    </w:r>
    <w:r>
      <w:fldChar w:fldCharType="separate"/>
    </w:r>
    <w:r w:rsidR="00FF2356">
      <w:rPr>
        <w:noProof/>
        <w:lang w:val="en-US"/>
      </w:rPr>
      <w:t>Document32</w:t>
    </w:r>
    <w:r>
      <w:fldChar w:fldCharType="end"/>
    </w:r>
    <w:r>
      <w:rPr>
        <w:lang w:val="en-US"/>
      </w:rPr>
      <w:tab/>
    </w:r>
    <w:r>
      <w:fldChar w:fldCharType="begin"/>
    </w:r>
    <w:r>
      <w:instrText xml:space="preserve"> SAVEDATE \@ DD.MM.YY </w:instrText>
    </w:r>
    <w:r>
      <w:fldChar w:fldCharType="separate"/>
    </w:r>
    <w:r w:rsidR="00FF2356">
      <w:rPr>
        <w:noProof/>
      </w:rPr>
      <w:t>00.00.00</w:t>
    </w:r>
    <w:r>
      <w:fldChar w:fldCharType="end"/>
    </w:r>
    <w:r>
      <w:rPr>
        <w:lang w:val="en-US"/>
      </w:rPr>
      <w:tab/>
    </w:r>
    <w:r>
      <w:fldChar w:fldCharType="begin"/>
    </w:r>
    <w:r>
      <w:instrText xml:space="preserve"> PRINTDATE \@ DD.MM.YY </w:instrText>
    </w:r>
    <w:r>
      <w:fldChar w:fldCharType="separate"/>
    </w:r>
    <w:r w:rsidR="00FF2356">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A73D" w14:textId="77777777" w:rsidR="007907E5" w:rsidRDefault="007907E5" w:rsidP="007907E5">
    <w:pPr>
      <w:pStyle w:val="Footer"/>
      <w:rPr>
        <w:lang w:val="en-US"/>
      </w:rPr>
    </w:pPr>
    <w:r>
      <w:fldChar w:fldCharType="begin"/>
    </w:r>
    <w:r>
      <w:rPr>
        <w:lang w:val="en-US"/>
      </w:rPr>
      <w:instrText xml:space="preserve"> FILENAME \p  \* MERGEFORMAT </w:instrText>
    </w:r>
    <w:r>
      <w:fldChar w:fldCharType="separate"/>
    </w:r>
    <w:r>
      <w:rPr>
        <w:lang w:val="en-US"/>
      </w:rPr>
      <w:t>P:\ESP\ITU-R\CONF-R\CMR23\400\451S.docx</w:t>
    </w:r>
    <w:r>
      <w:fldChar w:fldCharType="end"/>
    </w:r>
    <w:r>
      <w:t xml:space="preserve"> (532748)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CCD6" w14:textId="000233DD" w:rsidR="0077084A" w:rsidRDefault="0077084A" w:rsidP="000E45E1">
    <w:pPr>
      <w:pStyle w:val="Footer"/>
      <w:rPr>
        <w:lang w:val="en-US"/>
      </w:rPr>
    </w:pPr>
    <w:r>
      <w:fldChar w:fldCharType="begin"/>
    </w:r>
    <w:r>
      <w:rPr>
        <w:lang w:val="en-US"/>
      </w:rPr>
      <w:instrText xml:space="preserve"> FILENAME \p  \* MERGEFORMAT </w:instrText>
    </w:r>
    <w:r>
      <w:fldChar w:fldCharType="separate"/>
    </w:r>
    <w:r w:rsidR="007907E5">
      <w:rPr>
        <w:lang w:val="en-US"/>
      </w:rPr>
      <w:t>P:\ESP\ITU-R\CONF-R\CMR23\400\451S.docx</w:t>
    </w:r>
    <w:r>
      <w:fldChar w:fldCharType="end"/>
    </w:r>
    <w:r w:rsidR="007907E5">
      <w:t xml:space="preserve"> (532748)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B787" w14:textId="77777777" w:rsidR="00FF2356" w:rsidRDefault="00FF2356">
      <w:r>
        <w:rPr>
          <w:b/>
        </w:rPr>
        <w:t>_______________</w:t>
      </w:r>
    </w:p>
  </w:footnote>
  <w:footnote w:type="continuationSeparator" w:id="0">
    <w:p w14:paraId="1664FBFA" w14:textId="77777777" w:rsidR="00FF2356" w:rsidRDefault="00FF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1D9E"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7D7A10AF" w14:textId="1F763015" w:rsidR="0077084A" w:rsidRDefault="006775FB" w:rsidP="00A4450C">
    <w:pPr>
      <w:pStyle w:val="Header"/>
      <w:rPr>
        <w:lang w:val="en-US"/>
      </w:rPr>
    </w:pPr>
    <w:r>
      <w:rPr>
        <w:lang w:val="en-US"/>
      </w:rPr>
      <w:t>WRC</w:t>
    </w:r>
    <w:r w:rsidR="00C97A88">
      <w:rPr>
        <w:lang w:val="en-US"/>
      </w:rPr>
      <w:t>23</w:t>
    </w:r>
    <w:r w:rsidR="00C918CF">
      <w:rPr>
        <w:lang w:val="en-US"/>
      </w:rPr>
      <w:t>/</w:t>
    </w:r>
    <w:r w:rsidR="00496317">
      <w:rPr>
        <w:lang w:val="en-US"/>
      </w:rPr>
      <w:t>451</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610769967">
    <w:abstractNumId w:val="8"/>
  </w:num>
  <w:num w:numId="2" w16cid:durableId="2719102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7786157">
    <w:abstractNumId w:val="9"/>
  </w:num>
  <w:num w:numId="4" w16cid:durableId="652367133">
    <w:abstractNumId w:val="7"/>
  </w:num>
  <w:num w:numId="5" w16cid:durableId="2112585681">
    <w:abstractNumId w:val="6"/>
  </w:num>
  <w:num w:numId="6" w16cid:durableId="1423799400">
    <w:abstractNumId w:val="5"/>
  </w:num>
  <w:num w:numId="7" w16cid:durableId="460538083">
    <w:abstractNumId w:val="4"/>
  </w:num>
  <w:num w:numId="8" w16cid:durableId="398556948">
    <w:abstractNumId w:val="3"/>
  </w:num>
  <w:num w:numId="9" w16cid:durableId="717242498">
    <w:abstractNumId w:val="2"/>
  </w:num>
  <w:num w:numId="10" w16cid:durableId="48037897">
    <w:abstractNumId w:val="1"/>
  </w:num>
  <w:num w:numId="11" w16cid:durableId="347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56"/>
    <w:rsid w:val="00087AE8"/>
    <w:rsid w:val="000D1059"/>
    <w:rsid w:val="000E45E1"/>
    <w:rsid w:val="000E5BF9"/>
    <w:rsid w:val="000F0E6D"/>
    <w:rsid w:val="00121170"/>
    <w:rsid w:val="00123CC5"/>
    <w:rsid w:val="00142DAA"/>
    <w:rsid w:val="0015142D"/>
    <w:rsid w:val="001616DC"/>
    <w:rsid w:val="00163962"/>
    <w:rsid w:val="00191A97"/>
    <w:rsid w:val="001C41FA"/>
    <w:rsid w:val="001E2B52"/>
    <w:rsid w:val="001E3F27"/>
    <w:rsid w:val="00236D2A"/>
    <w:rsid w:val="00255F12"/>
    <w:rsid w:val="00262C09"/>
    <w:rsid w:val="00280126"/>
    <w:rsid w:val="002A791F"/>
    <w:rsid w:val="002C1B26"/>
    <w:rsid w:val="002E701F"/>
    <w:rsid w:val="0032680B"/>
    <w:rsid w:val="00363A65"/>
    <w:rsid w:val="00377704"/>
    <w:rsid w:val="003C2508"/>
    <w:rsid w:val="003D0AA3"/>
    <w:rsid w:val="0044541C"/>
    <w:rsid w:val="00454553"/>
    <w:rsid w:val="00496317"/>
    <w:rsid w:val="004B124A"/>
    <w:rsid w:val="00532097"/>
    <w:rsid w:val="0058350F"/>
    <w:rsid w:val="005F2605"/>
    <w:rsid w:val="00662BA0"/>
    <w:rsid w:val="006775FB"/>
    <w:rsid w:val="00692AAE"/>
    <w:rsid w:val="006D6E67"/>
    <w:rsid w:val="00701C20"/>
    <w:rsid w:val="007354E9"/>
    <w:rsid w:val="007542C0"/>
    <w:rsid w:val="00762BBC"/>
    <w:rsid w:val="00765578"/>
    <w:rsid w:val="0077084A"/>
    <w:rsid w:val="007907E5"/>
    <w:rsid w:val="007C2317"/>
    <w:rsid w:val="007D330A"/>
    <w:rsid w:val="00866AE6"/>
    <w:rsid w:val="0094091F"/>
    <w:rsid w:val="009538D2"/>
    <w:rsid w:val="00973754"/>
    <w:rsid w:val="009A599E"/>
    <w:rsid w:val="009C0BED"/>
    <w:rsid w:val="009E11EC"/>
    <w:rsid w:val="009F6FD5"/>
    <w:rsid w:val="00A05C32"/>
    <w:rsid w:val="00A118DB"/>
    <w:rsid w:val="00A4450C"/>
    <w:rsid w:val="00AA5E6C"/>
    <w:rsid w:val="00AE5677"/>
    <w:rsid w:val="00AF2F78"/>
    <w:rsid w:val="00B52D55"/>
    <w:rsid w:val="00B95DD9"/>
    <w:rsid w:val="00BE2E80"/>
    <w:rsid w:val="00BE5EDD"/>
    <w:rsid w:val="00BE6A1F"/>
    <w:rsid w:val="00C104EC"/>
    <w:rsid w:val="00C126C4"/>
    <w:rsid w:val="00C63EB5"/>
    <w:rsid w:val="00C8286D"/>
    <w:rsid w:val="00C918CF"/>
    <w:rsid w:val="00C97A88"/>
    <w:rsid w:val="00CC01E0"/>
    <w:rsid w:val="00CE60D2"/>
    <w:rsid w:val="00D0288A"/>
    <w:rsid w:val="00D04D3F"/>
    <w:rsid w:val="00D405F7"/>
    <w:rsid w:val="00D72A5D"/>
    <w:rsid w:val="00DC629B"/>
    <w:rsid w:val="00E167B8"/>
    <w:rsid w:val="00E262F1"/>
    <w:rsid w:val="00E71D14"/>
    <w:rsid w:val="00F8150C"/>
    <w:rsid w:val="00FE4574"/>
    <w:rsid w:val="00FF23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2EB18"/>
  <w15:docId w15:val="{40E6C07E-EBED-40EC-B2D9-4AD290A5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uiPriority w:val="99"/>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character" w:customStyle="1" w:styleId="Heading1Char">
    <w:name w:val="Heading 1 Char"/>
    <w:basedOn w:val="DefaultParagraphFont"/>
    <w:link w:val="Heading1"/>
    <w:rsid w:val="007907E5"/>
    <w:rPr>
      <w:rFonts w:ascii="Times New Roman" w:hAnsi="Times New Roman"/>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6E68-8757-4DDB-8DFC-40390F9D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9</TotalTime>
  <Pages>7</Pages>
  <Words>2456</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14921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Spanish</cp:lastModifiedBy>
  <cp:revision>4</cp:revision>
  <cp:lastPrinted>2003-02-19T20:20:00Z</cp:lastPrinted>
  <dcterms:created xsi:type="dcterms:W3CDTF">2023-12-12T07:31:00Z</dcterms:created>
  <dcterms:modified xsi:type="dcterms:W3CDTF">2023-12-12T07:45:00Z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