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453"/>
        <w:gridCol w:w="1667"/>
      </w:tblGrid>
      <w:tr w:rsidR="00B23EDF" w:rsidRPr="00844D4C" w14:paraId="4E8A52D2" w14:textId="77777777" w:rsidTr="00B23EDF">
        <w:trPr>
          <w:cantSplit/>
        </w:trPr>
        <w:tc>
          <w:tcPr>
            <w:tcW w:w="1418" w:type="dxa"/>
            <w:vAlign w:val="center"/>
          </w:tcPr>
          <w:p w14:paraId="68409985" w14:textId="77777777" w:rsidR="00B23EDF" w:rsidRPr="00844D4C" w:rsidRDefault="00B23EDF" w:rsidP="00844D4C">
            <w:pPr>
              <w:spacing w:before="100" w:beforeAutospacing="1"/>
              <w:rPr>
                <w:rFonts w:ascii="Verdana" w:hAnsi="Verdana"/>
                <w:b/>
                <w:bCs/>
                <w:sz w:val="20"/>
              </w:rPr>
            </w:pPr>
            <w:r w:rsidRPr="00844D4C">
              <w:drawing>
                <wp:inline distT="0" distB="0" distL="0" distR="0" wp14:anchorId="0E2D4DAA" wp14:editId="7B091B37">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946" w:type="dxa"/>
            <w:gridSpan w:val="2"/>
          </w:tcPr>
          <w:p w14:paraId="114E6F4B" w14:textId="5E6C98B0" w:rsidR="00B23EDF" w:rsidRPr="00844D4C" w:rsidRDefault="00B23EDF" w:rsidP="00844D4C">
            <w:pPr>
              <w:spacing w:before="400" w:after="48"/>
              <w:rPr>
                <w:rFonts w:ascii="Verdana" w:hAnsi="Verdana"/>
                <w:b/>
                <w:bCs/>
                <w:sz w:val="20"/>
              </w:rPr>
            </w:pPr>
            <w:r w:rsidRPr="00844D4C">
              <w:rPr>
                <w:rFonts w:ascii="Verdana" w:hAnsi="Verdana"/>
                <w:b/>
                <w:bCs/>
                <w:sz w:val="20"/>
              </w:rPr>
              <w:t>Conférence mondiale des radiocommunications (CMR-23)</w:t>
            </w:r>
            <w:r w:rsidRPr="00844D4C">
              <w:rPr>
                <w:rFonts w:ascii="Verdana" w:hAnsi="Verdana"/>
                <w:b/>
                <w:bCs/>
                <w:sz w:val="20"/>
              </w:rPr>
              <w:br/>
            </w:r>
            <w:r w:rsidRPr="00844D4C">
              <w:rPr>
                <w:rFonts w:ascii="Verdana" w:hAnsi="Verdana"/>
                <w:b/>
                <w:bCs/>
                <w:sz w:val="18"/>
                <w:szCs w:val="18"/>
              </w:rPr>
              <w:t xml:space="preserve">Dubaï, 20 novembre </w:t>
            </w:r>
            <w:r w:rsidR="00173BE9" w:rsidRPr="00844D4C">
              <w:rPr>
                <w:rFonts w:ascii="Verdana" w:hAnsi="Verdana"/>
                <w:b/>
                <w:bCs/>
                <w:sz w:val="18"/>
                <w:szCs w:val="18"/>
              </w:rPr>
              <w:t>–</w:t>
            </w:r>
            <w:r w:rsidRPr="00844D4C">
              <w:rPr>
                <w:rFonts w:ascii="Verdana" w:hAnsi="Verdana"/>
                <w:b/>
                <w:bCs/>
                <w:sz w:val="18"/>
                <w:szCs w:val="18"/>
              </w:rPr>
              <w:t xml:space="preserve"> 15 décembre 2023</w:t>
            </w:r>
          </w:p>
        </w:tc>
        <w:tc>
          <w:tcPr>
            <w:tcW w:w="1667" w:type="dxa"/>
            <w:vAlign w:val="center"/>
          </w:tcPr>
          <w:p w14:paraId="091039E9" w14:textId="77777777" w:rsidR="00B23EDF" w:rsidRPr="00844D4C" w:rsidRDefault="00B23EDF" w:rsidP="00844D4C">
            <w:pPr>
              <w:spacing w:before="0"/>
            </w:pPr>
            <w:bookmarkStart w:id="0" w:name="ditulogo"/>
            <w:bookmarkEnd w:id="0"/>
            <w:r w:rsidRPr="00844D4C">
              <w:drawing>
                <wp:inline distT="0" distB="0" distL="0" distR="0" wp14:anchorId="2766107B" wp14:editId="11931022">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587A4E" w:rsidRPr="00844D4C" w14:paraId="592CD265" w14:textId="77777777" w:rsidTr="00773113">
        <w:trPr>
          <w:cantSplit/>
        </w:trPr>
        <w:tc>
          <w:tcPr>
            <w:tcW w:w="6911" w:type="dxa"/>
            <w:gridSpan w:val="2"/>
            <w:tcBorders>
              <w:bottom w:val="single" w:sz="12" w:space="0" w:color="auto"/>
            </w:tcBorders>
          </w:tcPr>
          <w:p w14:paraId="2B981E74" w14:textId="77777777" w:rsidR="00587A4E" w:rsidRPr="00844D4C" w:rsidRDefault="00587A4E" w:rsidP="00844D4C">
            <w:pPr>
              <w:spacing w:before="0" w:after="48"/>
              <w:rPr>
                <w:b/>
                <w:smallCaps/>
                <w:szCs w:val="24"/>
              </w:rPr>
            </w:pPr>
            <w:bookmarkStart w:id="1" w:name="dhead"/>
          </w:p>
        </w:tc>
        <w:tc>
          <w:tcPr>
            <w:tcW w:w="3120" w:type="dxa"/>
            <w:gridSpan w:val="2"/>
            <w:tcBorders>
              <w:bottom w:val="single" w:sz="12" w:space="0" w:color="auto"/>
            </w:tcBorders>
          </w:tcPr>
          <w:p w14:paraId="05D50BA8" w14:textId="77777777" w:rsidR="00587A4E" w:rsidRPr="00844D4C" w:rsidRDefault="00587A4E" w:rsidP="00844D4C">
            <w:pPr>
              <w:spacing w:before="0"/>
              <w:rPr>
                <w:rFonts w:ascii="Verdana" w:hAnsi="Verdana"/>
                <w:szCs w:val="24"/>
              </w:rPr>
            </w:pPr>
          </w:p>
        </w:tc>
      </w:tr>
      <w:tr w:rsidR="00587A4E" w:rsidRPr="00844D4C" w14:paraId="31A655A8" w14:textId="77777777" w:rsidTr="00773113">
        <w:trPr>
          <w:cantSplit/>
        </w:trPr>
        <w:tc>
          <w:tcPr>
            <w:tcW w:w="6911" w:type="dxa"/>
            <w:gridSpan w:val="2"/>
            <w:tcBorders>
              <w:top w:val="single" w:sz="12" w:space="0" w:color="auto"/>
            </w:tcBorders>
          </w:tcPr>
          <w:p w14:paraId="27904688" w14:textId="77777777" w:rsidR="00587A4E" w:rsidRPr="00844D4C" w:rsidRDefault="00587A4E" w:rsidP="00844D4C">
            <w:pPr>
              <w:spacing w:before="0" w:after="48"/>
              <w:rPr>
                <w:rFonts w:ascii="Verdana" w:hAnsi="Verdana"/>
                <w:b/>
                <w:smallCaps/>
                <w:sz w:val="20"/>
              </w:rPr>
            </w:pPr>
          </w:p>
        </w:tc>
        <w:tc>
          <w:tcPr>
            <w:tcW w:w="3120" w:type="dxa"/>
            <w:gridSpan w:val="2"/>
            <w:tcBorders>
              <w:top w:val="single" w:sz="12" w:space="0" w:color="auto"/>
            </w:tcBorders>
          </w:tcPr>
          <w:p w14:paraId="64EEA113" w14:textId="77777777" w:rsidR="00587A4E" w:rsidRPr="00844D4C" w:rsidRDefault="00587A4E" w:rsidP="00844D4C">
            <w:pPr>
              <w:spacing w:before="0"/>
              <w:rPr>
                <w:rFonts w:ascii="Verdana" w:hAnsi="Verdana"/>
                <w:sz w:val="20"/>
              </w:rPr>
            </w:pPr>
          </w:p>
        </w:tc>
      </w:tr>
      <w:tr w:rsidR="00587A4E" w:rsidRPr="00844D4C" w14:paraId="6A2920E9" w14:textId="77777777" w:rsidTr="00773113">
        <w:trPr>
          <w:cantSplit/>
        </w:trPr>
        <w:tc>
          <w:tcPr>
            <w:tcW w:w="6911" w:type="dxa"/>
            <w:gridSpan w:val="2"/>
          </w:tcPr>
          <w:p w14:paraId="5530DC41" w14:textId="77777777" w:rsidR="00587A4E" w:rsidRPr="00844D4C" w:rsidRDefault="008D6821" w:rsidP="00844D4C">
            <w:pPr>
              <w:spacing w:before="0"/>
              <w:rPr>
                <w:rFonts w:ascii="Verdana" w:hAnsi="Verdana"/>
                <w:b/>
                <w:sz w:val="20"/>
              </w:rPr>
            </w:pPr>
            <w:r w:rsidRPr="00844D4C">
              <w:rPr>
                <w:rFonts w:ascii="Verdana" w:hAnsi="Verdana"/>
                <w:b/>
                <w:sz w:val="20"/>
              </w:rPr>
              <w:t>SÉANCE PLÉNIÈRE</w:t>
            </w:r>
          </w:p>
        </w:tc>
        <w:tc>
          <w:tcPr>
            <w:tcW w:w="3120" w:type="dxa"/>
            <w:gridSpan w:val="2"/>
          </w:tcPr>
          <w:p w14:paraId="4E7E9BBA" w14:textId="44881BF4" w:rsidR="00587A4E" w:rsidRPr="00844D4C" w:rsidRDefault="00587A4E" w:rsidP="00844D4C">
            <w:pPr>
              <w:spacing w:before="0"/>
              <w:rPr>
                <w:rFonts w:ascii="Verdana" w:hAnsi="Verdana"/>
                <w:sz w:val="20"/>
              </w:rPr>
            </w:pPr>
            <w:r w:rsidRPr="00844D4C">
              <w:rPr>
                <w:rFonts w:ascii="Verdana" w:hAnsi="Verdana"/>
                <w:b/>
                <w:sz w:val="20"/>
              </w:rPr>
              <w:t xml:space="preserve">Document </w:t>
            </w:r>
            <w:r w:rsidR="004D63A4" w:rsidRPr="00844D4C">
              <w:rPr>
                <w:rFonts w:ascii="Verdana" w:hAnsi="Verdana"/>
                <w:b/>
                <w:sz w:val="20"/>
              </w:rPr>
              <w:t>451</w:t>
            </w:r>
            <w:r w:rsidRPr="00844D4C">
              <w:rPr>
                <w:rFonts w:ascii="Verdana" w:hAnsi="Verdana"/>
                <w:b/>
                <w:sz w:val="20"/>
              </w:rPr>
              <w:t>-F</w:t>
            </w:r>
          </w:p>
        </w:tc>
      </w:tr>
      <w:bookmarkEnd w:id="1"/>
      <w:tr w:rsidR="00587A4E" w:rsidRPr="00844D4C" w14:paraId="0891DFF6" w14:textId="77777777" w:rsidTr="00773113">
        <w:trPr>
          <w:cantSplit/>
        </w:trPr>
        <w:tc>
          <w:tcPr>
            <w:tcW w:w="6911" w:type="dxa"/>
            <w:gridSpan w:val="2"/>
          </w:tcPr>
          <w:p w14:paraId="46E06B87" w14:textId="77777777" w:rsidR="00587A4E" w:rsidRPr="00844D4C" w:rsidRDefault="00587A4E" w:rsidP="00844D4C">
            <w:pPr>
              <w:spacing w:before="0"/>
              <w:rPr>
                <w:rFonts w:ascii="Verdana" w:hAnsi="Verdana"/>
                <w:b/>
                <w:sz w:val="20"/>
              </w:rPr>
            </w:pPr>
          </w:p>
        </w:tc>
        <w:tc>
          <w:tcPr>
            <w:tcW w:w="3120" w:type="dxa"/>
            <w:gridSpan w:val="2"/>
          </w:tcPr>
          <w:p w14:paraId="2A89EE90" w14:textId="1C936C14" w:rsidR="00587A4E" w:rsidRPr="00844D4C" w:rsidRDefault="004D63A4" w:rsidP="00844D4C">
            <w:pPr>
              <w:spacing w:before="0"/>
              <w:rPr>
                <w:rFonts w:ascii="Verdana" w:hAnsi="Verdana"/>
                <w:b/>
                <w:sz w:val="20"/>
              </w:rPr>
            </w:pPr>
            <w:r w:rsidRPr="00844D4C">
              <w:rPr>
                <w:rFonts w:ascii="Verdana" w:hAnsi="Verdana"/>
                <w:b/>
                <w:sz w:val="20"/>
              </w:rPr>
              <w:t>11 décembre</w:t>
            </w:r>
            <w:r w:rsidR="00587A4E" w:rsidRPr="00844D4C">
              <w:rPr>
                <w:rFonts w:ascii="Verdana" w:hAnsi="Verdana"/>
                <w:b/>
                <w:sz w:val="20"/>
              </w:rPr>
              <w:t xml:space="preserve"> 20</w:t>
            </w:r>
            <w:r w:rsidR="00CD3928" w:rsidRPr="00844D4C">
              <w:rPr>
                <w:rFonts w:ascii="Verdana" w:hAnsi="Verdana"/>
                <w:b/>
                <w:sz w:val="20"/>
              </w:rPr>
              <w:t>23</w:t>
            </w:r>
          </w:p>
        </w:tc>
      </w:tr>
      <w:tr w:rsidR="00587A4E" w:rsidRPr="00844D4C" w14:paraId="22B89D02" w14:textId="77777777" w:rsidTr="00773113">
        <w:trPr>
          <w:cantSplit/>
        </w:trPr>
        <w:tc>
          <w:tcPr>
            <w:tcW w:w="6911" w:type="dxa"/>
            <w:gridSpan w:val="2"/>
          </w:tcPr>
          <w:p w14:paraId="5F498515" w14:textId="77777777" w:rsidR="00587A4E" w:rsidRPr="00844D4C" w:rsidRDefault="00587A4E" w:rsidP="00844D4C">
            <w:pPr>
              <w:spacing w:before="0" w:after="48"/>
              <w:rPr>
                <w:rFonts w:ascii="Verdana" w:hAnsi="Verdana"/>
                <w:b/>
                <w:smallCaps/>
                <w:sz w:val="20"/>
              </w:rPr>
            </w:pPr>
          </w:p>
        </w:tc>
        <w:tc>
          <w:tcPr>
            <w:tcW w:w="3120" w:type="dxa"/>
            <w:gridSpan w:val="2"/>
          </w:tcPr>
          <w:p w14:paraId="2283509F" w14:textId="77777777" w:rsidR="00587A4E" w:rsidRPr="00844D4C" w:rsidRDefault="00587A4E" w:rsidP="00844D4C">
            <w:pPr>
              <w:spacing w:before="0"/>
              <w:rPr>
                <w:rFonts w:ascii="Verdana" w:hAnsi="Verdana"/>
                <w:b/>
                <w:sz w:val="20"/>
              </w:rPr>
            </w:pPr>
            <w:r w:rsidRPr="00844D4C">
              <w:rPr>
                <w:rFonts w:ascii="Verdana" w:hAnsi="Verdana"/>
                <w:b/>
                <w:sz w:val="20"/>
              </w:rPr>
              <w:t>Original: anglais</w:t>
            </w:r>
          </w:p>
        </w:tc>
      </w:tr>
      <w:tr w:rsidR="00587A4E" w:rsidRPr="00844D4C" w14:paraId="131C2E5A" w14:textId="77777777" w:rsidTr="00773113">
        <w:trPr>
          <w:cantSplit/>
        </w:trPr>
        <w:tc>
          <w:tcPr>
            <w:tcW w:w="10031" w:type="dxa"/>
            <w:gridSpan w:val="4"/>
          </w:tcPr>
          <w:p w14:paraId="1F6C26E0" w14:textId="77777777" w:rsidR="00587A4E" w:rsidRPr="00844D4C" w:rsidRDefault="00587A4E" w:rsidP="00844D4C">
            <w:pPr>
              <w:spacing w:before="0"/>
              <w:rPr>
                <w:rFonts w:ascii="Verdana" w:hAnsi="Verdana"/>
                <w:b/>
                <w:sz w:val="20"/>
              </w:rPr>
            </w:pPr>
          </w:p>
        </w:tc>
      </w:tr>
      <w:tr w:rsidR="00844D4C" w:rsidRPr="00844D4C" w14:paraId="7A6219E8" w14:textId="77777777" w:rsidTr="00844D4C">
        <w:trPr>
          <w:cantSplit/>
          <w:trHeight w:val="2260"/>
        </w:trPr>
        <w:tc>
          <w:tcPr>
            <w:tcW w:w="10031" w:type="dxa"/>
            <w:gridSpan w:val="4"/>
            <w:vAlign w:val="center"/>
          </w:tcPr>
          <w:p w14:paraId="33F190BE" w14:textId="77777777" w:rsidR="00844D4C" w:rsidRPr="00844D4C" w:rsidRDefault="00844D4C" w:rsidP="00844D4C">
            <w:pPr>
              <w:pStyle w:val="Title1"/>
              <w:spacing w:before="480"/>
              <w:rPr>
                <w:rFonts w:asciiTheme="majorBidi" w:hAnsiTheme="majorBidi" w:cstheme="majorBidi"/>
                <w:szCs w:val="28"/>
              </w:rPr>
            </w:pPr>
            <w:bookmarkStart w:id="2" w:name="dsource" w:colFirst="0" w:colLast="0"/>
            <w:r w:rsidRPr="00844D4C">
              <w:rPr>
                <w:rFonts w:asciiTheme="majorBidi" w:hAnsiTheme="majorBidi" w:cstheme="majorBidi"/>
                <w:szCs w:val="28"/>
              </w:rPr>
              <w:t>PROCÈS-VERBAL</w:t>
            </w:r>
          </w:p>
          <w:p w14:paraId="554A96B9" w14:textId="77777777" w:rsidR="00844D4C" w:rsidRPr="00844D4C" w:rsidRDefault="00844D4C" w:rsidP="00844D4C">
            <w:pPr>
              <w:pStyle w:val="Title1"/>
              <w:rPr>
                <w:rFonts w:asciiTheme="majorBidi" w:hAnsiTheme="majorBidi" w:cstheme="majorBidi"/>
                <w:szCs w:val="28"/>
              </w:rPr>
            </w:pPr>
            <w:r w:rsidRPr="00844D4C">
              <w:rPr>
                <w:rFonts w:asciiTheme="majorBidi" w:hAnsiTheme="majorBidi" w:cstheme="majorBidi"/>
                <w:szCs w:val="28"/>
              </w:rPr>
              <w:t>DE LA</w:t>
            </w:r>
          </w:p>
          <w:p w14:paraId="3B2AF768" w14:textId="29851EE9" w:rsidR="00844D4C" w:rsidRPr="00844D4C" w:rsidRDefault="00844D4C" w:rsidP="00844D4C">
            <w:pPr>
              <w:pStyle w:val="Title1"/>
            </w:pPr>
            <w:r w:rsidRPr="00844D4C">
              <w:rPr>
                <w:rFonts w:asciiTheme="majorBidi" w:hAnsiTheme="majorBidi" w:cstheme="majorBidi"/>
                <w:szCs w:val="28"/>
              </w:rPr>
              <w:t>SEPTIÈME SÉANCE PLÉNIÈRE</w:t>
            </w:r>
          </w:p>
        </w:tc>
      </w:tr>
      <w:tr w:rsidR="00587A4E" w:rsidRPr="00844D4C" w14:paraId="3D29E21D" w14:textId="77777777" w:rsidTr="00773113">
        <w:trPr>
          <w:cantSplit/>
        </w:trPr>
        <w:tc>
          <w:tcPr>
            <w:tcW w:w="10031" w:type="dxa"/>
            <w:gridSpan w:val="4"/>
          </w:tcPr>
          <w:p w14:paraId="20FA4B5D" w14:textId="6AA31DC4" w:rsidR="00587A4E" w:rsidRPr="00844D4C" w:rsidRDefault="004D63A4" w:rsidP="00844D4C">
            <w:pPr>
              <w:spacing w:before="240"/>
              <w:jc w:val="center"/>
            </w:pPr>
            <w:bookmarkStart w:id="3" w:name="dtitle2" w:colFirst="0" w:colLast="0"/>
            <w:bookmarkEnd w:id="2"/>
            <w:r w:rsidRPr="00844D4C">
              <w:t>Vendredi 8 décembre 2023, à 10 h 45</w:t>
            </w:r>
          </w:p>
        </w:tc>
      </w:tr>
      <w:tr w:rsidR="00587A4E" w:rsidRPr="00844D4C" w14:paraId="0A32D6B4" w14:textId="77777777" w:rsidTr="00773113">
        <w:trPr>
          <w:cantSplit/>
        </w:trPr>
        <w:tc>
          <w:tcPr>
            <w:tcW w:w="10031" w:type="dxa"/>
            <w:gridSpan w:val="4"/>
          </w:tcPr>
          <w:p w14:paraId="0AD43646" w14:textId="13EE0C87" w:rsidR="00587A4E" w:rsidRPr="00844D4C" w:rsidRDefault="004D63A4" w:rsidP="00844D4C">
            <w:pPr>
              <w:jc w:val="center"/>
            </w:pPr>
            <w:bookmarkStart w:id="4" w:name="dtitle3" w:colFirst="0" w:colLast="0"/>
            <w:bookmarkEnd w:id="3"/>
            <w:r w:rsidRPr="00844D4C">
              <w:rPr>
                <w:b/>
                <w:bCs/>
              </w:rPr>
              <w:t>Président:</w:t>
            </w:r>
            <w:r w:rsidRPr="00844D4C">
              <w:t xml:space="preserve"> S.</w:t>
            </w:r>
            <w:r w:rsidR="00844D4C" w:rsidRPr="00844D4C">
              <w:t xml:space="preserve"> </w:t>
            </w:r>
            <w:r w:rsidRPr="00844D4C">
              <w:t>E. M. M. AL RAMSI (Émirats arabes unis)</w:t>
            </w:r>
          </w:p>
        </w:tc>
      </w:tr>
      <w:bookmarkEnd w:id="4"/>
    </w:tbl>
    <w:p w14:paraId="6D874A64" w14:textId="77777777" w:rsidR="004D63A4" w:rsidRPr="00844D4C" w:rsidRDefault="004D63A4" w:rsidP="00844D4C">
      <w:pPr>
        <w:rPr>
          <w:rFonts w:asciiTheme="majorBidi" w:hAnsiTheme="majorBidi" w:cstheme="majorBidi"/>
          <w:szCs w:val="24"/>
        </w:rPr>
      </w:pPr>
    </w:p>
    <w:tbl>
      <w:tblPr>
        <w:tblW w:w="10031" w:type="dxa"/>
        <w:tblLook w:val="0000" w:firstRow="0" w:lastRow="0" w:firstColumn="0" w:lastColumn="0" w:noHBand="0" w:noVBand="0"/>
      </w:tblPr>
      <w:tblGrid>
        <w:gridCol w:w="482"/>
        <w:gridCol w:w="7740"/>
        <w:gridCol w:w="1809"/>
      </w:tblGrid>
      <w:tr w:rsidR="004D63A4" w:rsidRPr="00844D4C" w14:paraId="524E7F32" w14:textId="77777777" w:rsidTr="00D13DF7">
        <w:tc>
          <w:tcPr>
            <w:tcW w:w="482" w:type="dxa"/>
          </w:tcPr>
          <w:p w14:paraId="7A3DD323" w14:textId="77777777" w:rsidR="004D63A4" w:rsidRPr="00844D4C" w:rsidRDefault="004D63A4" w:rsidP="00844D4C">
            <w:pPr>
              <w:pStyle w:val="toc0"/>
              <w:rPr>
                <w:rFonts w:asciiTheme="majorBidi" w:hAnsiTheme="majorBidi" w:cstheme="majorBidi"/>
                <w:b w:val="0"/>
                <w:bCs/>
                <w:szCs w:val="24"/>
              </w:rPr>
            </w:pPr>
          </w:p>
        </w:tc>
        <w:tc>
          <w:tcPr>
            <w:tcW w:w="7740" w:type="dxa"/>
          </w:tcPr>
          <w:p w14:paraId="30D9ECD0" w14:textId="77777777" w:rsidR="004D63A4" w:rsidRPr="00844D4C" w:rsidRDefault="004D63A4" w:rsidP="00844D4C">
            <w:pPr>
              <w:pStyle w:val="Tablehead"/>
              <w:jc w:val="left"/>
              <w:rPr>
                <w:sz w:val="24"/>
                <w:szCs w:val="24"/>
              </w:rPr>
            </w:pPr>
            <w:r w:rsidRPr="00844D4C">
              <w:rPr>
                <w:sz w:val="24"/>
                <w:szCs w:val="24"/>
              </w:rPr>
              <w:t>Sujets examinés</w:t>
            </w:r>
          </w:p>
        </w:tc>
        <w:tc>
          <w:tcPr>
            <w:tcW w:w="1809" w:type="dxa"/>
          </w:tcPr>
          <w:p w14:paraId="335EAE39" w14:textId="77777777" w:rsidR="004D63A4" w:rsidRPr="00844D4C" w:rsidRDefault="004D63A4" w:rsidP="00844D4C">
            <w:pPr>
              <w:pStyle w:val="Tablehead"/>
              <w:rPr>
                <w:sz w:val="24"/>
                <w:szCs w:val="24"/>
              </w:rPr>
            </w:pPr>
            <w:r w:rsidRPr="00844D4C">
              <w:rPr>
                <w:sz w:val="24"/>
                <w:szCs w:val="24"/>
              </w:rPr>
              <w:t>Documents</w:t>
            </w:r>
          </w:p>
        </w:tc>
      </w:tr>
      <w:tr w:rsidR="004D63A4" w:rsidRPr="00844D4C" w14:paraId="36DBBD50" w14:textId="77777777" w:rsidTr="00D13DF7">
        <w:tc>
          <w:tcPr>
            <w:tcW w:w="482" w:type="dxa"/>
          </w:tcPr>
          <w:p w14:paraId="28728DBD" w14:textId="77777777" w:rsidR="004D63A4" w:rsidRPr="00844D4C" w:rsidRDefault="004D63A4" w:rsidP="00844D4C">
            <w:pPr>
              <w:pStyle w:val="Tabletext"/>
              <w:rPr>
                <w:bCs/>
                <w:sz w:val="24"/>
                <w:szCs w:val="24"/>
              </w:rPr>
            </w:pPr>
            <w:r w:rsidRPr="00844D4C">
              <w:rPr>
                <w:bCs/>
                <w:sz w:val="24"/>
                <w:szCs w:val="24"/>
              </w:rPr>
              <w:t>1</w:t>
            </w:r>
          </w:p>
        </w:tc>
        <w:tc>
          <w:tcPr>
            <w:tcW w:w="7740" w:type="dxa"/>
          </w:tcPr>
          <w:p w14:paraId="4DB446B4" w14:textId="77777777" w:rsidR="004D63A4" w:rsidRPr="00844D4C" w:rsidRDefault="004D63A4" w:rsidP="00844D4C">
            <w:pPr>
              <w:pStyle w:val="Tabletext"/>
              <w:rPr>
                <w:sz w:val="24"/>
                <w:szCs w:val="24"/>
              </w:rPr>
            </w:pPr>
            <w:r w:rsidRPr="00844D4C">
              <w:rPr>
                <w:sz w:val="24"/>
                <w:szCs w:val="24"/>
              </w:rPr>
              <w:t>Rapports verbaux des Présidents des Commissions</w:t>
            </w:r>
          </w:p>
        </w:tc>
        <w:tc>
          <w:tcPr>
            <w:tcW w:w="1809" w:type="dxa"/>
          </w:tcPr>
          <w:p w14:paraId="18094654" w14:textId="595C7D5F" w:rsidR="004D63A4" w:rsidRPr="00844D4C" w:rsidRDefault="00E512CA" w:rsidP="00844D4C">
            <w:pPr>
              <w:pStyle w:val="Tabletext"/>
              <w:jc w:val="center"/>
              <w:rPr>
                <w:sz w:val="24"/>
                <w:szCs w:val="24"/>
              </w:rPr>
            </w:pPr>
            <w:r w:rsidRPr="00844D4C">
              <w:rPr>
                <w:sz w:val="24"/>
                <w:szCs w:val="24"/>
              </w:rPr>
              <w:t>–</w:t>
            </w:r>
          </w:p>
        </w:tc>
      </w:tr>
      <w:tr w:rsidR="004D63A4" w:rsidRPr="00844D4C" w14:paraId="76187256" w14:textId="77777777" w:rsidTr="00D13DF7">
        <w:tc>
          <w:tcPr>
            <w:tcW w:w="482" w:type="dxa"/>
          </w:tcPr>
          <w:p w14:paraId="26FA73C4" w14:textId="77777777" w:rsidR="004D63A4" w:rsidRPr="00844D4C" w:rsidRDefault="004D63A4" w:rsidP="00844D4C">
            <w:pPr>
              <w:pStyle w:val="Tabletext"/>
              <w:rPr>
                <w:bCs/>
                <w:sz w:val="24"/>
                <w:szCs w:val="24"/>
              </w:rPr>
            </w:pPr>
            <w:r w:rsidRPr="00844D4C">
              <w:rPr>
                <w:bCs/>
                <w:sz w:val="24"/>
                <w:szCs w:val="24"/>
              </w:rPr>
              <w:t>2</w:t>
            </w:r>
          </w:p>
        </w:tc>
        <w:tc>
          <w:tcPr>
            <w:tcW w:w="7740" w:type="dxa"/>
          </w:tcPr>
          <w:p w14:paraId="7137E78A" w14:textId="77777777" w:rsidR="004D63A4" w:rsidRPr="00844D4C" w:rsidRDefault="004D63A4" w:rsidP="00844D4C">
            <w:pPr>
              <w:pStyle w:val="Tabletext"/>
              <w:rPr>
                <w:sz w:val="24"/>
                <w:szCs w:val="24"/>
              </w:rPr>
            </w:pPr>
            <w:r w:rsidRPr="00844D4C">
              <w:rPr>
                <w:sz w:val="24"/>
                <w:szCs w:val="24"/>
              </w:rPr>
              <w:t>Premier rapport de la Commission 6 à la plénière</w:t>
            </w:r>
          </w:p>
        </w:tc>
        <w:tc>
          <w:tcPr>
            <w:tcW w:w="1809" w:type="dxa"/>
          </w:tcPr>
          <w:p w14:paraId="08BA81F6" w14:textId="77777777" w:rsidR="004D63A4" w:rsidRPr="00844D4C" w:rsidRDefault="004D63A4" w:rsidP="00844D4C">
            <w:pPr>
              <w:pStyle w:val="Tabletext"/>
              <w:jc w:val="center"/>
              <w:rPr>
                <w:sz w:val="24"/>
                <w:szCs w:val="24"/>
              </w:rPr>
            </w:pPr>
            <w:r w:rsidRPr="00844D4C">
              <w:rPr>
                <w:sz w:val="24"/>
                <w:szCs w:val="24"/>
              </w:rPr>
              <w:t>357</w:t>
            </w:r>
          </w:p>
        </w:tc>
      </w:tr>
      <w:tr w:rsidR="004D63A4" w:rsidRPr="00844D4C" w14:paraId="2FB731F7" w14:textId="77777777" w:rsidTr="00D13DF7">
        <w:tc>
          <w:tcPr>
            <w:tcW w:w="482" w:type="dxa"/>
          </w:tcPr>
          <w:p w14:paraId="22E74162" w14:textId="77777777" w:rsidR="004D63A4" w:rsidRPr="00844D4C" w:rsidRDefault="004D63A4" w:rsidP="00844D4C">
            <w:pPr>
              <w:pStyle w:val="Tabletext"/>
              <w:rPr>
                <w:bCs/>
                <w:sz w:val="24"/>
                <w:szCs w:val="24"/>
              </w:rPr>
            </w:pPr>
            <w:r w:rsidRPr="00844D4C">
              <w:rPr>
                <w:bCs/>
                <w:sz w:val="24"/>
                <w:szCs w:val="24"/>
              </w:rPr>
              <w:t>3</w:t>
            </w:r>
          </w:p>
        </w:tc>
        <w:tc>
          <w:tcPr>
            <w:tcW w:w="7740" w:type="dxa"/>
          </w:tcPr>
          <w:p w14:paraId="1CC4150F" w14:textId="77777777" w:rsidR="004D63A4" w:rsidRPr="00844D4C" w:rsidRDefault="004D63A4" w:rsidP="00844D4C">
            <w:pPr>
              <w:pStyle w:val="Tabletext"/>
              <w:rPr>
                <w:bCs/>
                <w:sz w:val="24"/>
                <w:szCs w:val="24"/>
              </w:rPr>
            </w:pPr>
            <w:r w:rsidRPr="00844D4C">
              <w:rPr>
                <w:bCs/>
                <w:sz w:val="24"/>
                <w:szCs w:val="24"/>
              </w:rPr>
              <w:t>Quinzième série de textes soumis par la Commission de rédaction en première lecture (B15)</w:t>
            </w:r>
          </w:p>
        </w:tc>
        <w:tc>
          <w:tcPr>
            <w:tcW w:w="1809" w:type="dxa"/>
          </w:tcPr>
          <w:p w14:paraId="2968ACBA" w14:textId="77777777" w:rsidR="004D63A4" w:rsidRPr="00844D4C" w:rsidRDefault="004D63A4" w:rsidP="00844D4C">
            <w:pPr>
              <w:pStyle w:val="Tabletext"/>
              <w:jc w:val="center"/>
              <w:rPr>
                <w:sz w:val="24"/>
                <w:szCs w:val="24"/>
              </w:rPr>
            </w:pPr>
            <w:r w:rsidRPr="00844D4C">
              <w:rPr>
                <w:sz w:val="24"/>
                <w:szCs w:val="24"/>
              </w:rPr>
              <w:t>338</w:t>
            </w:r>
          </w:p>
        </w:tc>
      </w:tr>
      <w:tr w:rsidR="004D63A4" w:rsidRPr="00844D4C" w14:paraId="541D7572" w14:textId="77777777" w:rsidTr="00D13DF7">
        <w:tc>
          <w:tcPr>
            <w:tcW w:w="482" w:type="dxa"/>
          </w:tcPr>
          <w:p w14:paraId="220494C4" w14:textId="77777777" w:rsidR="004D63A4" w:rsidRPr="00844D4C" w:rsidRDefault="004D63A4" w:rsidP="00844D4C">
            <w:pPr>
              <w:pStyle w:val="Tabletext"/>
              <w:rPr>
                <w:bCs/>
                <w:sz w:val="24"/>
                <w:szCs w:val="24"/>
              </w:rPr>
            </w:pPr>
            <w:r w:rsidRPr="00844D4C">
              <w:rPr>
                <w:bCs/>
                <w:sz w:val="24"/>
                <w:szCs w:val="24"/>
              </w:rPr>
              <w:t>4</w:t>
            </w:r>
          </w:p>
        </w:tc>
        <w:tc>
          <w:tcPr>
            <w:tcW w:w="7740" w:type="dxa"/>
          </w:tcPr>
          <w:p w14:paraId="24CBFA59" w14:textId="77777777" w:rsidR="004D63A4" w:rsidRPr="00844D4C" w:rsidRDefault="004D63A4" w:rsidP="00844D4C">
            <w:pPr>
              <w:pStyle w:val="Tabletext"/>
              <w:rPr>
                <w:sz w:val="24"/>
                <w:szCs w:val="24"/>
              </w:rPr>
            </w:pPr>
            <w:r w:rsidRPr="00844D4C">
              <w:rPr>
                <w:sz w:val="24"/>
                <w:szCs w:val="24"/>
              </w:rPr>
              <w:t>Quinzième série de textes soumis par la Commission de rédaction (B15) – deuxième lecture</w:t>
            </w:r>
          </w:p>
        </w:tc>
        <w:tc>
          <w:tcPr>
            <w:tcW w:w="1809" w:type="dxa"/>
          </w:tcPr>
          <w:p w14:paraId="404FE553" w14:textId="77777777" w:rsidR="004D63A4" w:rsidRPr="00844D4C" w:rsidRDefault="004D63A4" w:rsidP="00844D4C">
            <w:pPr>
              <w:pStyle w:val="Tabletext"/>
              <w:jc w:val="center"/>
              <w:rPr>
                <w:sz w:val="24"/>
                <w:szCs w:val="24"/>
              </w:rPr>
            </w:pPr>
            <w:r w:rsidRPr="00844D4C">
              <w:rPr>
                <w:sz w:val="24"/>
                <w:szCs w:val="24"/>
              </w:rPr>
              <w:t>338</w:t>
            </w:r>
          </w:p>
        </w:tc>
      </w:tr>
      <w:tr w:rsidR="004D63A4" w:rsidRPr="00844D4C" w14:paraId="6D23A8E8" w14:textId="77777777" w:rsidTr="00D13DF7">
        <w:tc>
          <w:tcPr>
            <w:tcW w:w="482" w:type="dxa"/>
          </w:tcPr>
          <w:p w14:paraId="092F7D85" w14:textId="77777777" w:rsidR="004D63A4" w:rsidRPr="00844D4C" w:rsidRDefault="004D63A4" w:rsidP="00844D4C">
            <w:pPr>
              <w:pStyle w:val="Tabletext"/>
              <w:rPr>
                <w:bCs/>
                <w:sz w:val="24"/>
                <w:szCs w:val="24"/>
              </w:rPr>
            </w:pPr>
            <w:r w:rsidRPr="00844D4C">
              <w:rPr>
                <w:bCs/>
                <w:sz w:val="24"/>
                <w:szCs w:val="24"/>
              </w:rPr>
              <w:t>5</w:t>
            </w:r>
          </w:p>
        </w:tc>
        <w:tc>
          <w:tcPr>
            <w:tcW w:w="7740" w:type="dxa"/>
          </w:tcPr>
          <w:p w14:paraId="7DEF0864" w14:textId="77777777" w:rsidR="004D63A4" w:rsidRPr="00844D4C" w:rsidRDefault="004D63A4" w:rsidP="00844D4C">
            <w:pPr>
              <w:pStyle w:val="Tabletext"/>
              <w:rPr>
                <w:sz w:val="24"/>
                <w:szCs w:val="24"/>
              </w:rPr>
            </w:pPr>
            <w:r w:rsidRPr="00844D4C">
              <w:rPr>
                <w:sz w:val="24"/>
                <w:szCs w:val="24"/>
              </w:rPr>
              <w:t>Seizième série de textes soumis par la Commission de rédaction en première lecture (B16)</w:t>
            </w:r>
          </w:p>
        </w:tc>
        <w:tc>
          <w:tcPr>
            <w:tcW w:w="1809" w:type="dxa"/>
          </w:tcPr>
          <w:p w14:paraId="5621E38E" w14:textId="77777777" w:rsidR="004D63A4" w:rsidRPr="00844D4C" w:rsidRDefault="004D63A4" w:rsidP="00844D4C">
            <w:pPr>
              <w:pStyle w:val="Tabletext"/>
              <w:jc w:val="center"/>
              <w:rPr>
                <w:sz w:val="24"/>
                <w:szCs w:val="24"/>
              </w:rPr>
            </w:pPr>
            <w:r w:rsidRPr="00844D4C">
              <w:rPr>
                <w:sz w:val="24"/>
                <w:szCs w:val="24"/>
              </w:rPr>
              <w:t>339</w:t>
            </w:r>
          </w:p>
        </w:tc>
      </w:tr>
      <w:tr w:rsidR="004D63A4" w:rsidRPr="00844D4C" w14:paraId="179D83CD" w14:textId="77777777" w:rsidTr="00D13DF7">
        <w:tc>
          <w:tcPr>
            <w:tcW w:w="482" w:type="dxa"/>
          </w:tcPr>
          <w:p w14:paraId="0C13C2D2" w14:textId="77777777" w:rsidR="004D63A4" w:rsidRPr="00844D4C" w:rsidRDefault="004D63A4" w:rsidP="00844D4C">
            <w:pPr>
              <w:pStyle w:val="Tabletext"/>
              <w:rPr>
                <w:bCs/>
                <w:sz w:val="24"/>
                <w:szCs w:val="24"/>
              </w:rPr>
            </w:pPr>
            <w:r w:rsidRPr="00844D4C">
              <w:rPr>
                <w:bCs/>
                <w:sz w:val="24"/>
                <w:szCs w:val="24"/>
              </w:rPr>
              <w:t>6</w:t>
            </w:r>
          </w:p>
        </w:tc>
        <w:tc>
          <w:tcPr>
            <w:tcW w:w="7740" w:type="dxa"/>
          </w:tcPr>
          <w:p w14:paraId="6D25B38D" w14:textId="77777777" w:rsidR="004D63A4" w:rsidRPr="00844D4C" w:rsidRDefault="004D63A4" w:rsidP="00844D4C">
            <w:pPr>
              <w:pStyle w:val="Tabletext"/>
              <w:rPr>
                <w:sz w:val="24"/>
                <w:szCs w:val="24"/>
              </w:rPr>
            </w:pPr>
            <w:r w:rsidRPr="00844D4C">
              <w:rPr>
                <w:sz w:val="24"/>
                <w:szCs w:val="24"/>
              </w:rPr>
              <w:t>Seizième série de textes soumis par la Commission de rédaction (B16) – deuxième lecture</w:t>
            </w:r>
          </w:p>
        </w:tc>
        <w:tc>
          <w:tcPr>
            <w:tcW w:w="1809" w:type="dxa"/>
          </w:tcPr>
          <w:p w14:paraId="5A660A14" w14:textId="77777777" w:rsidR="004D63A4" w:rsidRPr="00844D4C" w:rsidRDefault="004D63A4" w:rsidP="00844D4C">
            <w:pPr>
              <w:pStyle w:val="Tabletext"/>
              <w:jc w:val="center"/>
              <w:rPr>
                <w:sz w:val="24"/>
                <w:szCs w:val="24"/>
              </w:rPr>
            </w:pPr>
            <w:r w:rsidRPr="00844D4C">
              <w:rPr>
                <w:sz w:val="24"/>
                <w:szCs w:val="24"/>
              </w:rPr>
              <w:t>339</w:t>
            </w:r>
          </w:p>
        </w:tc>
      </w:tr>
      <w:tr w:rsidR="004D63A4" w:rsidRPr="00844D4C" w14:paraId="3E2F438B" w14:textId="77777777" w:rsidTr="00D13DF7">
        <w:tc>
          <w:tcPr>
            <w:tcW w:w="482" w:type="dxa"/>
          </w:tcPr>
          <w:p w14:paraId="10D5FD7B" w14:textId="77777777" w:rsidR="004D63A4" w:rsidRPr="00844D4C" w:rsidRDefault="004D63A4" w:rsidP="00844D4C">
            <w:pPr>
              <w:pStyle w:val="Tabletext"/>
              <w:rPr>
                <w:bCs/>
                <w:sz w:val="24"/>
                <w:szCs w:val="24"/>
              </w:rPr>
            </w:pPr>
            <w:r w:rsidRPr="00844D4C">
              <w:rPr>
                <w:bCs/>
                <w:sz w:val="24"/>
                <w:szCs w:val="24"/>
              </w:rPr>
              <w:t>7</w:t>
            </w:r>
          </w:p>
        </w:tc>
        <w:tc>
          <w:tcPr>
            <w:tcW w:w="7740" w:type="dxa"/>
          </w:tcPr>
          <w:p w14:paraId="7C6A1F63" w14:textId="77777777" w:rsidR="004D63A4" w:rsidRPr="00844D4C" w:rsidRDefault="004D63A4" w:rsidP="00844D4C">
            <w:pPr>
              <w:pStyle w:val="Tabletext"/>
              <w:rPr>
                <w:sz w:val="24"/>
                <w:szCs w:val="24"/>
              </w:rPr>
            </w:pPr>
            <w:r w:rsidRPr="00844D4C">
              <w:rPr>
                <w:sz w:val="24"/>
                <w:szCs w:val="24"/>
              </w:rPr>
              <w:t>Dix-septième série de textes soumis par la Commission de rédaction en première lecture (B17)</w:t>
            </w:r>
          </w:p>
        </w:tc>
        <w:tc>
          <w:tcPr>
            <w:tcW w:w="1809" w:type="dxa"/>
          </w:tcPr>
          <w:p w14:paraId="0E4312A7" w14:textId="77777777" w:rsidR="004D63A4" w:rsidRPr="00844D4C" w:rsidRDefault="004D63A4" w:rsidP="00844D4C">
            <w:pPr>
              <w:pStyle w:val="Tabletext"/>
              <w:jc w:val="center"/>
              <w:rPr>
                <w:sz w:val="24"/>
                <w:szCs w:val="24"/>
              </w:rPr>
            </w:pPr>
            <w:r w:rsidRPr="00844D4C">
              <w:rPr>
                <w:sz w:val="24"/>
                <w:szCs w:val="24"/>
              </w:rPr>
              <w:t>340</w:t>
            </w:r>
          </w:p>
        </w:tc>
      </w:tr>
      <w:tr w:rsidR="004D63A4" w:rsidRPr="00844D4C" w14:paraId="436F18F4" w14:textId="77777777" w:rsidTr="00D13DF7">
        <w:tc>
          <w:tcPr>
            <w:tcW w:w="482" w:type="dxa"/>
          </w:tcPr>
          <w:p w14:paraId="363F1226" w14:textId="77777777" w:rsidR="004D63A4" w:rsidRPr="00844D4C" w:rsidRDefault="004D63A4" w:rsidP="00844D4C">
            <w:pPr>
              <w:pStyle w:val="Tabletext"/>
              <w:rPr>
                <w:bCs/>
                <w:sz w:val="24"/>
                <w:szCs w:val="24"/>
              </w:rPr>
            </w:pPr>
            <w:r w:rsidRPr="00844D4C">
              <w:rPr>
                <w:bCs/>
                <w:sz w:val="24"/>
                <w:szCs w:val="24"/>
              </w:rPr>
              <w:t>8</w:t>
            </w:r>
          </w:p>
        </w:tc>
        <w:tc>
          <w:tcPr>
            <w:tcW w:w="7740" w:type="dxa"/>
          </w:tcPr>
          <w:p w14:paraId="2CA80FCD" w14:textId="4C429D79" w:rsidR="004D63A4" w:rsidRPr="00844D4C" w:rsidRDefault="004D63A4" w:rsidP="00844D4C">
            <w:pPr>
              <w:pStyle w:val="Tabletext"/>
              <w:rPr>
                <w:sz w:val="24"/>
                <w:szCs w:val="24"/>
              </w:rPr>
            </w:pPr>
            <w:r w:rsidRPr="00844D4C">
              <w:rPr>
                <w:sz w:val="24"/>
                <w:szCs w:val="24"/>
              </w:rPr>
              <w:t>Dix-septième série de textes soumis par la Commission de rédaction (B17) – deuxième lecture</w:t>
            </w:r>
          </w:p>
        </w:tc>
        <w:tc>
          <w:tcPr>
            <w:tcW w:w="1809" w:type="dxa"/>
          </w:tcPr>
          <w:p w14:paraId="4672F6B3" w14:textId="77777777" w:rsidR="004D63A4" w:rsidRPr="00844D4C" w:rsidRDefault="004D63A4" w:rsidP="00844D4C">
            <w:pPr>
              <w:pStyle w:val="Tabletext"/>
              <w:jc w:val="center"/>
              <w:rPr>
                <w:sz w:val="24"/>
                <w:szCs w:val="24"/>
              </w:rPr>
            </w:pPr>
            <w:r w:rsidRPr="00844D4C">
              <w:rPr>
                <w:sz w:val="24"/>
                <w:szCs w:val="24"/>
              </w:rPr>
              <w:t>340</w:t>
            </w:r>
          </w:p>
        </w:tc>
      </w:tr>
      <w:tr w:rsidR="004D63A4" w:rsidRPr="00844D4C" w14:paraId="5439A94F" w14:textId="77777777" w:rsidTr="00D13DF7">
        <w:tc>
          <w:tcPr>
            <w:tcW w:w="482" w:type="dxa"/>
          </w:tcPr>
          <w:p w14:paraId="181D2003" w14:textId="77777777" w:rsidR="004D63A4" w:rsidRPr="00844D4C" w:rsidRDefault="004D63A4" w:rsidP="00844D4C">
            <w:pPr>
              <w:pStyle w:val="Tabletext"/>
              <w:rPr>
                <w:bCs/>
                <w:sz w:val="24"/>
                <w:szCs w:val="24"/>
              </w:rPr>
            </w:pPr>
            <w:r w:rsidRPr="00844D4C">
              <w:rPr>
                <w:bCs/>
                <w:sz w:val="24"/>
                <w:szCs w:val="24"/>
              </w:rPr>
              <w:t>9</w:t>
            </w:r>
          </w:p>
        </w:tc>
        <w:tc>
          <w:tcPr>
            <w:tcW w:w="7740" w:type="dxa"/>
          </w:tcPr>
          <w:p w14:paraId="3061BEA0" w14:textId="77777777" w:rsidR="004D63A4" w:rsidRPr="00844D4C" w:rsidRDefault="004D63A4" w:rsidP="00844D4C">
            <w:pPr>
              <w:pStyle w:val="Tabletext"/>
              <w:rPr>
                <w:sz w:val="24"/>
                <w:szCs w:val="24"/>
              </w:rPr>
            </w:pPr>
            <w:r w:rsidRPr="00844D4C">
              <w:rPr>
                <w:sz w:val="24"/>
                <w:szCs w:val="24"/>
              </w:rPr>
              <w:t>Dix-huitième série de textes soumis par la Commission de rédaction en première lecture (B18)</w:t>
            </w:r>
          </w:p>
        </w:tc>
        <w:tc>
          <w:tcPr>
            <w:tcW w:w="1809" w:type="dxa"/>
          </w:tcPr>
          <w:p w14:paraId="30DAC80F" w14:textId="77777777" w:rsidR="004D63A4" w:rsidRPr="00844D4C" w:rsidRDefault="004D63A4" w:rsidP="00844D4C">
            <w:pPr>
              <w:pStyle w:val="Tabletext"/>
              <w:jc w:val="center"/>
              <w:rPr>
                <w:sz w:val="24"/>
                <w:szCs w:val="24"/>
              </w:rPr>
            </w:pPr>
            <w:r w:rsidRPr="00844D4C">
              <w:rPr>
                <w:sz w:val="24"/>
                <w:szCs w:val="24"/>
              </w:rPr>
              <w:t>341</w:t>
            </w:r>
          </w:p>
        </w:tc>
      </w:tr>
      <w:tr w:rsidR="004D63A4" w:rsidRPr="00844D4C" w14:paraId="1572AC09" w14:textId="77777777" w:rsidTr="00D13DF7">
        <w:tc>
          <w:tcPr>
            <w:tcW w:w="482" w:type="dxa"/>
          </w:tcPr>
          <w:p w14:paraId="43212EF0" w14:textId="77777777" w:rsidR="004D63A4" w:rsidRPr="00844D4C" w:rsidRDefault="004D63A4" w:rsidP="00844D4C">
            <w:pPr>
              <w:pStyle w:val="Tabletext"/>
              <w:rPr>
                <w:bCs/>
                <w:sz w:val="24"/>
                <w:szCs w:val="24"/>
              </w:rPr>
            </w:pPr>
            <w:r w:rsidRPr="00844D4C">
              <w:rPr>
                <w:bCs/>
                <w:sz w:val="24"/>
                <w:szCs w:val="24"/>
              </w:rPr>
              <w:t>10</w:t>
            </w:r>
          </w:p>
        </w:tc>
        <w:tc>
          <w:tcPr>
            <w:tcW w:w="7740" w:type="dxa"/>
          </w:tcPr>
          <w:p w14:paraId="6B1294F6" w14:textId="329FFD61" w:rsidR="004D63A4" w:rsidRPr="00844D4C" w:rsidRDefault="004D63A4" w:rsidP="00844D4C">
            <w:pPr>
              <w:pStyle w:val="Tabletext"/>
              <w:rPr>
                <w:sz w:val="24"/>
                <w:szCs w:val="24"/>
              </w:rPr>
            </w:pPr>
            <w:r w:rsidRPr="00844D4C">
              <w:rPr>
                <w:sz w:val="24"/>
                <w:szCs w:val="24"/>
              </w:rPr>
              <w:t>Dix-huitième série de textes soumis par la Commission de rédaction (B18) – deuxième lecture</w:t>
            </w:r>
          </w:p>
        </w:tc>
        <w:tc>
          <w:tcPr>
            <w:tcW w:w="1809" w:type="dxa"/>
          </w:tcPr>
          <w:p w14:paraId="42E99129" w14:textId="77777777" w:rsidR="004D63A4" w:rsidRPr="00844D4C" w:rsidRDefault="004D63A4" w:rsidP="00844D4C">
            <w:pPr>
              <w:pStyle w:val="Tabletext"/>
              <w:jc w:val="center"/>
              <w:rPr>
                <w:sz w:val="24"/>
                <w:szCs w:val="24"/>
              </w:rPr>
            </w:pPr>
            <w:r w:rsidRPr="00844D4C">
              <w:rPr>
                <w:sz w:val="24"/>
                <w:szCs w:val="24"/>
              </w:rPr>
              <w:t>341</w:t>
            </w:r>
          </w:p>
        </w:tc>
      </w:tr>
      <w:tr w:rsidR="004D63A4" w:rsidRPr="00844D4C" w14:paraId="56116487" w14:textId="77777777" w:rsidTr="00D13DF7">
        <w:tc>
          <w:tcPr>
            <w:tcW w:w="482" w:type="dxa"/>
          </w:tcPr>
          <w:p w14:paraId="6B3E9C73" w14:textId="77777777" w:rsidR="004D63A4" w:rsidRPr="00844D4C" w:rsidRDefault="004D63A4" w:rsidP="00844D4C">
            <w:pPr>
              <w:pStyle w:val="Tabletext"/>
              <w:rPr>
                <w:bCs/>
                <w:sz w:val="24"/>
                <w:szCs w:val="24"/>
              </w:rPr>
            </w:pPr>
            <w:r w:rsidRPr="00844D4C">
              <w:rPr>
                <w:bCs/>
                <w:sz w:val="24"/>
                <w:szCs w:val="24"/>
              </w:rPr>
              <w:t>11</w:t>
            </w:r>
          </w:p>
        </w:tc>
        <w:tc>
          <w:tcPr>
            <w:tcW w:w="7740" w:type="dxa"/>
          </w:tcPr>
          <w:p w14:paraId="5C04D70B" w14:textId="77777777" w:rsidR="004D63A4" w:rsidRPr="00844D4C" w:rsidRDefault="004D63A4" w:rsidP="00844D4C">
            <w:pPr>
              <w:pStyle w:val="Tabletext"/>
              <w:rPr>
                <w:sz w:val="24"/>
                <w:szCs w:val="24"/>
              </w:rPr>
            </w:pPr>
            <w:r w:rsidRPr="00844D4C">
              <w:rPr>
                <w:sz w:val="24"/>
                <w:szCs w:val="24"/>
              </w:rPr>
              <w:t>Dix-neuvième série de textes soumis par la Commission de rédaction en première lecture (B19)</w:t>
            </w:r>
          </w:p>
        </w:tc>
        <w:tc>
          <w:tcPr>
            <w:tcW w:w="1809" w:type="dxa"/>
          </w:tcPr>
          <w:p w14:paraId="40BAB729" w14:textId="77777777" w:rsidR="004D63A4" w:rsidRPr="00844D4C" w:rsidRDefault="004D63A4" w:rsidP="00844D4C">
            <w:pPr>
              <w:pStyle w:val="Tabletext"/>
              <w:jc w:val="center"/>
              <w:rPr>
                <w:sz w:val="24"/>
                <w:szCs w:val="24"/>
              </w:rPr>
            </w:pPr>
            <w:r w:rsidRPr="00844D4C">
              <w:rPr>
                <w:sz w:val="24"/>
                <w:szCs w:val="24"/>
              </w:rPr>
              <w:t>342</w:t>
            </w:r>
          </w:p>
        </w:tc>
      </w:tr>
      <w:tr w:rsidR="004D63A4" w:rsidRPr="00844D4C" w14:paraId="4E4AFF7F" w14:textId="77777777" w:rsidTr="00D13DF7">
        <w:tc>
          <w:tcPr>
            <w:tcW w:w="482" w:type="dxa"/>
          </w:tcPr>
          <w:p w14:paraId="744A7791" w14:textId="77777777" w:rsidR="004D63A4" w:rsidRPr="00844D4C" w:rsidRDefault="004D63A4" w:rsidP="00844D4C">
            <w:pPr>
              <w:pStyle w:val="Tabletext"/>
              <w:keepNext/>
              <w:keepLines/>
              <w:rPr>
                <w:bCs/>
                <w:sz w:val="24"/>
                <w:szCs w:val="24"/>
              </w:rPr>
            </w:pPr>
            <w:r w:rsidRPr="00844D4C">
              <w:rPr>
                <w:bCs/>
                <w:sz w:val="24"/>
                <w:szCs w:val="24"/>
              </w:rPr>
              <w:lastRenderedPageBreak/>
              <w:t>12</w:t>
            </w:r>
          </w:p>
        </w:tc>
        <w:tc>
          <w:tcPr>
            <w:tcW w:w="7740" w:type="dxa"/>
          </w:tcPr>
          <w:p w14:paraId="67D9DE6C" w14:textId="3EC84496" w:rsidR="004D63A4" w:rsidRPr="00844D4C" w:rsidRDefault="004D63A4" w:rsidP="00844D4C">
            <w:pPr>
              <w:pStyle w:val="Tabletext"/>
              <w:keepNext/>
              <w:keepLines/>
              <w:rPr>
                <w:sz w:val="24"/>
                <w:szCs w:val="24"/>
              </w:rPr>
            </w:pPr>
            <w:r w:rsidRPr="00844D4C">
              <w:rPr>
                <w:sz w:val="24"/>
                <w:szCs w:val="24"/>
              </w:rPr>
              <w:t>Dix-neuvième série de textes soumis par la Commission de rédaction (B19) – deuxième lecture</w:t>
            </w:r>
          </w:p>
        </w:tc>
        <w:tc>
          <w:tcPr>
            <w:tcW w:w="1809" w:type="dxa"/>
          </w:tcPr>
          <w:p w14:paraId="2C36D30A" w14:textId="77777777" w:rsidR="004D63A4" w:rsidRPr="00844D4C" w:rsidRDefault="004D63A4" w:rsidP="00844D4C">
            <w:pPr>
              <w:pStyle w:val="Tabletext"/>
              <w:keepNext/>
              <w:keepLines/>
              <w:jc w:val="center"/>
              <w:rPr>
                <w:sz w:val="24"/>
                <w:szCs w:val="24"/>
              </w:rPr>
            </w:pPr>
            <w:r w:rsidRPr="00844D4C">
              <w:rPr>
                <w:sz w:val="24"/>
                <w:szCs w:val="24"/>
              </w:rPr>
              <w:t>342</w:t>
            </w:r>
          </w:p>
        </w:tc>
      </w:tr>
      <w:tr w:rsidR="004D63A4" w:rsidRPr="00844D4C" w14:paraId="063570B1" w14:textId="77777777" w:rsidTr="00D13DF7">
        <w:tc>
          <w:tcPr>
            <w:tcW w:w="482" w:type="dxa"/>
          </w:tcPr>
          <w:p w14:paraId="2E389550" w14:textId="77777777" w:rsidR="004D63A4" w:rsidRPr="00844D4C" w:rsidRDefault="004D63A4" w:rsidP="00844D4C">
            <w:pPr>
              <w:pStyle w:val="Tabletext"/>
              <w:keepNext/>
              <w:keepLines/>
              <w:rPr>
                <w:bCs/>
                <w:sz w:val="24"/>
                <w:szCs w:val="24"/>
              </w:rPr>
            </w:pPr>
            <w:r w:rsidRPr="00844D4C">
              <w:rPr>
                <w:bCs/>
                <w:sz w:val="24"/>
                <w:szCs w:val="24"/>
              </w:rPr>
              <w:t>13</w:t>
            </w:r>
          </w:p>
        </w:tc>
        <w:tc>
          <w:tcPr>
            <w:tcW w:w="7740" w:type="dxa"/>
          </w:tcPr>
          <w:p w14:paraId="4BC4E04C" w14:textId="77777777" w:rsidR="004D63A4" w:rsidRPr="00844D4C" w:rsidRDefault="004D63A4" w:rsidP="00844D4C">
            <w:pPr>
              <w:pStyle w:val="Tabletext"/>
              <w:keepNext/>
              <w:keepLines/>
              <w:rPr>
                <w:sz w:val="24"/>
                <w:szCs w:val="24"/>
              </w:rPr>
            </w:pPr>
            <w:r w:rsidRPr="00844D4C">
              <w:rPr>
                <w:sz w:val="24"/>
                <w:szCs w:val="24"/>
              </w:rPr>
              <w:t>Vingtième série de textes soumis par la Commission de rédaction en première lecture (B20)</w:t>
            </w:r>
          </w:p>
        </w:tc>
        <w:tc>
          <w:tcPr>
            <w:tcW w:w="1809" w:type="dxa"/>
          </w:tcPr>
          <w:p w14:paraId="5ADDB353" w14:textId="77777777" w:rsidR="004D63A4" w:rsidRPr="00844D4C" w:rsidRDefault="004D63A4" w:rsidP="00844D4C">
            <w:pPr>
              <w:pStyle w:val="Tabletext"/>
              <w:keepNext/>
              <w:keepLines/>
              <w:jc w:val="center"/>
              <w:rPr>
                <w:sz w:val="24"/>
                <w:szCs w:val="24"/>
              </w:rPr>
            </w:pPr>
            <w:r w:rsidRPr="00844D4C">
              <w:rPr>
                <w:sz w:val="24"/>
                <w:szCs w:val="24"/>
              </w:rPr>
              <w:t>346</w:t>
            </w:r>
          </w:p>
        </w:tc>
      </w:tr>
      <w:tr w:rsidR="004D63A4" w:rsidRPr="00844D4C" w14:paraId="07F57D27" w14:textId="77777777" w:rsidTr="00D13DF7">
        <w:tc>
          <w:tcPr>
            <w:tcW w:w="482" w:type="dxa"/>
          </w:tcPr>
          <w:p w14:paraId="4B30DB3D" w14:textId="77777777" w:rsidR="004D63A4" w:rsidRPr="00844D4C" w:rsidRDefault="004D63A4" w:rsidP="00844D4C">
            <w:pPr>
              <w:pStyle w:val="Tabletext"/>
              <w:rPr>
                <w:bCs/>
                <w:sz w:val="24"/>
                <w:szCs w:val="24"/>
              </w:rPr>
            </w:pPr>
            <w:r w:rsidRPr="00844D4C">
              <w:rPr>
                <w:bCs/>
                <w:sz w:val="24"/>
                <w:szCs w:val="24"/>
              </w:rPr>
              <w:t>14</w:t>
            </w:r>
          </w:p>
        </w:tc>
        <w:tc>
          <w:tcPr>
            <w:tcW w:w="7740" w:type="dxa"/>
          </w:tcPr>
          <w:p w14:paraId="2C57A20E" w14:textId="77777777" w:rsidR="004D63A4" w:rsidRPr="00844D4C" w:rsidRDefault="004D63A4" w:rsidP="00844D4C">
            <w:pPr>
              <w:pStyle w:val="Tabletext"/>
              <w:rPr>
                <w:sz w:val="24"/>
                <w:szCs w:val="24"/>
              </w:rPr>
            </w:pPr>
            <w:r w:rsidRPr="00844D4C">
              <w:rPr>
                <w:sz w:val="24"/>
                <w:szCs w:val="24"/>
              </w:rPr>
              <w:t>Vingtième série de textes soumis par la Commission de rédaction (B20) – deuxième lecture</w:t>
            </w:r>
          </w:p>
        </w:tc>
        <w:tc>
          <w:tcPr>
            <w:tcW w:w="1809" w:type="dxa"/>
          </w:tcPr>
          <w:p w14:paraId="38F0C655" w14:textId="77777777" w:rsidR="004D63A4" w:rsidRPr="00844D4C" w:rsidRDefault="004D63A4" w:rsidP="00844D4C">
            <w:pPr>
              <w:pStyle w:val="Tabletext"/>
              <w:jc w:val="center"/>
              <w:rPr>
                <w:sz w:val="24"/>
                <w:szCs w:val="24"/>
              </w:rPr>
            </w:pPr>
            <w:r w:rsidRPr="00844D4C">
              <w:rPr>
                <w:sz w:val="24"/>
                <w:szCs w:val="24"/>
              </w:rPr>
              <w:t>346</w:t>
            </w:r>
          </w:p>
        </w:tc>
      </w:tr>
    </w:tbl>
    <w:p w14:paraId="7415D262" w14:textId="77777777" w:rsidR="004D63A4" w:rsidRPr="00844D4C" w:rsidRDefault="004D63A4" w:rsidP="00844D4C">
      <w:r w:rsidRPr="00844D4C">
        <w:br w:type="page"/>
      </w:r>
    </w:p>
    <w:p w14:paraId="0434EEB8" w14:textId="5ABF1DE2" w:rsidR="004D63A4" w:rsidRPr="00844D4C" w:rsidRDefault="004D63A4" w:rsidP="00844D4C">
      <w:pPr>
        <w:pStyle w:val="Heading1"/>
      </w:pPr>
      <w:r w:rsidRPr="00844D4C">
        <w:lastRenderedPageBreak/>
        <w:t>1</w:t>
      </w:r>
      <w:r w:rsidRPr="00844D4C">
        <w:tab/>
        <w:t>Rapports verbaux des Présidents des Commissions</w:t>
      </w:r>
    </w:p>
    <w:p w14:paraId="7DB6B8B8" w14:textId="73185C67" w:rsidR="004D63A4" w:rsidRPr="00844D4C" w:rsidRDefault="004D63A4" w:rsidP="00844D4C">
      <w:r w:rsidRPr="00844D4C">
        <w:t>1.1</w:t>
      </w:r>
      <w:r w:rsidRPr="00844D4C">
        <w:tab/>
        <w:t xml:space="preserve">La </w:t>
      </w:r>
      <w:r w:rsidRPr="00844D4C">
        <w:rPr>
          <w:b/>
          <w:bCs/>
        </w:rPr>
        <w:t>Présidente de la Commission 2</w:t>
      </w:r>
      <w:r w:rsidRPr="00844D4C">
        <w:t xml:space="preserve"> indique que, depuis l</w:t>
      </w:r>
      <w:r w:rsidR="00E512CA" w:rsidRPr="00844D4C">
        <w:t>'</w:t>
      </w:r>
      <w:r w:rsidRPr="00844D4C">
        <w:t>approbation de son rapport final par la plénière, sa Commission a reçu cinq autres instruments d'accréditation, qu</w:t>
      </w:r>
      <w:r w:rsidR="00E512CA" w:rsidRPr="00844D4C">
        <w:t>'</w:t>
      </w:r>
      <w:r w:rsidRPr="00844D4C">
        <w:t>elle a reconnus en règle. Une délégation qui est arrivée récemment à la Conférence doit encore soumettre ses instruments d'accréditation. Le Document 305 sera mis à jour en conséquence.</w:t>
      </w:r>
    </w:p>
    <w:p w14:paraId="65D96DAB" w14:textId="4F30EFE3" w:rsidR="004D63A4" w:rsidRPr="00844D4C" w:rsidRDefault="004D63A4" w:rsidP="00844D4C">
      <w:r w:rsidRPr="00844D4C">
        <w:t>1.2</w:t>
      </w:r>
      <w:r w:rsidRPr="00844D4C">
        <w:tab/>
        <w:t xml:space="preserve">Il est </w:t>
      </w:r>
      <w:r w:rsidRPr="00844D4C">
        <w:rPr>
          <w:b/>
          <w:bCs/>
        </w:rPr>
        <w:t>pris note</w:t>
      </w:r>
      <w:r w:rsidRPr="00844D4C">
        <w:t xml:space="preserve"> du rapport verbal de la Présidente de la Commission 2.</w:t>
      </w:r>
    </w:p>
    <w:p w14:paraId="615118A7" w14:textId="4AF8CEA3" w:rsidR="004D63A4" w:rsidRPr="00844D4C" w:rsidRDefault="004D63A4" w:rsidP="00844D4C">
      <w:r w:rsidRPr="00844D4C">
        <w:t>1.3</w:t>
      </w:r>
      <w:r w:rsidRPr="00844D4C">
        <w:tab/>
        <w:t xml:space="preserve">La </w:t>
      </w:r>
      <w:r w:rsidRPr="00844D4C">
        <w:rPr>
          <w:b/>
          <w:bCs/>
        </w:rPr>
        <w:t>Présidente de la Commission 3</w:t>
      </w:r>
      <w:r w:rsidRPr="00844D4C">
        <w:t xml:space="preserve"> déclare que sa Commission tiendra sa troisième et dernière séance le lundi 11 décembre 2023, date à laquelle elle examinera la situation financière de la Conférence et les incidences financières provisoires des décisions de la CMR-23 au</w:t>
      </w:r>
      <w:r w:rsidR="00D13DF7" w:rsidRPr="00844D4C">
        <w:t> </w:t>
      </w:r>
      <w:r w:rsidRPr="00844D4C">
        <w:t>8</w:t>
      </w:r>
      <w:r w:rsidR="00D13DF7" w:rsidRPr="00844D4C">
        <w:t> </w:t>
      </w:r>
      <w:r w:rsidRPr="00844D4C">
        <w:t>décembre</w:t>
      </w:r>
      <w:r w:rsidR="00D13DF7" w:rsidRPr="00844D4C">
        <w:t> </w:t>
      </w:r>
      <w:r w:rsidRPr="00844D4C">
        <w:t>2023.</w:t>
      </w:r>
    </w:p>
    <w:p w14:paraId="7F2BAF35" w14:textId="7504FC2E" w:rsidR="004D63A4" w:rsidRPr="00844D4C" w:rsidRDefault="004D63A4" w:rsidP="00844D4C">
      <w:r w:rsidRPr="00844D4C">
        <w:t>1.4</w:t>
      </w:r>
      <w:r w:rsidRPr="00844D4C">
        <w:tab/>
        <w:t xml:space="preserve">Il est </w:t>
      </w:r>
      <w:r w:rsidRPr="00844D4C">
        <w:rPr>
          <w:b/>
          <w:bCs/>
        </w:rPr>
        <w:t>pris note</w:t>
      </w:r>
      <w:r w:rsidRPr="00844D4C">
        <w:t xml:space="preserve"> du rapport verbal de la Présidente de la Commission 3.</w:t>
      </w:r>
    </w:p>
    <w:p w14:paraId="49ED7DB6" w14:textId="0A38FA87" w:rsidR="004D63A4" w:rsidRPr="00844D4C" w:rsidRDefault="004D63A4" w:rsidP="00844D4C">
      <w:r w:rsidRPr="00844D4C">
        <w:t>1.5</w:t>
      </w:r>
      <w:r w:rsidRPr="00844D4C">
        <w:tab/>
        <w:t xml:space="preserve">Le </w:t>
      </w:r>
      <w:r w:rsidRPr="00844D4C">
        <w:rPr>
          <w:b/>
          <w:bCs/>
        </w:rPr>
        <w:t>Président de la Commission 4</w:t>
      </w:r>
      <w:r w:rsidRPr="00844D4C">
        <w:t xml:space="preserve"> déclare que sa Commission s</w:t>
      </w:r>
      <w:r w:rsidR="00E512CA" w:rsidRPr="00844D4C">
        <w:t>'</w:t>
      </w:r>
      <w:r w:rsidRPr="00844D4C">
        <w:t>est réunie une fois depuis la dernière séance plénière et a achevé l</w:t>
      </w:r>
      <w:r w:rsidR="00E512CA" w:rsidRPr="00844D4C">
        <w:t>'</w:t>
      </w:r>
      <w:r w:rsidRPr="00844D4C">
        <w:t>examen du point 1.6 de l</w:t>
      </w:r>
      <w:r w:rsidR="00E512CA" w:rsidRPr="00844D4C">
        <w:t>'</w:t>
      </w:r>
      <w:r w:rsidRPr="00844D4C">
        <w:t>ordre du jour. Tous les groupes de travail ont maintenant terminé leurs travaux et la Commission examinera les documents élaborés à sa prochaine séance. Certaines questions restent en suspens et devront probablement être examinées plus avant au niveau des commissions.</w:t>
      </w:r>
    </w:p>
    <w:p w14:paraId="36FC99E4" w14:textId="44964395" w:rsidR="004D63A4" w:rsidRPr="00844D4C" w:rsidRDefault="004D63A4" w:rsidP="00844D4C">
      <w:r w:rsidRPr="00844D4C">
        <w:t>1.6</w:t>
      </w:r>
      <w:r w:rsidRPr="00844D4C">
        <w:tab/>
        <w:t xml:space="preserve">Il est </w:t>
      </w:r>
      <w:r w:rsidRPr="00844D4C">
        <w:rPr>
          <w:b/>
          <w:bCs/>
        </w:rPr>
        <w:t>pris note</w:t>
      </w:r>
      <w:r w:rsidRPr="00844D4C">
        <w:t xml:space="preserve"> du rapport verbal du Président de la Commission 4.</w:t>
      </w:r>
    </w:p>
    <w:p w14:paraId="13A89373" w14:textId="77911649" w:rsidR="004D63A4" w:rsidRPr="00844D4C" w:rsidRDefault="004D63A4" w:rsidP="00844D4C">
      <w:r w:rsidRPr="00844D4C">
        <w:t>1.7</w:t>
      </w:r>
      <w:r w:rsidRPr="00844D4C">
        <w:tab/>
        <w:t xml:space="preserve">La </w:t>
      </w:r>
      <w:r w:rsidRPr="00844D4C">
        <w:rPr>
          <w:b/>
          <w:bCs/>
        </w:rPr>
        <w:t>Présidente de la Commission 5</w:t>
      </w:r>
      <w:r w:rsidRPr="00844D4C">
        <w:t xml:space="preserve"> déclare que sa Commission a tenu une séance depuis la dernière séance plénière. Elle a achevé ses travaux sur les points 7 (Question C) et 9.1 (Questions A et D) de l</w:t>
      </w:r>
      <w:r w:rsidR="00E512CA" w:rsidRPr="00844D4C">
        <w:t>'</w:t>
      </w:r>
      <w:r w:rsidRPr="00844D4C">
        <w:t>ordre du jour, qui seront présentés à la présente séance plénière pour approbation (Document 340). Elle est également parvenue à achever ses travaux sur les points 1.15 et 1.16 de l</w:t>
      </w:r>
      <w:r w:rsidR="00E512CA" w:rsidRPr="00844D4C">
        <w:t>'</w:t>
      </w:r>
      <w:r w:rsidRPr="00844D4C">
        <w:t>ordre du jour, qui seront présentés à la séance plénière du 11 décembre 2023. Bien que les travaux progressent, il reste encore beaucoup à faire. Elle encourage vivement tous les participants à ne ménager aucun effort pour parvenir aux compromis nécessaires et à de bons résultats pour tous.</w:t>
      </w:r>
    </w:p>
    <w:p w14:paraId="452D7187" w14:textId="33EA74F9" w:rsidR="004D63A4" w:rsidRPr="00844D4C" w:rsidRDefault="004D63A4" w:rsidP="00844D4C">
      <w:r w:rsidRPr="00844D4C">
        <w:t>1.8</w:t>
      </w:r>
      <w:r w:rsidRPr="00844D4C">
        <w:tab/>
        <w:t xml:space="preserve">Il est </w:t>
      </w:r>
      <w:r w:rsidRPr="00844D4C">
        <w:rPr>
          <w:b/>
          <w:bCs/>
        </w:rPr>
        <w:t>pris note</w:t>
      </w:r>
      <w:r w:rsidRPr="00844D4C">
        <w:t xml:space="preserve"> du rapport verbal de la Présidente de la Commission 5.</w:t>
      </w:r>
    </w:p>
    <w:p w14:paraId="7B691E35" w14:textId="0DBC0611" w:rsidR="004D63A4" w:rsidRPr="00844D4C" w:rsidRDefault="004D63A4" w:rsidP="00844D4C">
      <w:r w:rsidRPr="00844D4C">
        <w:t>1.9</w:t>
      </w:r>
      <w:r w:rsidRPr="00844D4C">
        <w:tab/>
        <w:t xml:space="preserve">Le </w:t>
      </w:r>
      <w:r w:rsidRPr="00844D4C">
        <w:rPr>
          <w:b/>
          <w:bCs/>
        </w:rPr>
        <w:t>Président de la Commission 6</w:t>
      </w:r>
      <w:r w:rsidRPr="00844D4C">
        <w:t xml:space="preserve"> signale qu</w:t>
      </w:r>
      <w:r w:rsidR="00E512CA" w:rsidRPr="00844D4C">
        <w:t>'</w:t>
      </w:r>
      <w:r w:rsidRPr="00844D4C">
        <w:t>à ses deux dernières séances, la Commission 6 a achevé ses travaux sur les points 4, 8 et 9.1 de l</w:t>
      </w:r>
      <w:r w:rsidR="00E512CA" w:rsidRPr="00844D4C">
        <w:t>'</w:t>
      </w:r>
      <w:r w:rsidRPr="00844D4C">
        <w:t>ordre du jour. Certains des résultats ont été soumis à la présente séance plénière (Documents 341, 342 et 346) et les autres seront présentés à la séance plénière du 11 décembre 2023. En ce qui concerne le point 10 de l</w:t>
      </w:r>
      <w:r w:rsidR="00E512CA" w:rsidRPr="00844D4C">
        <w:t>'</w:t>
      </w:r>
      <w:r w:rsidRPr="00844D4C">
        <w:t>ordre du jour, le Groupe de travail 6B examinera les textes produits par les Groupes de rédaction à sa séance prévue plus tard dans la journée. Après consultation des chefs des groupes régionaux, les sujets à inscrire à l</w:t>
      </w:r>
      <w:r w:rsidR="00E512CA" w:rsidRPr="00844D4C">
        <w:t>'</w:t>
      </w:r>
      <w:r w:rsidRPr="00844D4C">
        <w:t>ordre du jour de la CMR-27 et à l</w:t>
      </w:r>
      <w:r w:rsidR="00E512CA" w:rsidRPr="00844D4C">
        <w:t>'</w:t>
      </w:r>
      <w:r w:rsidRPr="00844D4C">
        <w:t>ordre du jour préliminaire de la CMR-31 ont été priorisés, et le groupe de travail appliquera cette approche dans ses travaux. L'orateur prie instamment les participants de faire preuve de l</w:t>
      </w:r>
      <w:r w:rsidR="00E512CA" w:rsidRPr="00844D4C">
        <w:t>'</w:t>
      </w:r>
      <w:r w:rsidRPr="00844D4C">
        <w:t>esprit de collaboration et de coopération nécessaire pour permettre à la Commission de mener à bien ses importants travaux.</w:t>
      </w:r>
    </w:p>
    <w:p w14:paraId="0AB8D31D" w14:textId="5086615B" w:rsidR="004D63A4" w:rsidRPr="00844D4C" w:rsidRDefault="004D63A4" w:rsidP="00844D4C">
      <w:r w:rsidRPr="00844D4C">
        <w:t>1.10</w:t>
      </w:r>
      <w:r w:rsidRPr="00844D4C">
        <w:tab/>
        <w:t xml:space="preserve">Il est </w:t>
      </w:r>
      <w:r w:rsidRPr="00844D4C">
        <w:rPr>
          <w:b/>
          <w:bCs/>
        </w:rPr>
        <w:t>pris note</w:t>
      </w:r>
      <w:r w:rsidRPr="00844D4C">
        <w:t xml:space="preserve"> du rapport verbal du Président de la Commission 6.</w:t>
      </w:r>
    </w:p>
    <w:p w14:paraId="6F87BCC0" w14:textId="4945ECBE" w:rsidR="004D63A4" w:rsidRPr="00844D4C" w:rsidRDefault="004D63A4" w:rsidP="00844D4C">
      <w:r w:rsidRPr="00844D4C">
        <w:t>1.11</w:t>
      </w:r>
      <w:r w:rsidRPr="00844D4C">
        <w:tab/>
        <w:t xml:space="preserve">Le </w:t>
      </w:r>
      <w:r w:rsidRPr="00844D4C">
        <w:rPr>
          <w:b/>
          <w:bCs/>
        </w:rPr>
        <w:t>Président</w:t>
      </w:r>
      <w:r w:rsidRPr="00844D4C">
        <w:t xml:space="preserve"> appuie les demandes faites par les Présidents des Commissions 5 et 6, notant que la Conférence doit accélérer ses travaux pour parvenir à un consensus sur plusieurs points de l</w:t>
      </w:r>
      <w:r w:rsidR="00E512CA" w:rsidRPr="00844D4C">
        <w:t>'</w:t>
      </w:r>
      <w:r w:rsidRPr="00844D4C">
        <w:t>ordre du jour.</w:t>
      </w:r>
    </w:p>
    <w:p w14:paraId="4560FAF3" w14:textId="77777777" w:rsidR="004D63A4" w:rsidRPr="00844D4C" w:rsidRDefault="004D63A4" w:rsidP="00844D4C">
      <w:r w:rsidRPr="00844D4C">
        <w:t>1.12</w:t>
      </w:r>
      <w:r w:rsidRPr="00844D4C">
        <w:tab/>
      </w:r>
      <w:r w:rsidRPr="00844D4C">
        <w:rPr>
          <w:bdr w:val="none" w:sz="0" w:space="0" w:color="auto" w:frame="1"/>
        </w:rPr>
        <w:t xml:space="preserve">Le </w:t>
      </w:r>
      <w:r w:rsidRPr="00844D4C">
        <w:rPr>
          <w:b/>
          <w:bCs/>
          <w:bdr w:val="none" w:sz="0" w:space="0" w:color="auto" w:frame="1"/>
        </w:rPr>
        <w:t>Président de la Commission 7</w:t>
      </w:r>
      <w:r w:rsidRPr="00844D4C">
        <w:rPr>
          <w:bdr w:val="none" w:sz="0" w:space="0" w:color="auto" w:frame="1"/>
        </w:rPr>
        <w:t xml:space="preserve"> indique que sa Commission présentera six séries de textes à la présente séance plénière pour approbation.</w:t>
      </w:r>
    </w:p>
    <w:p w14:paraId="5B635E80" w14:textId="31CDD93A" w:rsidR="00F372DE" w:rsidRPr="00844D4C" w:rsidRDefault="004D63A4" w:rsidP="00844D4C">
      <w:pPr>
        <w:rPr>
          <w:bdr w:val="none" w:sz="0" w:space="0" w:color="auto" w:frame="1"/>
        </w:rPr>
      </w:pPr>
      <w:r w:rsidRPr="00844D4C">
        <w:rPr>
          <w:bdr w:val="none" w:sz="0" w:space="0" w:color="auto" w:frame="1"/>
        </w:rPr>
        <w:t>1.13</w:t>
      </w:r>
      <w:r w:rsidRPr="00844D4C">
        <w:rPr>
          <w:bdr w:val="none" w:sz="0" w:space="0" w:color="auto" w:frame="1"/>
        </w:rPr>
        <w:tab/>
      </w:r>
      <w:r w:rsidRPr="00844D4C">
        <w:t xml:space="preserve">Il est </w:t>
      </w:r>
      <w:r w:rsidRPr="00844D4C">
        <w:rPr>
          <w:b/>
          <w:bCs/>
        </w:rPr>
        <w:t>pris note</w:t>
      </w:r>
      <w:r w:rsidRPr="00844D4C">
        <w:t xml:space="preserve"> du rapport verbal du Président de la Commission </w:t>
      </w:r>
      <w:r w:rsidRPr="00844D4C">
        <w:rPr>
          <w:bdr w:val="none" w:sz="0" w:space="0" w:color="auto" w:frame="1"/>
        </w:rPr>
        <w:t>7</w:t>
      </w:r>
      <w:r w:rsidR="00E512CA" w:rsidRPr="00844D4C">
        <w:rPr>
          <w:bdr w:val="none" w:sz="0" w:space="0" w:color="auto" w:frame="1"/>
        </w:rPr>
        <w:t>.</w:t>
      </w:r>
    </w:p>
    <w:p w14:paraId="79A044B3" w14:textId="77777777" w:rsidR="00D13DF7" w:rsidRPr="00844D4C" w:rsidRDefault="00D13DF7" w:rsidP="00844D4C">
      <w:pPr>
        <w:pStyle w:val="Heading1"/>
      </w:pPr>
      <w:r w:rsidRPr="00844D4C">
        <w:lastRenderedPageBreak/>
        <w:t>2</w:t>
      </w:r>
      <w:r w:rsidRPr="00844D4C">
        <w:tab/>
        <w:t>Premier rapport de la Commission 6 plénière (Document 357)</w:t>
      </w:r>
    </w:p>
    <w:p w14:paraId="147887FB" w14:textId="77777777" w:rsidR="00D13DF7" w:rsidRPr="00844D4C" w:rsidRDefault="00D13DF7" w:rsidP="00844D4C">
      <w:r w:rsidRPr="00844D4C">
        <w:t>2.1</w:t>
      </w:r>
      <w:r w:rsidRPr="00844D4C">
        <w:tab/>
        <w:t xml:space="preserve">Le </w:t>
      </w:r>
      <w:r w:rsidRPr="00844D4C">
        <w:rPr>
          <w:b/>
          <w:bCs/>
        </w:rPr>
        <w:t>Président de la Commission 6</w:t>
      </w:r>
      <w:r w:rsidRPr="00844D4C">
        <w:t xml:space="preserve"> présente le Document 357 contenant le premier rapport de la Commission 6 à la plénière, qui énumère les 79 Résolutions et 21 Recommandations que la Commission a décidé de maintenir sans modification au titre du point 4 de l'ordre du jour, conformément à la Résolution 95 (Rév.CMR-19). La plénière est invitée à approuver le Document 357 au titre du point 4 de l'ordre du jour, étant entendu que d'éventuelles décisions futures adoptées à la présente Conférence au titre d'autres points de l'ordre du jour pourraient entraîner des modifications d'ordre rédactionnel de certaines des résolutions et recommandations énumérées dans le document.</w:t>
      </w:r>
    </w:p>
    <w:p w14:paraId="6F0572E2" w14:textId="77777777" w:rsidR="00D13DF7" w:rsidRPr="00844D4C" w:rsidRDefault="00D13DF7" w:rsidP="00844D4C">
      <w:r w:rsidRPr="00844D4C">
        <w:t>2.2</w:t>
      </w:r>
      <w:r w:rsidRPr="00844D4C">
        <w:tab/>
        <w:t xml:space="preserve">Sur cette base, le Document 357 est </w:t>
      </w:r>
      <w:r w:rsidRPr="00844D4C">
        <w:rPr>
          <w:b/>
          <w:bCs/>
        </w:rPr>
        <w:t>approuvé</w:t>
      </w:r>
      <w:r w:rsidRPr="00844D4C">
        <w:t>.</w:t>
      </w:r>
    </w:p>
    <w:p w14:paraId="3F154BFA" w14:textId="77777777" w:rsidR="00D13DF7" w:rsidRPr="00844D4C" w:rsidRDefault="00D13DF7" w:rsidP="00844D4C">
      <w:pPr>
        <w:pStyle w:val="Heading1"/>
      </w:pPr>
      <w:r w:rsidRPr="00844D4C">
        <w:t>3</w:t>
      </w:r>
      <w:r w:rsidRPr="00844D4C">
        <w:tab/>
        <w:t>Quinzième série de textes soumis par la Commission de rédaction en première lecture (B15) (Document 338)</w:t>
      </w:r>
    </w:p>
    <w:p w14:paraId="2F1083AC" w14:textId="77777777" w:rsidR="00D13DF7" w:rsidRPr="00844D4C" w:rsidRDefault="00D13DF7" w:rsidP="00844D4C">
      <w:r w:rsidRPr="00844D4C">
        <w:t>3.1</w:t>
      </w:r>
      <w:r w:rsidRPr="00844D4C">
        <w:tab/>
        <w:t xml:space="preserve">Le </w:t>
      </w:r>
      <w:r w:rsidRPr="00844D4C">
        <w:rPr>
          <w:b/>
          <w:bCs/>
        </w:rPr>
        <w:t>Président de la Commission de rédaction</w:t>
      </w:r>
      <w:r w:rsidRPr="00844D4C">
        <w:t xml:space="preserve"> présente le Document 338.</w:t>
      </w:r>
    </w:p>
    <w:p w14:paraId="27982CC3" w14:textId="77777777" w:rsidR="00D13DF7" w:rsidRPr="00844D4C" w:rsidRDefault="00D13DF7" w:rsidP="00844D4C">
      <w:r w:rsidRPr="00844D4C">
        <w:t>3.2</w:t>
      </w:r>
      <w:r w:rsidRPr="00844D4C">
        <w:tab/>
        <w:t xml:space="preserve">Le </w:t>
      </w:r>
      <w:r w:rsidRPr="00844D4C">
        <w:rPr>
          <w:b/>
          <w:bCs/>
        </w:rPr>
        <w:t>Président</w:t>
      </w:r>
      <w:r w:rsidRPr="00844D4C">
        <w:t xml:space="preserve"> invite les participants à examiner le Document 338.</w:t>
      </w:r>
    </w:p>
    <w:p w14:paraId="13F9EF10" w14:textId="77777777" w:rsidR="00D13DF7" w:rsidRPr="00844D4C" w:rsidRDefault="00D13DF7" w:rsidP="00844D4C">
      <w:pPr>
        <w:rPr>
          <w:b/>
          <w:bCs/>
        </w:rPr>
      </w:pPr>
      <w:r w:rsidRPr="00844D4C">
        <w:rPr>
          <w:b/>
          <w:bCs/>
        </w:rPr>
        <w:t>Article 5 (MOD Tableau 75,2-137,175 MHz, ADD 5.A17, ADD 5.B17, MOD 5.200, MOD Tableau 890-1 300 MHz, ADD 5.A91B); Article 21 (MOD Tableau 21-2); Appendice 4 (MOD Tableau 1, MOD Tableau A); Appendice 5 (MOD 1.1); ADD Résolution COM4/2 (WRC-23) – L'utilisation de la bande de fréquences 117,975-137 MHz par le service mobile aéronautique (R) par satellite; SUP Résolution 428 (CMR-19); SUP Résolution 774 (CMR-19)</w:t>
      </w:r>
    </w:p>
    <w:p w14:paraId="7654F175" w14:textId="77777777" w:rsidR="00D13DF7" w:rsidRPr="00844D4C" w:rsidRDefault="00D13DF7" w:rsidP="00844D4C">
      <w:r w:rsidRPr="00844D4C">
        <w:t>3.3</w:t>
      </w:r>
      <w:r w:rsidRPr="00844D4C">
        <w:tab/>
      </w:r>
      <w:r w:rsidRPr="00844D4C">
        <w:rPr>
          <w:b/>
          <w:bCs/>
        </w:rPr>
        <w:t>Approuvés</w:t>
      </w:r>
      <w:r w:rsidRPr="00844D4C">
        <w:t>.</w:t>
      </w:r>
    </w:p>
    <w:p w14:paraId="33BFFBA2" w14:textId="77777777" w:rsidR="00D13DF7" w:rsidRPr="00844D4C" w:rsidRDefault="00D13DF7" w:rsidP="00844D4C">
      <w:r w:rsidRPr="00844D4C">
        <w:t>3.4</w:t>
      </w:r>
      <w:r w:rsidRPr="00844D4C">
        <w:tab/>
        <w:t xml:space="preserve">La quinzième série de textes soumis par la Commission de rédaction en première lecture (B15) (Document 338) est </w:t>
      </w:r>
      <w:r w:rsidRPr="00844D4C">
        <w:rPr>
          <w:b/>
          <w:bCs/>
        </w:rPr>
        <w:t>approuvée</w:t>
      </w:r>
      <w:r w:rsidRPr="00844D4C">
        <w:t>.</w:t>
      </w:r>
    </w:p>
    <w:p w14:paraId="67253F81" w14:textId="77777777" w:rsidR="00D13DF7" w:rsidRPr="00844D4C" w:rsidRDefault="00D13DF7" w:rsidP="00844D4C">
      <w:pPr>
        <w:pStyle w:val="Heading1"/>
      </w:pPr>
      <w:r w:rsidRPr="00844D4C">
        <w:t>4</w:t>
      </w:r>
      <w:r w:rsidRPr="00844D4C">
        <w:tab/>
        <w:t>Quinzième série de textes soumis par la Commission de rédaction (B15) – deuxième lecture (Document 338)</w:t>
      </w:r>
    </w:p>
    <w:p w14:paraId="1B0226E9" w14:textId="77777777" w:rsidR="00D13DF7" w:rsidRPr="00844D4C" w:rsidRDefault="00D13DF7" w:rsidP="00844D4C">
      <w:r w:rsidRPr="00844D4C">
        <w:t>4.1</w:t>
      </w:r>
      <w:r w:rsidRPr="00844D4C">
        <w:tab/>
        <w:t xml:space="preserve">La quinzième série de textes soumis par la Commission de rédaction (B15) (Document 338) est </w:t>
      </w:r>
      <w:r w:rsidRPr="00844D4C">
        <w:rPr>
          <w:b/>
          <w:bCs/>
        </w:rPr>
        <w:t>approuvée</w:t>
      </w:r>
      <w:r w:rsidRPr="00844D4C">
        <w:t xml:space="preserve"> en deuxième lecture.</w:t>
      </w:r>
    </w:p>
    <w:p w14:paraId="3C9B7377" w14:textId="77777777" w:rsidR="00D13DF7" w:rsidRPr="00844D4C" w:rsidRDefault="00D13DF7" w:rsidP="00844D4C">
      <w:pPr>
        <w:pStyle w:val="Heading1"/>
      </w:pPr>
      <w:r w:rsidRPr="00844D4C">
        <w:t>5</w:t>
      </w:r>
      <w:r w:rsidRPr="00844D4C">
        <w:tab/>
        <w:t>Seizième série de textes soumis par la Commission de rédaction en première lecture (B16) (Document 339)</w:t>
      </w:r>
    </w:p>
    <w:p w14:paraId="32A96643" w14:textId="77777777" w:rsidR="00D13DF7" w:rsidRPr="00844D4C" w:rsidRDefault="00D13DF7" w:rsidP="00844D4C">
      <w:r w:rsidRPr="00844D4C">
        <w:t>5.1</w:t>
      </w:r>
      <w:r w:rsidRPr="00844D4C">
        <w:tab/>
        <w:t xml:space="preserve">Le </w:t>
      </w:r>
      <w:r w:rsidRPr="00844D4C">
        <w:rPr>
          <w:b/>
          <w:bCs/>
        </w:rPr>
        <w:t>Président de la Commission de rédaction</w:t>
      </w:r>
      <w:r w:rsidRPr="00844D4C">
        <w:t xml:space="preserve"> présente le Document 339.</w:t>
      </w:r>
    </w:p>
    <w:p w14:paraId="27C4DD80" w14:textId="77777777" w:rsidR="00D13DF7" w:rsidRPr="00844D4C" w:rsidRDefault="00D13DF7" w:rsidP="00844D4C">
      <w:r w:rsidRPr="00844D4C">
        <w:t>5.2</w:t>
      </w:r>
      <w:r w:rsidRPr="00844D4C">
        <w:tab/>
        <w:t xml:space="preserve">Le </w:t>
      </w:r>
      <w:r w:rsidRPr="00844D4C">
        <w:rPr>
          <w:b/>
          <w:bCs/>
        </w:rPr>
        <w:t>Président</w:t>
      </w:r>
      <w:r w:rsidRPr="00844D4C">
        <w:t xml:space="preserve"> invite les participants à examiner le Document 339.</w:t>
      </w:r>
    </w:p>
    <w:p w14:paraId="46724414" w14:textId="77777777" w:rsidR="00D13DF7" w:rsidRPr="00844D4C" w:rsidRDefault="00D13DF7" w:rsidP="00844D4C">
      <w:pPr>
        <w:rPr>
          <w:b/>
          <w:bCs/>
        </w:rPr>
      </w:pPr>
      <w:r w:rsidRPr="00844D4C">
        <w:rPr>
          <w:b/>
          <w:bCs/>
        </w:rPr>
        <w:t>Article 5 (MOD Tableau 495-1 800 kHz, ADD 5.A111, MOD Tableau 1 800-2 194 kHz, MOD 5.110, MOD Tableau 3 230-5 003 kHz, MOD 5.132, MOD Tableau 5 003-7 000 kHz, ADD 5.B111, MOD Tableau 7 450-13 360 kHz, MOD Tableau 13 360-18 030 kHz, MOD Tableau 18 030-23 350 kHz, MOD Tableau 23 350-27 500 kHz, MOD Tableau 161,9375-223 MHz, MOD 5.228C, MOD Tableau 1 610-1 660 MHz, MOD 5.375); Article 19 (MOD 19.11, MOD 19.83, MOD 19.97); Article 31 (MOD 31.7); Article 32 (MOD 32.7, MOD 32.7.1, MOD 32.10A, MOD 32.12, MOD 32.21A, MOD 32.23, MOD 32.31, MOD 32.34A, MOD 32.47, MOD 32.52, MOD 32.56, MOD 32.57, MOD 32.59, MOD 32.61); Article 33 (MOD 33.8, MOD 33.12, MOD 33.20, MOD 33.31, MOD 33.35, ADD 33.40</w:t>
      </w:r>
      <w:r w:rsidRPr="00844D4C">
        <w:rPr>
          <w:b/>
          <w:bCs/>
          <w:i/>
          <w:iCs/>
        </w:rPr>
        <w:t>bis</w:t>
      </w:r>
      <w:r w:rsidRPr="00844D4C">
        <w:rPr>
          <w:b/>
          <w:bCs/>
        </w:rPr>
        <w:t xml:space="preserve">, MOD 33.41, MOD 33.43, ADD 33.46A1, ADD 33.46A2, MOD 33.47, MOD 33.48, MOD 33.49); Article 34 (MOD Section I); Article 47 (MOD Tableau 47-1); Article 51 (MOD 51.40, MOD 51.41, MOD 51.44, </w:t>
      </w:r>
      <w:r w:rsidRPr="00844D4C">
        <w:rPr>
          <w:b/>
          <w:bCs/>
        </w:rPr>
        <w:lastRenderedPageBreak/>
        <w:t>MOD 51.49, ADD 51.49</w:t>
      </w:r>
      <w:r w:rsidRPr="00844D4C">
        <w:rPr>
          <w:b/>
          <w:bCs/>
          <w:i/>
          <w:iCs/>
        </w:rPr>
        <w:t>bis</w:t>
      </w:r>
      <w:r w:rsidRPr="00844D4C">
        <w:rPr>
          <w:b/>
          <w:bCs/>
        </w:rPr>
        <w:t>, ADD 51.49</w:t>
      </w:r>
      <w:r w:rsidRPr="00844D4C">
        <w:rPr>
          <w:b/>
          <w:bCs/>
          <w:i/>
          <w:iCs/>
        </w:rPr>
        <w:t>ter</w:t>
      </w:r>
      <w:r w:rsidRPr="00844D4C">
        <w:rPr>
          <w:b/>
          <w:bCs/>
        </w:rPr>
        <w:t>, ADD 51.64A1, ADD 51.64A2, ADD 51.64A3, ADD 51.64A4, ADD 51.64A5); Article 52 (MOD 52.6, ADD 52.13A, MOD 52.97, MOD 52.101, MOD 52.103, MOD 52.111, ADD Section IV</w:t>
      </w:r>
      <w:r w:rsidRPr="00844D4C">
        <w:rPr>
          <w:b/>
          <w:bCs/>
          <w:i/>
          <w:iCs/>
        </w:rPr>
        <w:t>bis</w:t>
      </w:r>
      <w:r w:rsidRPr="00844D4C">
        <w:rPr>
          <w:b/>
          <w:bCs/>
        </w:rPr>
        <w:t>, ADD 52.xx0, ADD 52.xx1, ADD 52.xx2, ADD 52.xx3, ADD 52.xx4, ADD 52.xx5, MOD 52.189, ADD 52.262A1, ADD B1, ADD 52.262A2, MOD 52.263, MOD B1, MOD 52.264, ADD 52.265A1); ADD Article 54</w:t>
      </w:r>
      <w:r w:rsidRPr="00844D4C">
        <w:rPr>
          <w:b/>
          <w:bCs/>
          <w:i/>
          <w:iCs/>
        </w:rPr>
        <w:t>bis</w:t>
      </w:r>
      <w:r w:rsidRPr="00844D4C">
        <w:rPr>
          <w:b/>
          <w:bCs/>
        </w:rPr>
        <w:t xml:space="preserve"> (ADD 54</w:t>
      </w:r>
      <w:r w:rsidRPr="00844D4C">
        <w:rPr>
          <w:b/>
          <w:bCs/>
          <w:i/>
          <w:iCs/>
        </w:rPr>
        <w:t>bis</w:t>
      </w:r>
      <w:r w:rsidRPr="00844D4C">
        <w:rPr>
          <w:b/>
          <w:bCs/>
        </w:rPr>
        <w:t>.1, ADD 54</w:t>
      </w:r>
      <w:r w:rsidRPr="00844D4C">
        <w:rPr>
          <w:b/>
          <w:bCs/>
          <w:i/>
          <w:iCs/>
        </w:rPr>
        <w:t>bis</w:t>
      </w:r>
      <w:r w:rsidRPr="00844D4C">
        <w:rPr>
          <w:b/>
          <w:bCs/>
        </w:rPr>
        <w:t>.2); Appendice 14 (MOD Titre); Appendice 15 (MOD Tableau 15-1, MOD Tableau 15-2); Appendice 17 (MOD PARTIE A, MOD PARTIE B Section II); MOD Résolution 18 (Rév.CMR-15); MOD Résolution 349 (Rév.CMR-19); MOD Résolution 354 (CMR-07); ADD Résolution COM4/1 (CMR-23) – Coordination des services fournis par le système NAVDAT; Article 19 (SUP 19.96A); Article 32 (SUP 32.24, SUP 32.38, SUP 32.43, SUP 32.44, SUP 32.48, SUP 32.53); Article 33 (SUP 33.13, SUP 33.17, SUP 33.18, SUP 33.36, SUP 33.37, SUP 33.38)</w:t>
      </w:r>
    </w:p>
    <w:p w14:paraId="28AA7F2B" w14:textId="77777777" w:rsidR="00D13DF7" w:rsidRPr="00844D4C" w:rsidRDefault="00D13DF7" w:rsidP="00844D4C">
      <w:r w:rsidRPr="00844D4C">
        <w:t>5.3</w:t>
      </w:r>
      <w:r w:rsidRPr="00844D4C">
        <w:tab/>
      </w:r>
      <w:r w:rsidRPr="00844D4C">
        <w:rPr>
          <w:b/>
          <w:bCs/>
        </w:rPr>
        <w:t>Approuvés</w:t>
      </w:r>
      <w:r w:rsidRPr="00844D4C">
        <w:t>.</w:t>
      </w:r>
    </w:p>
    <w:p w14:paraId="2FDD6E89" w14:textId="77777777" w:rsidR="00D13DF7" w:rsidRPr="00844D4C" w:rsidRDefault="00D13DF7" w:rsidP="00844D4C">
      <w:r w:rsidRPr="00844D4C">
        <w:t>5.4</w:t>
      </w:r>
      <w:r w:rsidRPr="00844D4C">
        <w:tab/>
        <w:t xml:space="preserve">La seizième série de textes soumis par la Commission de rédaction en première lecture (B15) (Document 339) est </w:t>
      </w:r>
      <w:r w:rsidRPr="00844D4C">
        <w:rPr>
          <w:b/>
          <w:bCs/>
        </w:rPr>
        <w:t>approuvée</w:t>
      </w:r>
      <w:r w:rsidRPr="00844D4C">
        <w:t>.</w:t>
      </w:r>
    </w:p>
    <w:p w14:paraId="5CE65669" w14:textId="77777777" w:rsidR="00D13DF7" w:rsidRPr="00844D4C" w:rsidRDefault="00D13DF7" w:rsidP="00844D4C">
      <w:pPr>
        <w:pStyle w:val="Heading1"/>
      </w:pPr>
      <w:r w:rsidRPr="00844D4C">
        <w:t>6</w:t>
      </w:r>
      <w:r w:rsidRPr="00844D4C">
        <w:tab/>
        <w:t>Seizième série de textes soumis par la Commission de rédaction (B16) – deuxième lecture (Document 339)</w:t>
      </w:r>
    </w:p>
    <w:p w14:paraId="0B8DCF6B" w14:textId="77777777" w:rsidR="00D13DF7" w:rsidRPr="00844D4C" w:rsidRDefault="00D13DF7" w:rsidP="00844D4C">
      <w:r w:rsidRPr="00844D4C">
        <w:t>6.1</w:t>
      </w:r>
      <w:r w:rsidRPr="00844D4C">
        <w:tab/>
        <w:t xml:space="preserve">La seizième série de textes soumis par la Commission de rédaction (B16) (Document 339) est </w:t>
      </w:r>
      <w:r w:rsidRPr="00844D4C">
        <w:rPr>
          <w:b/>
          <w:bCs/>
        </w:rPr>
        <w:t>approuvée</w:t>
      </w:r>
      <w:r w:rsidRPr="00844D4C">
        <w:t xml:space="preserve"> en deuxième lecture.</w:t>
      </w:r>
    </w:p>
    <w:p w14:paraId="5A5AE41B" w14:textId="77777777" w:rsidR="00D13DF7" w:rsidRPr="00844D4C" w:rsidRDefault="00D13DF7" w:rsidP="00844D4C">
      <w:pPr>
        <w:pStyle w:val="Heading1"/>
      </w:pPr>
      <w:r w:rsidRPr="00844D4C">
        <w:t>7</w:t>
      </w:r>
      <w:r w:rsidRPr="00844D4C">
        <w:tab/>
        <w:t>Dix-septième série de textes soumis par la Commission de rédaction en première lecture (B17) (Document 340)</w:t>
      </w:r>
    </w:p>
    <w:p w14:paraId="6BEDCE67" w14:textId="77777777" w:rsidR="00D13DF7" w:rsidRPr="00844D4C" w:rsidRDefault="00D13DF7" w:rsidP="00844D4C">
      <w:r w:rsidRPr="00844D4C">
        <w:t>7.1</w:t>
      </w:r>
      <w:r w:rsidRPr="00844D4C">
        <w:tab/>
        <w:t xml:space="preserve">Le </w:t>
      </w:r>
      <w:r w:rsidRPr="00844D4C">
        <w:rPr>
          <w:b/>
          <w:bCs/>
        </w:rPr>
        <w:t>Président de la Commission de rédaction</w:t>
      </w:r>
      <w:r w:rsidRPr="00844D4C">
        <w:t xml:space="preserve"> présente le Document 340.</w:t>
      </w:r>
    </w:p>
    <w:p w14:paraId="1D142328" w14:textId="77777777" w:rsidR="00D13DF7" w:rsidRPr="00844D4C" w:rsidRDefault="00D13DF7" w:rsidP="00844D4C">
      <w:r w:rsidRPr="00844D4C">
        <w:t>7.2</w:t>
      </w:r>
      <w:r w:rsidRPr="00844D4C">
        <w:tab/>
        <w:t xml:space="preserve">Le </w:t>
      </w:r>
      <w:r w:rsidRPr="00844D4C">
        <w:rPr>
          <w:b/>
          <w:bCs/>
        </w:rPr>
        <w:t>Président</w:t>
      </w:r>
      <w:r w:rsidRPr="00844D4C">
        <w:t xml:space="preserve"> invite les participants à examiner le Document 340.</w:t>
      </w:r>
    </w:p>
    <w:p w14:paraId="28957200" w14:textId="77777777" w:rsidR="00D13DF7" w:rsidRPr="00844D4C" w:rsidRDefault="00D13DF7" w:rsidP="00844D4C">
      <w:pPr>
        <w:rPr>
          <w:b/>
          <w:bCs/>
        </w:rPr>
      </w:pPr>
      <w:r w:rsidRPr="00844D4C">
        <w:rPr>
          <w:b/>
          <w:bCs/>
        </w:rPr>
        <w:t>Article 5 (MOD Tableau 7 250-8 500 MHz, ADD 5.A7(C)3, MOD 5.461, MOD Tableau 18,4</w:t>
      </w:r>
      <w:r w:rsidRPr="00844D4C">
        <w:rPr>
          <w:b/>
          <w:bCs/>
        </w:rPr>
        <w:noBreakHyphen/>
        <w:t>22 GHz, ADD 5.B7(C)3, MOD Tableau 29,9-34,2 GHz, MOD Tableau 34,2-40 GHz, ADD 5.A91D); ADD Article 29B; ADD Résolution COM 5/1 (CMR-23) – Importance des applications du service des auxiliaires de la météorologie (météorologie spatiale)</w:t>
      </w:r>
    </w:p>
    <w:p w14:paraId="084333E2" w14:textId="77777777" w:rsidR="00D13DF7" w:rsidRPr="00844D4C" w:rsidRDefault="00D13DF7" w:rsidP="00844D4C">
      <w:r w:rsidRPr="00844D4C">
        <w:t>7.3</w:t>
      </w:r>
      <w:r w:rsidRPr="00844D4C">
        <w:tab/>
        <w:t xml:space="preserve">La </w:t>
      </w:r>
      <w:r w:rsidRPr="00844D4C">
        <w:rPr>
          <w:b/>
          <w:bCs/>
        </w:rPr>
        <w:t>déléguée de la Chine</w:t>
      </w:r>
      <w:r w:rsidRPr="00844D4C">
        <w:t xml:space="preserve"> appelle l'attention des participants sur certaines incohérences présentes dans le libellé du numéro ADD 5.A91D, et demande si les modifications connexes apportées à l'Appendice 4 sont incluses dans le Document 340.</w:t>
      </w:r>
    </w:p>
    <w:p w14:paraId="152A1C54" w14:textId="1F6FCDFC" w:rsidR="00D13DF7" w:rsidRPr="00844D4C" w:rsidRDefault="00D13DF7" w:rsidP="00844D4C">
      <w:r w:rsidRPr="00844D4C">
        <w:t>7.4</w:t>
      </w:r>
      <w:r w:rsidRPr="00844D4C">
        <w:tab/>
        <w:t xml:space="preserve">La </w:t>
      </w:r>
      <w:r w:rsidRPr="00844D4C">
        <w:rPr>
          <w:b/>
          <w:bCs/>
        </w:rPr>
        <w:t>Présidente de la Commission 5</w:t>
      </w:r>
      <w:r w:rsidRPr="00844D4C">
        <w:t xml:space="preserve"> indique que les modifications apportées à l'Appendice 4 ne sont pas incluses dans le Document 340. Étant donné</w:t>
      </w:r>
      <w:r w:rsidR="007E596B" w:rsidRPr="00844D4C">
        <w:t xml:space="preserve"> que</w:t>
      </w:r>
      <w:r w:rsidRPr="00844D4C">
        <w:t xml:space="preserve"> de nombreux points de l'ordre du jour ont des incidences sur les données de l'Appendice 4, la Commission 5 produira une compilation distincte en vue de la présenter à la plénière.</w:t>
      </w:r>
    </w:p>
    <w:p w14:paraId="0B8D70FA" w14:textId="77777777" w:rsidR="00D13DF7" w:rsidRPr="00844D4C" w:rsidRDefault="00D13DF7" w:rsidP="00844D4C">
      <w:r w:rsidRPr="00844D4C">
        <w:t>7.5</w:t>
      </w:r>
      <w:r w:rsidRPr="00844D4C">
        <w:tab/>
        <w:t xml:space="preserve">À la suite d'une discussion entre les </w:t>
      </w:r>
      <w:r w:rsidRPr="00844D4C">
        <w:rPr>
          <w:b/>
          <w:bCs/>
        </w:rPr>
        <w:t>délégués de la République de Corée</w:t>
      </w:r>
      <w:r w:rsidRPr="00844D4C">
        <w:t xml:space="preserve">, </w:t>
      </w:r>
      <w:r w:rsidRPr="00844D4C">
        <w:rPr>
          <w:b/>
          <w:bCs/>
        </w:rPr>
        <w:t>de la Fédération de Russie</w:t>
      </w:r>
      <w:r w:rsidRPr="00844D4C">
        <w:t xml:space="preserve"> et </w:t>
      </w:r>
      <w:r w:rsidRPr="00844D4C">
        <w:rPr>
          <w:b/>
          <w:bCs/>
        </w:rPr>
        <w:t>de la Chine</w:t>
      </w:r>
      <w:r w:rsidRPr="00844D4C">
        <w:t xml:space="preserve">, le </w:t>
      </w:r>
      <w:r w:rsidRPr="00844D4C">
        <w:rPr>
          <w:b/>
          <w:bCs/>
        </w:rPr>
        <w:t>Président</w:t>
      </w:r>
      <w:r w:rsidRPr="00844D4C">
        <w:t xml:space="preserve"> invite la plénière à poursuivre l'approbation du Document 340, à l'exception du numéro ADD 5.A91D, qui sera renvoyé à la Commission de rédaction en vue d'être examiné plus avant, puis sera de nouveau soumis à une séance plénière ultérieure.</w:t>
      </w:r>
    </w:p>
    <w:p w14:paraId="4C33CB9C" w14:textId="77777777" w:rsidR="00D13DF7" w:rsidRPr="00844D4C" w:rsidRDefault="00D13DF7" w:rsidP="00844D4C">
      <w:r w:rsidRPr="00844D4C">
        <w:t>7.6</w:t>
      </w:r>
      <w:r w:rsidRPr="00844D4C">
        <w:tab/>
        <w:t xml:space="preserve">Il en est ainsi </w:t>
      </w:r>
      <w:r w:rsidRPr="00844D4C">
        <w:rPr>
          <w:b/>
          <w:bCs/>
        </w:rPr>
        <w:t>décidé</w:t>
      </w:r>
      <w:r w:rsidRPr="00844D4C">
        <w:t>.</w:t>
      </w:r>
    </w:p>
    <w:p w14:paraId="7A1700A0" w14:textId="77777777" w:rsidR="00D13DF7" w:rsidRPr="00844D4C" w:rsidRDefault="00D13DF7" w:rsidP="00844D4C">
      <w:r w:rsidRPr="00844D4C">
        <w:t>7.7</w:t>
      </w:r>
      <w:r w:rsidRPr="00844D4C">
        <w:tab/>
        <w:t xml:space="preserve">À l'exception du numéro ADD 5.A91D, la dix-septième série de textes soumis par la Commission de rédaction en première lecture (B17) (Document 340) est </w:t>
      </w:r>
      <w:r w:rsidRPr="00844D4C">
        <w:rPr>
          <w:b/>
          <w:bCs/>
        </w:rPr>
        <w:t>approuvée</w:t>
      </w:r>
      <w:r w:rsidRPr="00844D4C">
        <w:t>.</w:t>
      </w:r>
    </w:p>
    <w:p w14:paraId="5A91DDF8" w14:textId="77777777" w:rsidR="00D13DF7" w:rsidRPr="00844D4C" w:rsidRDefault="00D13DF7" w:rsidP="00844D4C">
      <w:pPr>
        <w:pStyle w:val="Heading1"/>
      </w:pPr>
      <w:r w:rsidRPr="00844D4C">
        <w:lastRenderedPageBreak/>
        <w:t>8</w:t>
      </w:r>
      <w:r w:rsidRPr="00844D4C">
        <w:tab/>
        <w:t>Dix-septième série de textes soumis par la Commission de rédaction (B17) – deuxième lecture (Document 340)</w:t>
      </w:r>
    </w:p>
    <w:p w14:paraId="28FD5879" w14:textId="77777777" w:rsidR="00D13DF7" w:rsidRPr="00844D4C" w:rsidRDefault="00D13DF7" w:rsidP="00844D4C">
      <w:r w:rsidRPr="00844D4C">
        <w:t>8.1</w:t>
      </w:r>
      <w:r w:rsidRPr="00844D4C">
        <w:rPr>
          <w:b/>
          <w:bCs/>
        </w:rPr>
        <w:tab/>
      </w:r>
      <w:r w:rsidRPr="00844D4C">
        <w:t xml:space="preserve">À l'exception de l'ADD 5.A91D, la dix-septième série de textes soumis par la Commission de rédaction (B17) (Document 340) est </w:t>
      </w:r>
      <w:r w:rsidRPr="00844D4C">
        <w:rPr>
          <w:b/>
          <w:bCs/>
        </w:rPr>
        <w:t>approuvée</w:t>
      </w:r>
      <w:r w:rsidRPr="00844D4C">
        <w:t xml:space="preserve"> en deuxième lecture.</w:t>
      </w:r>
    </w:p>
    <w:p w14:paraId="1A37EA95" w14:textId="77777777" w:rsidR="00D13DF7" w:rsidRPr="00844D4C" w:rsidRDefault="00D13DF7" w:rsidP="00844D4C">
      <w:pPr>
        <w:pStyle w:val="Heading1"/>
      </w:pPr>
      <w:r w:rsidRPr="00844D4C">
        <w:t>9</w:t>
      </w:r>
      <w:r w:rsidRPr="00844D4C">
        <w:tab/>
        <w:t>Dix-huitième série de textes soumis par la Commission de rédaction en première lecture (B18) (Document 341)</w:t>
      </w:r>
    </w:p>
    <w:p w14:paraId="6E2F1AB0" w14:textId="77777777" w:rsidR="00D13DF7" w:rsidRPr="00844D4C" w:rsidRDefault="00D13DF7" w:rsidP="00844D4C">
      <w:r w:rsidRPr="00844D4C">
        <w:t>9.1</w:t>
      </w:r>
      <w:r w:rsidRPr="00844D4C">
        <w:tab/>
        <w:t xml:space="preserve">Le </w:t>
      </w:r>
      <w:r w:rsidRPr="00844D4C">
        <w:rPr>
          <w:b/>
          <w:bCs/>
        </w:rPr>
        <w:t>Président de la Commission de rédaction</w:t>
      </w:r>
      <w:r w:rsidRPr="00844D4C">
        <w:t xml:space="preserve"> présente le Document 341.</w:t>
      </w:r>
    </w:p>
    <w:p w14:paraId="201FB37F" w14:textId="77777777" w:rsidR="00D13DF7" w:rsidRPr="00844D4C" w:rsidRDefault="00D13DF7" w:rsidP="00844D4C">
      <w:r w:rsidRPr="00844D4C">
        <w:t>9.2</w:t>
      </w:r>
      <w:r w:rsidRPr="00844D4C">
        <w:tab/>
        <w:t xml:space="preserve">Le </w:t>
      </w:r>
      <w:r w:rsidRPr="00844D4C">
        <w:rPr>
          <w:b/>
        </w:rPr>
        <w:t>Président</w:t>
      </w:r>
      <w:r w:rsidRPr="00844D4C">
        <w:t xml:space="preserve"> invite les participants à examiner le Document 341.</w:t>
      </w:r>
    </w:p>
    <w:p w14:paraId="7B35D5CA" w14:textId="77777777" w:rsidR="00D13DF7" w:rsidRPr="00844D4C" w:rsidRDefault="00D13DF7" w:rsidP="00844D4C">
      <w:pPr>
        <w:rPr>
          <w:b/>
          <w:bCs/>
        </w:rPr>
      </w:pPr>
      <w:r w:rsidRPr="00844D4C">
        <w:rPr>
          <w:b/>
          <w:bCs/>
        </w:rPr>
        <w:t>SUP Résolution 177 (CMR-19)</w:t>
      </w:r>
    </w:p>
    <w:p w14:paraId="5B57B199" w14:textId="77777777" w:rsidR="00D13DF7" w:rsidRPr="00844D4C" w:rsidRDefault="00D13DF7" w:rsidP="00844D4C">
      <w:pPr>
        <w:rPr>
          <w:b/>
          <w:bCs/>
        </w:rPr>
      </w:pPr>
      <w:r w:rsidRPr="00844D4C">
        <w:t>9.3</w:t>
      </w:r>
      <w:r w:rsidRPr="00844D4C">
        <w:rPr>
          <w:b/>
          <w:bCs/>
        </w:rPr>
        <w:tab/>
        <w:t>Approuvée</w:t>
      </w:r>
      <w:r w:rsidRPr="00844D4C">
        <w:t>.</w:t>
      </w:r>
    </w:p>
    <w:p w14:paraId="4E45274D" w14:textId="77777777" w:rsidR="00D13DF7" w:rsidRPr="00844D4C" w:rsidRDefault="00D13DF7" w:rsidP="00844D4C">
      <w:r w:rsidRPr="00844D4C">
        <w:t>9.4</w:t>
      </w:r>
      <w:r w:rsidRPr="00844D4C">
        <w:tab/>
        <w:t xml:space="preserve">La dix-huitième série de textes soumis par la Commission de rédaction en première lecture (B18) (Document 341) est </w:t>
      </w:r>
      <w:r w:rsidRPr="00844D4C">
        <w:rPr>
          <w:b/>
          <w:bCs/>
        </w:rPr>
        <w:t>approuvée</w:t>
      </w:r>
      <w:r w:rsidRPr="00844D4C">
        <w:t>.</w:t>
      </w:r>
    </w:p>
    <w:p w14:paraId="4E01A451" w14:textId="77777777" w:rsidR="00D13DF7" w:rsidRPr="00844D4C" w:rsidRDefault="00D13DF7" w:rsidP="00844D4C">
      <w:pPr>
        <w:pStyle w:val="Heading1"/>
      </w:pPr>
      <w:r w:rsidRPr="00844D4C">
        <w:t>10</w:t>
      </w:r>
      <w:r w:rsidRPr="00844D4C">
        <w:tab/>
        <w:t>Dix-huitième série de textes soumis par la Commission de rédaction (B18) – deuxième lecture (Document 341)</w:t>
      </w:r>
    </w:p>
    <w:p w14:paraId="30098E1E" w14:textId="77777777" w:rsidR="00D13DF7" w:rsidRPr="00844D4C" w:rsidRDefault="00D13DF7" w:rsidP="00844D4C">
      <w:r w:rsidRPr="00844D4C">
        <w:t>10.1</w:t>
      </w:r>
      <w:r w:rsidRPr="00844D4C">
        <w:rPr>
          <w:b/>
          <w:bCs/>
        </w:rPr>
        <w:tab/>
      </w:r>
      <w:r w:rsidRPr="00844D4C">
        <w:t xml:space="preserve">La dix-huitième série de textes soumis par la Commission de rédaction (B18) (Document 341) est </w:t>
      </w:r>
      <w:r w:rsidRPr="00844D4C">
        <w:rPr>
          <w:b/>
          <w:bCs/>
        </w:rPr>
        <w:t xml:space="preserve">approuvée </w:t>
      </w:r>
      <w:r w:rsidRPr="00844D4C">
        <w:rPr>
          <w:bCs/>
        </w:rPr>
        <w:t>en deuxième lecture</w:t>
      </w:r>
      <w:r w:rsidRPr="00844D4C">
        <w:t>.</w:t>
      </w:r>
    </w:p>
    <w:p w14:paraId="799DF4CE" w14:textId="77777777" w:rsidR="00D13DF7" w:rsidRPr="00844D4C" w:rsidRDefault="00D13DF7" w:rsidP="00844D4C">
      <w:pPr>
        <w:pStyle w:val="Heading1"/>
      </w:pPr>
      <w:r w:rsidRPr="00844D4C">
        <w:t>11</w:t>
      </w:r>
      <w:r w:rsidRPr="00844D4C">
        <w:tab/>
        <w:t>Dix-neuvième série de textes soumis par la Commission de rédaction en première lecture (B19) (Document 342)</w:t>
      </w:r>
    </w:p>
    <w:p w14:paraId="3BC56FDB" w14:textId="77777777" w:rsidR="00D13DF7" w:rsidRPr="00844D4C" w:rsidRDefault="00D13DF7" w:rsidP="00844D4C">
      <w:pPr>
        <w:rPr>
          <w:b/>
        </w:rPr>
      </w:pPr>
      <w:r w:rsidRPr="00844D4C">
        <w:t>11.1</w:t>
      </w:r>
      <w:r w:rsidRPr="00844D4C">
        <w:tab/>
        <w:t xml:space="preserve">Le </w:t>
      </w:r>
      <w:r w:rsidRPr="00844D4C">
        <w:rPr>
          <w:b/>
        </w:rPr>
        <w:t>Président de la Commission de rédaction</w:t>
      </w:r>
      <w:r w:rsidRPr="00844D4C">
        <w:t xml:space="preserve"> présente le Document 342. Il explique que des crochets ont été ajoutés dans le document autour de certaines des dates, à des fins purement rédactionnelles, dans les parties du texte où il est fait mention d'autres résolutions pour lesquelles les travaux ne sont pas encore achevés. Une fois les Actes finals compilés, les références correctes seront maintenues.</w:t>
      </w:r>
    </w:p>
    <w:p w14:paraId="2061097D" w14:textId="77777777" w:rsidR="00D13DF7" w:rsidRPr="00844D4C" w:rsidRDefault="00D13DF7" w:rsidP="00844D4C">
      <w:r w:rsidRPr="00844D4C">
        <w:t>11.2</w:t>
      </w:r>
      <w:r w:rsidRPr="00844D4C">
        <w:tab/>
        <w:t xml:space="preserve">Le </w:t>
      </w:r>
      <w:r w:rsidRPr="00844D4C">
        <w:rPr>
          <w:b/>
        </w:rPr>
        <w:t>Président</w:t>
      </w:r>
      <w:r w:rsidRPr="00844D4C">
        <w:t xml:space="preserve"> invite les participants à examiner le Document 342.</w:t>
      </w:r>
    </w:p>
    <w:p w14:paraId="45B5CD96" w14:textId="77777777" w:rsidR="00D13DF7" w:rsidRPr="00844D4C" w:rsidRDefault="00D13DF7" w:rsidP="00844D4C">
      <w:pPr>
        <w:rPr>
          <w:b/>
          <w:bCs/>
        </w:rPr>
      </w:pPr>
      <w:r w:rsidRPr="00844D4C">
        <w:rPr>
          <w:b/>
          <w:bCs/>
        </w:rPr>
        <w:t>Article 5 (MOD 5.197A, MOD 5.312A, MOD 5.351A, MOD 5.353A, MOD 5.357A, MOD 5.379D, MOD 5.389A, MOD 5.389C, MOD 5.436, MOD 5.446A, MOD 5.447, MOD 5.447F, MOD 5.450A, MOD 5.457A, MOD 5.457B, MOD 5.506A, MOD 5.506B, MOD 5.517A, MOD 5.530E, MOD 5.532AA, MOD 5.532AB, MOD 5.534A, MOD 5.536A, MOD 5.543B, MOD 5.550B, MOD 5.550D, MOD 5.553B, MOD 5.559AA); Article 48 (MOD 48.7); Appendice 4 (MOD Tableau 2, MOD Annexe 2 Tableau A); MOD Résolution 22 (CMR-19); MOD Résolution 85 (CMR-03); MOD Résolution 165 (CMR-19); MOD Résolution 166 (CMR-19); MOD Résolution 167 (CMR-19); MOD Résolution 168 (CMR-19); MOD Résolution 169 (CMR-19); MOD Résolution 212 (Rév.CMR-19); MOD Résolution 217 (CMR-97); MOD Résolution 222 (Rév.CMR-12); MOD Résolution 225 (Rév.CMR-12); MOD Résolution 229 (Rév.CMR-19); MOD Résolution 241 (CMR-19); MOD Résolution 242 (CMR</w:t>
      </w:r>
      <w:r w:rsidRPr="00844D4C">
        <w:rPr>
          <w:b/>
          <w:bCs/>
        </w:rPr>
        <w:noBreakHyphen/>
        <w:t>19); MOD Résolution 243 (CMR-19); MOD Résolution 244 (CMR-19); MOD Résolution 413 (Rév.CMR</w:t>
      </w:r>
      <w:r w:rsidRPr="00844D4C">
        <w:rPr>
          <w:b/>
          <w:bCs/>
        </w:rPr>
        <w:noBreakHyphen/>
        <w:t>12); MOD Résolution 424 (CMR-15); MOD Résolution 716 (Rev.CMR-12); MOD Résolution 744 (Rév.CMR-07); MOD Résolution 749 (Rév.CMR-19); MOD Résolution 902 (Rév.CMR-03); MOD Recommandation 37 (Rév.CMR-03)</w:t>
      </w:r>
    </w:p>
    <w:p w14:paraId="6A9CD0C7" w14:textId="77777777" w:rsidR="00D13DF7" w:rsidRPr="00844D4C" w:rsidRDefault="00D13DF7" w:rsidP="00844D4C">
      <w:pPr>
        <w:rPr>
          <w:b/>
          <w:bCs/>
        </w:rPr>
      </w:pPr>
      <w:r w:rsidRPr="00844D4C">
        <w:t>11.3</w:t>
      </w:r>
      <w:r w:rsidRPr="00844D4C">
        <w:rPr>
          <w:b/>
          <w:bCs/>
        </w:rPr>
        <w:tab/>
        <w:t>Approuvés</w:t>
      </w:r>
      <w:r w:rsidRPr="00844D4C">
        <w:t>.</w:t>
      </w:r>
    </w:p>
    <w:p w14:paraId="1D02419B" w14:textId="77777777" w:rsidR="00D13DF7" w:rsidRPr="00844D4C" w:rsidRDefault="00D13DF7" w:rsidP="00844D4C">
      <w:r w:rsidRPr="00844D4C">
        <w:lastRenderedPageBreak/>
        <w:t>11.4</w:t>
      </w:r>
      <w:r w:rsidRPr="00844D4C">
        <w:tab/>
        <w:t xml:space="preserve">La dix-neuvième série de textes soumis par la Commission de rédaction en première lecture (B19) (Document 342) est </w:t>
      </w:r>
      <w:r w:rsidRPr="00844D4C">
        <w:rPr>
          <w:b/>
          <w:bCs/>
        </w:rPr>
        <w:t>approuvée</w:t>
      </w:r>
      <w:r w:rsidRPr="00844D4C">
        <w:t>.</w:t>
      </w:r>
    </w:p>
    <w:p w14:paraId="7A9B8C94" w14:textId="77777777" w:rsidR="00D13DF7" w:rsidRPr="00844D4C" w:rsidRDefault="00D13DF7" w:rsidP="00844D4C">
      <w:pPr>
        <w:pStyle w:val="Heading1"/>
      </w:pPr>
      <w:r w:rsidRPr="00844D4C">
        <w:t>12</w:t>
      </w:r>
      <w:r w:rsidRPr="00844D4C">
        <w:tab/>
        <w:t>Dix-neuvième série de textes soumis par la Commission de rédaction (B19) – deuxième lecture (Document 342)</w:t>
      </w:r>
    </w:p>
    <w:p w14:paraId="3C6D0F97" w14:textId="77777777" w:rsidR="00D13DF7" w:rsidRPr="00844D4C" w:rsidRDefault="00D13DF7" w:rsidP="00844D4C">
      <w:r w:rsidRPr="00844D4C">
        <w:t>12.1</w:t>
      </w:r>
      <w:r w:rsidRPr="00844D4C">
        <w:rPr>
          <w:b/>
          <w:bCs/>
        </w:rPr>
        <w:tab/>
      </w:r>
      <w:r w:rsidRPr="00844D4C">
        <w:t xml:space="preserve">La dix-neuvième série de textes soumis par la Commission de rédaction (B19) (Document 342) est </w:t>
      </w:r>
      <w:r w:rsidRPr="00844D4C">
        <w:rPr>
          <w:b/>
          <w:bCs/>
        </w:rPr>
        <w:t xml:space="preserve">approuvée </w:t>
      </w:r>
      <w:r w:rsidRPr="00844D4C">
        <w:rPr>
          <w:bCs/>
        </w:rPr>
        <w:t>en deuxième lecture</w:t>
      </w:r>
      <w:r w:rsidRPr="00844D4C">
        <w:t>.</w:t>
      </w:r>
    </w:p>
    <w:p w14:paraId="3EFBD737" w14:textId="77777777" w:rsidR="00D13DF7" w:rsidRPr="00844D4C" w:rsidRDefault="00D13DF7" w:rsidP="00844D4C">
      <w:pPr>
        <w:pStyle w:val="Heading1"/>
      </w:pPr>
      <w:r w:rsidRPr="00844D4C">
        <w:t>13</w:t>
      </w:r>
      <w:r w:rsidRPr="00844D4C">
        <w:tab/>
        <w:t>Vingtième série de textes soumis par la Commission de rédaction en première lecture (B20) (Document 346)</w:t>
      </w:r>
    </w:p>
    <w:p w14:paraId="5E7C3E22" w14:textId="77777777" w:rsidR="00D13DF7" w:rsidRPr="00844D4C" w:rsidRDefault="00D13DF7" w:rsidP="00844D4C">
      <w:r w:rsidRPr="00844D4C">
        <w:t>13.1</w:t>
      </w:r>
      <w:r w:rsidRPr="00844D4C">
        <w:tab/>
        <w:t xml:space="preserve">Le </w:t>
      </w:r>
      <w:r w:rsidRPr="00844D4C">
        <w:rPr>
          <w:b/>
          <w:bCs/>
        </w:rPr>
        <w:t>Président de la Commission de rédaction</w:t>
      </w:r>
      <w:r w:rsidRPr="00844D4C">
        <w:t xml:space="preserve"> présente le Document 346.</w:t>
      </w:r>
    </w:p>
    <w:p w14:paraId="5F68806E" w14:textId="77777777" w:rsidR="00D13DF7" w:rsidRPr="00844D4C" w:rsidRDefault="00D13DF7" w:rsidP="00844D4C">
      <w:r w:rsidRPr="00844D4C">
        <w:t>13.2</w:t>
      </w:r>
      <w:r w:rsidRPr="00844D4C">
        <w:tab/>
        <w:t xml:space="preserve">Le </w:t>
      </w:r>
      <w:r w:rsidRPr="00844D4C">
        <w:rPr>
          <w:b/>
          <w:bCs/>
        </w:rPr>
        <w:t>Président</w:t>
      </w:r>
      <w:r w:rsidRPr="00844D4C">
        <w:t xml:space="preserve"> invite les participants à examiner le Document 346.</w:t>
      </w:r>
    </w:p>
    <w:p w14:paraId="4713F33F" w14:textId="77777777" w:rsidR="00D13DF7" w:rsidRPr="00844D4C" w:rsidRDefault="00D13DF7" w:rsidP="00844D4C">
      <w:pPr>
        <w:rPr>
          <w:b/>
        </w:rPr>
      </w:pPr>
      <w:r w:rsidRPr="00844D4C">
        <w:rPr>
          <w:b/>
        </w:rPr>
        <w:t>Article 5 (MOD 5.98, MOD 5.175, MOD 5.177, MOD 5.221, MOD 5.291A, MOD 5.322, MOD 5.325A, MOD 5.330, MOD 5.331, MOD 5.349, MOD 5.453, MOD 5.494, MOD 5.524, MOD 5.536B, MOD 5.542, MOD 5.546, MOD 5.553A); MOD Résolution 26 (Rév.CMR-19)</w:t>
      </w:r>
    </w:p>
    <w:p w14:paraId="63679851" w14:textId="77777777" w:rsidR="00D13DF7" w:rsidRPr="00844D4C" w:rsidRDefault="00D13DF7" w:rsidP="00844D4C">
      <w:pPr>
        <w:rPr>
          <w:bCs/>
        </w:rPr>
      </w:pPr>
      <w:r w:rsidRPr="00844D4C">
        <w:t>13.3</w:t>
      </w:r>
      <w:r w:rsidRPr="00844D4C">
        <w:tab/>
      </w:r>
      <w:r w:rsidRPr="00844D4C">
        <w:rPr>
          <w:b/>
        </w:rPr>
        <w:t>Approuvés</w:t>
      </w:r>
      <w:r w:rsidRPr="00844D4C">
        <w:t>.</w:t>
      </w:r>
    </w:p>
    <w:p w14:paraId="184B52DD" w14:textId="77777777" w:rsidR="00D13DF7" w:rsidRPr="00844D4C" w:rsidRDefault="00D13DF7" w:rsidP="00844D4C">
      <w:r w:rsidRPr="00844D4C">
        <w:t>13.4</w:t>
      </w:r>
      <w:r w:rsidRPr="00844D4C">
        <w:rPr>
          <w:bCs/>
        </w:rPr>
        <w:tab/>
      </w:r>
      <w:r w:rsidRPr="00844D4C">
        <w:t xml:space="preserve">La vingtième série de textes soumis par la Commission de rédaction en première lecture (B20) (Document 346) est </w:t>
      </w:r>
      <w:r w:rsidRPr="00844D4C">
        <w:rPr>
          <w:b/>
        </w:rPr>
        <w:t>approuvée</w:t>
      </w:r>
      <w:r w:rsidRPr="00844D4C">
        <w:t>.</w:t>
      </w:r>
    </w:p>
    <w:p w14:paraId="1CB6B04B" w14:textId="77777777" w:rsidR="00D13DF7" w:rsidRPr="00844D4C" w:rsidRDefault="00D13DF7" w:rsidP="00844D4C">
      <w:pPr>
        <w:pStyle w:val="Heading1"/>
      </w:pPr>
      <w:r w:rsidRPr="00844D4C">
        <w:t>14</w:t>
      </w:r>
      <w:r w:rsidRPr="00844D4C">
        <w:tab/>
        <w:t>Vingtième série de textes soumis par la Commission de rédaction (B20) – deuxième lecture (Document 346)</w:t>
      </w:r>
    </w:p>
    <w:p w14:paraId="2795F614" w14:textId="77777777" w:rsidR="00D13DF7" w:rsidRPr="00844D4C" w:rsidRDefault="00D13DF7" w:rsidP="00844D4C">
      <w:r w:rsidRPr="00844D4C">
        <w:t>14.1</w:t>
      </w:r>
      <w:r w:rsidRPr="00844D4C">
        <w:rPr>
          <w:b/>
          <w:bCs/>
        </w:rPr>
        <w:tab/>
      </w:r>
      <w:r w:rsidRPr="00844D4C">
        <w:t xml:space="preserve">La vingtième série de textes soumis par la Commission de rédaction (B20) (Document 346) est </w:t>
      </w:r>
      <w:r w:rsidRPr="00844D4C">
        <w:rPr>
          <w:b/>
          <w:bCs/>
        </w:rPr>
        <w:t xml:space="preserve">approuvée </w:t>
      </w:r>
      <w:r w:rsidRPr="00844D4C">
        <w:rPr>
          <w:bCs/>
        </w:rPr>
        <w:t>en deuxième lecture</w:t>
      </w:r>
      <w:r w:rsidRPr="00844D4C">
        <w:t>.</w:t>
      </w:r>
    </w:p>
    <w:p w14:paraId="3F0E2605" w14:textId="77777777" w:rsidR="00D13DF7" w:rsidRPr="00844D4C" w:rsidRDefault="00D13DF7" w:rsidP="00844D4C">
      <w:pPr>
        <w:rPr>
          <w:b/>
          <w:bCs/>
        </w:rPr>
      </w:pPr>
      <w:r w:rsidRPr="00844D4C">
        <w:rPr>
          <w:b/>
          <w:bCs/>
        </w:rPr>
        <w:t>La séance est levée à 11 heures 35.</w:t>
      </w:r>
    </w:p>
    <w:p w14:paraId="41134503" w14:textId="356A7CBE" w:rsidR="00D13DF7" w:rsidRPr="00844D4C" w:rsidRDefault="00D13DF7" w:rsidP="00844D4C">
      <w:pPr>
        <w:tabs>
          <w:tab w:val="clear" w:pos="1134"/>
          <w:tab w:val="clear" w:pos="1871"/>
          <w:tab w:val="clear" w:pos="2268"/>
          <w:tab w:val="left" w:pos="7088"/>
        </w:tabs>
        <w:spacing w:before="840" w:after="120"/>
      </w:pPr>
      <w:r w:rsidRPr="00844D4C">
        <w:t>La Secrétaire générale:</w:t>
      </w:r>
      <w:r w:rsidRPr="00844D4C">
        <w:tab/>
        <w:t>Le Président:</w:t>
      </w:r>
      <w:r w:rsidR="00844D4C" w:rsidRPr="00844D4C">
        <w:br/>
      </w:r>
      <w:r w:rsidRPr="00844D4C">
        <w:t>D. BOGDAN-MARTIN</w:t>
      </w:r>
      <w:r w:rsidRPr="00844D4C">
        <w:tab/>
        <w:t>M. AL RAMSI</w:t>
      </w:r>
    </w:p>
    <w:sectPr w:rsidR="00D13DF7" w:rsidRPr="00844D4C">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70A8" w14:textId="77777777" w:rsidR="00EC2969" w:rsidRDefault="00EC2969">
      <w:r>
        <w:separator/>
      </w:r>
    </w:p>
  </w:endnote>
  <w:endnote w:type="continuationSeparator" w:id="0">
    <w:p w14:paraId="44036B3D" w14:textId="77777777" w:rsidR="00EC2969" w:rsidRDefault="00EC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3810" w14:textId="1ECA6D7E" w:rsidR="00936D25" w:rsidRDefault="00936D25">
    <w:pPr>
      <w:rPr>
        <w:lang w:val="en-US"/>
      </w:rPr>
    </w:pPr>
    <w:r>
      <w:fldChar w:fldCharType="begin"/>
    </w:r>
    <w:r>
      <w:rPr>
        <w:lang w:val="en-US"/>
      </w:rPr>
      <w:instrText xml:space="preserve"> FILENAME \p  \* MERGEFORMAT </w:instrText>
    </w:r>
    <w:r>
      <w:fldChar w:fldCharType="separate"/>
    </w:r>
    <w:r w:rsidR="004D63A4">
      <w:rPr>
        <w:noProof/>
        <w:lang w:val="en-US"/>
      </w:rPr>
      <w:t>Document3</w:t>
    </w:r>
    <w:r>
      <w:fldChar w:fldCharType="end"/>
    </w:r>
    <w:r>
      <w:rPr>
        <w:lang w:val="en-US"/>
      </w:rPr>
      <w:tab/>
    </w:r>
    <w:r>
      <w:fldChar w:fldCharType="begin"/>
    </w:r>
    <w:r>
      <w:instrText xml:space="preserve"> SAVEDATE \@ DD.MM.YY </w:instrText>
    </w:r>
    <w:r>
      <w:fldChar w:fldCharType="separate"/>
    </w:r>
    <w:r w:rsidR="00844D4C">
      <w:rPr>
        <w:noProof/>
      </w:rPr>
      <w:t>12.12.23</w:t>
    </w:r>
    <w:r>
      <w:fldChar w:fldCharType="end"/>
    </w:r>
    <w:r>
      <w:rPr>
        <w:lang w:val="en-US"/>
      </w:rPr>
      <w:tab/>
    </w:r>
    <w:r>
      <w:fldChar w:fldCharType="begin"/>
    </w:r>
    <w:r>
      <w:instrText xml:space="preserve"> PRINTDATE \@ DD.MM.YY </w:instrText>
    </w:r>
    <w:r>
      <w:fldChar w:fldCharType="separate"/>
    </w:r>
    <w:r w:rsidR="004D63A4">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36D9" w14:textId="14C3BC84" w:rsidR="00936D25" w:rsidRPr="00BD7EE6" w:rsidRDefault="00936D25" w:rsidP="003E5E3D">
    <w:pPr>
      <w:pStyle w:val="Footer"/>
      <w:rPr>
        <w:lang w:val="it-IT"/>
      </w:rPr>
    </w:pPr>
    <w:r>
      <w:fldChar w:fldCharType="begin"/>
    </w:r>
    <w:r w:rsidRPr="00BD7EE6">
      <w:rPr>
        <w:lang w:val="it-IT"/>
      </w:rPr>
      <w:instrText xml:space="preserve"> FILENAME \p  \* MERGEFORMAT </w:instrText>
    </w:r>
    <w:r>
      <w:fldChar w:fldCharType="separate"/>
    </w:r>
    <w:r w:rsidR="00173BE9">
      <w:rPr>
        <w:lang w:val="it-IT"/>
      </w:rPr>
      <w:t>P:\FRA\ITU-R\CONF-R\CMR23\400\451F.docx</w:t>
    </w:r>
    <w:r>
      <w:fldChar w:fldCharType="end"/>
    </w:r>
    <w:r w:rsidR="00E512CA" w:rsidRPr="00BD7EE6">
      <w:rPr>
        <w:lang w:val="it-IT"/>
      </w:rPr>
      <w:t xml:space="preserve"> (</w:t>
    </w:r>
    <w:r w:rsidR="00173BE9" w:rsidRPr="00173BE9">
      <w:rPr>
        <w:lang w:val="it-IT"/>
      </w:rPr>
      <w:t>532748</w:t>
    </w:r>
    <w:r w:rsidR="00E512CA" w:rsidRPr="00BD7EE6">
      <w:rPr>
        <w:lang w:val="it-I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2004" w14:textId="5CDC33B0" w:rsidR="00936D25" w:rsidRPr="00BD7EE6" w:rsidRDefault="00E512CA" w:rsidP="00E512CA">
    <w:pPr>
      <w:pStyle w:val="Footer"/>
      <w:rPr>
        <w:lang w:val="it-IT"/>
      </w:rPr>
    </w:pPr>
    <w:r>
      <w:fldChar w:fldCharType="begin"/>
    </w:r>
    <w:r w:rsidRPr="00BD7EE6">
      <w:rPr>
        <w:lang w:val="it-IT"/>
      </w:rPr>
      <w:instrText xml:space="preserve"> FILENAME \p  \* MERGEFORMAT </w:instrText>
    </w:r>
    <w:r>
      <w:fldChar w:fldCharType="separate"/>
    </w:r>
    <w:r w:rsidR="00173BE9">
      <w:rPr>
        <w:lang w:val="it-IT"/>
      </w:rPr>
      <w:t>P:\FRA\ITU-R\CONF-R\CMR23\400\451F.docx</w:t>
    </w:r>
    <w:r>
      <w:fldChar w:fldCharType="end"/>
    </w:r>
    <w:r w:rsidRPr="00BD7EE6">
      <w:rPr>
        <w:lang w:val="it-IT"/>
      </w:rPr>
      <w:t xml:space="preserve"> (</w:t>
    </w:r>
    <w:r w:rsidR="00173BE9" w:rsidRPr="00173BE9">
      <w:rPr>
        <w:lang w:val="it-IT"/>
      </w:rPr>
      <w:t>532748</w:t>
    </w:r>
    <w:r w:rsidRPr="00BD7EE6">
      <w:rPr>
        <w:lang w:val="it-I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E36E" w14:textId="77777777" w:rsidR="00EC2969" w:rsidRDefault="00EC2969">
      <w:r>
        <w:rPr>
          <w:b/>
        </w:rPr>
        <w:t>_______________</w:t>
      </w:r>
    </w:p>
  </w:footnote>
  <w:footnote w:type="continuationSeparator" w:id="0">
    <w:p w14:paraId="39C3F500" w14:textId="77777777" w:rsidR="00EC2969" w:rsidRDefault="00EC2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9B1C" w14:textId="77777777" w:rsidR="004F1F8E" w:rsidRDefault="004F1F8E" w:rsidP="004F1F8E">
    <w:pPr>
      <w:pStyle w:val="Header"/>
    </w:pPr>
    <w:r>
      <w:fldChar w:fldCharType="begin"/>
    </w:r>
    <w:r>
      <w:instrText xml:space="preserve"> PAGE </w:instrText>
    </w:r>
    <w:r>
      <w:fldChar w:fldCharType="separate"/>
    </w:r>
    <w:r w:rsidR="003E5E3D">
      <w:rPr>
        <w:noProof/>
      </w:rPr>
      <w:t>2</w:t>
    </w:r>
    <w:r>
      <w:fldChar w:fldCharType="end"/>
    </w:r>
  </w:p>
  <w:p w14:paraId="13435D30" w14:textId="0BE7E815" w:rsidR="004F1F8E" w:rsidRDefault="00F372DE" w:rsidP="00587A4E">
    <w:pPr>
      <w:pStyle w:val="Header"/>
    </w:pPr>
    <w:r>
      <w:t>WRC</w:t>
    </w:r>
    <w:r w:rsidR="00CD3928">
      <w:t>23</w:t>
    </w:r>
    <w:r w:rsidR="004F1F8E">
      <w:t>/</w:t>
    </w:r>
    <w:r w:rsidR="00E512CA">
      <w:t>451</w:t>
    </w:r>
    <w:r w:rsidR="004F1F8E">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426220872">
    <w:abstractNumId w:val="0"/>
  </w:num>
  <w:num w:numId="2" w16cid:durableId="106630243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A4"/>
    <w:rsid w:val="00016648"/>
    <w:rsid w:val="0003522F"/>
    <w:rsid w:val="000514F1"/>
    <w:rsid w:val="00080E2C"/>
    <w:rsid w:val="000A4755"/>
    <w:rsid w:val="000B2E0C"/>
    <w:rsid w:val="000B3D0C"/>
    <w:rsid w:val="001167B9"/>
    <w:rsid w:val="001267A0"/>
    <w:rsid w:val="00134655"/>
    <w:rsid w:val="00160C64"/>
    <w:rsid w:val="00173BE9"/>
    <w:rsid w:val="0019352B"/>
    <w:rsid w:val="001960D0"/>
    <w:rsid w:val="00197064"/>
    <w:rsid w:val="00232FD2"/>
    <w:rsid w:val="002A4622"/>
    <w:rsid w:val="002B17E5"/>
    <w:rsid w:val="002C0EBF"/>
    <w:rsid w:val="002C5FCD"/>
    <w:rsid w:val="00315AFE"/>
    <w:rsid w:val="003606A6"/>
    <w:rsid w:val="0036650C"/>
    <w:rsid w:val="003A583E"/>
    <w:rsid w:val="003E112B"/>
    <w:rsid w:val="003E5E3D"/>
    <w:rsid w:val="00416F68"/>
    <w:rsid w:val="00457428"/>
    <w:rsid w:val="00466211"/>
    <w:rsid w:val="004D01FC"/>
    <w:rsid w:val="004D63A4"/>
    <w:rsid w:val="004E28C3"/>
    <w:rsid w:val="004F1F8E"/>
    <w:rsid w:val="005367FE"/>
    <w:rsid w:val="00584FF8"/>
    <w:rsid w:val="00586CF2"/>
    <w:rsid w:val="00587A4E"/>
    <w:rsid w:val="005C3768"/>
    <w:rsid w:val="005C6C3F"/>
    <w:rsid w:val="00613635"/>
    <w:rsid w:val="0062093D"/>
    <w:rsid w:val="00637ECF"/>
    <w:rsid w:val="00647B59"/>
    <w:rsid w:val="00654E39"/>
    <w:rsid w:val="006F7F9D"/>
    <w:rsid w:val="00701BAE"/>
    <w:rsid w:val="00730E95"/>
    <w:rsid w:val="00774362"/>
    <w:rsid w:val="007A04E8"/>
    <w:rsid w:val="007E596B"/>
    <w:rsid w:val="00813A8F"/>
    <w:rsid w:val="00844D4C"/>
    <w:rsid w:val="0084553F"/>
    <w:rsid w:val="008A3120"/>
    <w:rsid w:val="008C000E"/>
    <w:rsid w:val="008D41BE"/>
    <w:rsid w:val="008D58D3"/>
    <w:rsid w:val="008D6821"/>
    <w:rsid w:val="00923064"/>
    <w:rsid w:val="00936D25"/>
    <w:rsid w:val="00941EA5"/>
    <w:rsid w:val="00966C16"/>
    <w:rsid w:val="009765A8"/>
    <w:rsid w:val="0098732F"/>
    <w:rsid w:val="009C7E7C"/>
    <w:rsid w:val="00A00473"/>
    <w:rsid w:val="00A03C9B"/>
    <w:rsid w:val="00A606C3"/>
    <w:rsid w:val="00A83B09"/>
    <w:rsid w:val="00A84541"/>
    <w:rsid w:val="00AE36A0"/>
    <w:rsid w:val="00B00294"/>
    <w:rsid w:val="00B23EDF"/>
    <w:rsid w:val="00B64FD0"/>
    <w:rsid w:val="00BB1216"/>
    <w:rsid w:val="00BD7EE6"/>
    <w:rsid w:val="00BF26E7"/>
    <w:rsid w:val="00C01C69"/>
    <w:rsid w:val="00C814B9"/>
    <w:rsid w:val="00CD3928"/>
    <w:rsid w:val="00CD516F"/>
    <w:rsid w:val="00CE2C8D"/>
    <w:rsid w:val="00CE6A1C"/>
    <w:rsid w:val="00D119A7"/>
    <w:rsid w:val="00D13DF7"/>
    <w:rsid w:val="00D25FBA"/>
    <w:rsid w:val="00D66EAC"/>
    <w:rsid w:val="00D730DF"/>
    <w:rsid w:val="00D772F0"/>
    <w:rsid w:val="00D77BDC"/>
    <w:rsid w:val="00D8241C"/>
    <w:rsid w:val="00DC402B"/>
    <w:rsid w:val="00DE0932"/>
    <w:rsid w:val="00E049F1"/>
    <w:rsid w:val="00E37A25"/>
    <w:rsid w:val="00E512CA"/>
    <w:rsid w:val="00E70A31"/>
    <w:rsid w:val="00E977A2"/>
    <w:rsid w:val="00EA3F38"/>
    <w:rsid w:val="00EA5AB6"/>
    <w:rsid w:val="00EC2969"/>
    <w:rsid w:val="00EC7615"/>
    <w:rsid w:val="00ED16AA"/>
    <w:rsid w:val="00EF662E"/>
    <w:rsid w:val="00F148F1"/>
    <w:rsid w:val="00F372DE"/>
    <w:rsid w:val="00F84386"/>
    <w:rsid w:val="00F9722E"/>
    <w:rsid w:val="00FA3BBF"/>
    <w:rsid w:val="00FC0101"/>
    <w:rsid w:val="00FC41F8"/>
    <w:rsid w:val="00FC4ADC"/>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92DA6"/>
  <w15:docId w15:val="{6D46B24C-A1C8-4240-AAF3-3C5742C3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semiHidden/>
    <w:rsid w:val="00FC4ADC"/>
    <w:rPr>
      <w:vertAlign w:val="superscript"/>
    </w:rPr>
  </w:style>
  <w:style w:type="paragraph" w:customStyle="1" w:styleId="enumlev1">
    <w:name w:val="enumlev1"/>
    <w:basedOn w:val="Normal"/>
    <w:rsid w:val="00FC4ADC"/>
    <w:pPr>
      <w:tabs>
        <w:tab w:val="clear" w:pos="2268"/>
        <w:tab w:val="left" w:pos="2608"/>
        <w:tab w:val="left" w:pos="3345"/>
      </w:tabs>
      <w:spacing w:before="80"/>
      <w:ind w:left="1134" w:hanging="1134"/>
    </w:p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C4ADC"/>
    <w:rPr>
      <w:position w:val="6"/>
      <w:sz w:val="18"/>
    </w:rPr>
  </w:style>
  <w:style w:type="paragraph" w:styleId="FootnoteText">
    <w:name w:val="footnote text"/>
    <w:basedOn w:val="Normal"/>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rsid w:val="00FC4ADC"/>
    <w:pPr>
      <w:keepNext/>
      <w:spacing w:before="160"/>
    </w:pPr>
    <w:rPr>
      <w:b/>
    </w:rPr>
  </w:style>
  <w:style w:type="paragraph" w:customStyle="1" w:styleId="Headingi">
    <w:name w:val="Heading_i"/>
    <w:basedOn w:val="Normal"/>
    <w:next w:val="Normal"/>
    <w:rsid w:val="00FC4ADC"/>
    <w:pPr>
      <w:keepNext/>
      <w:spacing w:before="160"/>
    </w:pPr>
    <w:rPr>
      <w:rFonts w:ascii="Times" w:hAnsi="Times"/>
      <w:i/>
    </w:rPr>
  </w:style>
  <w:style w:type="paragraph" w:styleId="Index1">
    <w:name w:val="index 1"/>
    <w:basedOn w:val="Normal"/>
    <w:next w:val="Normal"/>
    <w:semiHidden/>
    <w:rsid w:val="00FC4ADC"/>
  </w:style>
  <w:style w:type="paragraph" w:styleId="Index2">
    <w:name w:val="index 2"/>
    <w:basedOn w:val="Normal"/>
    <w:next w:val="Normal"/>
    <w:semiHidden/>
    <w:rsid w:val="00FC4ADC"/>
    <w:pPr>
      <w:ind w:left="283"/>
    </w:pPr>
  </w:style>
  <w:style w:type="paragraph" w:styleId="Index3">
    <w:name w:val="index 3"/>
    <w:basedOn w:val="Normal"/>
    <w:next w:val="Normal"/>
    <w:semiHidden/>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uiPriority w:val="99"/>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uiPriority w:val="1"/>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rotte\AppData\Roaming\Microsoft\Templates\POOL%20F%20-%20ITU\BR\PF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PF_WRC23.dotx</Template>
  <TotalTime>8</TotalTime>
  <Pages>7</Pages>
  <Words>2435</Words>
  <Characters>12708</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15113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- 2023</dc:subject>
  <dc:creator>French</dc:creator>
  <cp:keywords>WRC-23</cp:keywords>
  <cp:lastModifiedBy>French</cp:lastModifiedBy>
  <cp:revision>4</cp:revision>
  <cp:lastPrinted>2003-06-05T19:34:00Z</cp:lastPrinted>
  <dcterms:created xsi:type="dcterms:W3CDTF">2023-12-12T07:19:00Z</dcterms:created>
  <dcterms:modified xsi:type="dcterms:W3CDTF">2023-12-12T07:30:00Z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