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AD76BC" w14:paraId="681F3402" w14:textId="77777777" w:rsidTr="00762BBC">
        <w:trPr>
          <w:cantSplit/>
        </w:trPr>
        <w:tc>
          <w:tcPr>
            <w:tcW w:w="1418" w:type="dxa"/>
            <w:vAlign w:val="center"/>
          </w:tcPr>
          <w:p w14:paraId="649BE22A" w14:textId="77777777" w:rsidR="00762BBC" w:rsidRPr="00AD76BC" w:rsidRDefault="00762BBC" w:rsidP="00762BBC">
            <w:pPr>
              <w:spacing w:before="0" w:after="100" w:afterAutospacing="1" w:line="240" w:lineRule="atLeast"/>
              <w:rPr>
                <w:rFonts w:ascii="Verdana" w:hAnsi="Verdana"/>
                <w:position w:val="6"/>
              </w:rPr>
            </w:pPr>
            <w:r w:rsidRPr="00AD76BC">
              <w:rPr>
                <w:noProof/>
              </w:rPr>
              <w:drawing>
                <wp:inline distT="0" distB="0" distL="0" distR="0" wp14:anchorId="4B767AF2" wp14:editId="1B5775E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4B404FE1" w14:textId="77777777" w:rsidR="00762BBC" w:rsidRPr="00AD76BC" w:rsidRDefault="00762BBC" w:rsidP="00C97A88">
            <w:pPr>
              <w:spacing w:before="400" w:after="48" w:line="240" w:lineRule="atLeast"/>
              <w:rPr>
                <w:rFonts w:ascii="Verdana" w:hAnsi="Verdana"/>
                <w:position w:val="6"/>
              </w:rPr>
            </w:pPr>
            <w:r w:rsidRPr="00AD76BC">
              <w:rPr>
                <w:rFonts w:ascii="Verdana" w:hAnsi="Verdana" w:cs="Times"/>
                <w:b/>
                <w:position w:val="6"/>
                <w:sz w:val="20"/>
              </w:rPr>
              <w:t>Conferencia Mundial de Radiocomunicaciones (CMR-23)</w:t>
            </w:r>
            <w:r w:rsidRPr="00AD76BC">
              <w:rPr>
                <w:rFonts w:ascii="Verdana" w:hAnsi="Verdana" w:cs="Times"/>
                <w:b/>
                <w:position w:val="6"/>
                <w:sz w:val="20"/>
              </w:rPr>
              <w:br/>
            </w:r>
            <w:r w:rsidRPr="00AD76BC">
              <w:rPr>
                <w:rFonts w:ascii="Verdana" w:hAnsi="Verdana"/>
                <w:b/>
                <w:bCs/>
                <w:position w:val="6"/>
                <w:sz w:val="17"/>
                <w:szCs w:val="17"/>
              </w:rPr>
              <w:t>Dubái, 20 de noviembre - 15 de diciembre de 2023</w:t>
            </w:r>
          </w:p>
        </w:tc>
        <w:tc>
          <w:tcPr>
            <w:tcW w:w="2093" w:type="dxa"/>
            <w:vAlign w:val="center"/>
          </w:tcPr>
          <w:p w14:paraId="7D4556C8" w14:textId="77777777" w:rsidR="00762BBC" w:rsidRPr="00AD76BC" w:rsidRDefault="00762BBC" w:rsidP="00762BBC">
            <w:pPr>
              <w:spacing w:before="0" w:line="240" w:lineRule="atLeast"/>
            </w:pPr>
            <w:bookmarkStart w:id="0" w:name="ditulogo"/>
            <w:bookmarkEnd w:id="0"/>
            <w:r w:rsidRPr="00AD76BC">
              <w:rPr>
                <w:noProof/>
              </w:rPr>
              <w:drawing>
                <wp:inline distT="0" distB="0" distL="0" distR="0" wp14:anchorId="0552C62F" wp14:editId="5389B371">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AD76BC" w14:paraId="7D8A33A1" w14:textId="77777777" w:rsidTr="00A1779F">
        <w:trPr>
          <w:cantSplit/>
        </w:trPr>
        <w:tc>
          <w:tcPr>
            <w:tcW w:w="10031" w:type="dxa"/>
            <w:gridSpan w:val="4"/>
            <w:tcBorders>
              <w:bottom w:val="single" w:sz="12" w:space="0" w:color="auto"/>
            </w:tcBorders>
          </w:tcPr>
          <w:p w14:paraId="101B2C96" w14:textId="77777777" w:rsidR="00C8286D" w:rsidRPr="00AD76BC" w:rsidRDefault="00C8286D" w:rsidP="00C8286D">
            <w:pPr>
              <w:spacing w:before="0" w:after="48" w:line="240" w:lineRule="atLeast"/>
              <w:rPr>
                <w:rFonts w:ascii="Verdana" w:hAnsi="Verdana"/>
                <w:b/>
                <w:smallCaps/>
                <w:sz w:val="20"/>
              </w:rPr>
            </w:pPr>
            <w:bookmarkStart w:id="1" w:name="dhead"/>
          </w:p>
        </w:tc>
      </w:tr>
      <w:tr w:rsidR="00C8286D" w:rsidRPr="00AD76BC" w14:paraId="1B891779" w14:textId="77777777" w:rsidTr="0050008E">
        <w:trPr>
          <w:cantSplit/>
        </w:trPr>
        <w:tc>
          <w:tcPr>
            <w:tcW w:w="6911" w:type="dxa"/>
            <w:gridSpan w:val="2"/>
            <w:tcBorders>
              <w:top w:val="single" w:sz="12" w:space="0" w:color="auto"/>
            </w:tcBorders>
          </w:tcPr>
          <w:p w14:paraId="39EBB015" w14:textId="727B51DD" w:rsidR="00C8286D" w:rsidRPr="00AD76BC"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21CEF491" w14:textId="77777777" w:rsidR="00C8286D" w:rsidRPr="00AD76BC" w:rsidRDefault="00C8286D" w:rsidP="00C8286D">
            <w:pPr>
              <w:spacing w:before="0" w:line="240" w:lineRule="atLeast"/>
              <w:rPr>
                <w:rFonts w:ascii="Verdana" w:hAnsi="Verdana"/>
                <w:sz w:val="20"/>
              </w:rPr>
            </w:pPr>
          </w:p>
        </w:tc>
      </w:tr>
      <w:tr w:rsidR="00C8286D" w:rsidRPr="00AD76BC" w14:paraId="2A584CC3" w14:textId="77777777" w:rsidTr="0050008E">
        <w:trPr>
          <w:cantSplit/>
          <w:trHeight w:val="23"/>
        </w:trPr>
        <w:tc>
          <w:tcPr>
            <w:tcW w:w="6911" w:type="dxa"/>
            <w:gridSpan w:val="2"/>
            <w:vMerge w:val="restart"/>
          </w:tcPr>
          <w:p w14:paraId="75564AA8" w14:textId="00009130" w:rsidR="00C8286D" w:rsidRPr="00AD76BC" w:rsidRDefault="008335C3" w:rsidP="00C8286D">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AD76BC">
              <w:rPr>
                <w:rFonts w:ascii="Verdana" w:hAnsi="Verdana"/>
                <w:b/>
                <w:smallCaps/>
                <w:sz w:val="20"/>
              </w:rPr>
              <w:t>SESIÓN PLENARIA</w:t>
            </w:r>
          </w:p>
        </w:tc>
        <w:tc>
          <w:tcPr>
            <w:tcW w:w="3120" w:type="dxa"/>
            <w:gridSpan w:val="2"/>
          </w:tcPr>
          <w:p w14:paraId="0A7AF6BC" w14:textId="6FC254EB" w:rsidR="00C8286D" w:rsidRPr="00AD76BC" w:rsidRDefault="00C8286D" w:rsidP="00C8286D">
            <w:pPr>
              <w:tabs>
                <w:tab w:val="left" w:pos="851"/>
              </w:tabs>
              <w:spacing w:before="0" w:line="240" w:lineRule="atLeast"/>
              <w:rPr>
                <w:rFonts w:ascii="Verdana" w:hAnsi="Verdana"/>
                <w:sz w:val="20"/>
              </w:rPr>
            </w:pPr>
            <w:r w:rsidRPr="00AD76BC">
              <w:rPr>
                <w:rFonts w:ascii="Verdana" w:hAnsi="Verdana"/>
                <w:b/>
                <w:sz w:val="20"/>
              </w:rPr>
              <w:t xml:space="preserve">Documento </w:t>
            </w:r>
            <w:r w:rsidR="008335C3" w:rsidRPr="00AD76BC">
              <w:rPr>
                <w:rFonts w:ascii="Verdana" w:hAnsi="Verdana"/>
                <w:b/>
                <w:sz w:val="20"/>
              </w:rPr>
              <w:t>328</w:t>
            </w:r>
            <w:r w:rsidRPr="00AD76BC">
              <w:rPr>
                <w:rFonts w:ascii="Verdana" w:hAnsi="Verdana"/>
                <w:b/>
                <w:sz w:val="20"/>
              </w:rPr>
              <w:t>-S</w:t>
            </w:r>
          </w:p>
        </w:tc>
      </w:tr>
      <w:tr w:rsidR="00C8286D" w:rsidRPr="00AD76BC" w14:paraId="5FF9C905" w14:textId="77777777" w:rsidTr="0050008E">
        <w:trPr>
          <w:cantSplit/>
          <w:trHeight w:val="23"/>
        </w:trPr>
        <w:tc>
          <w:tcPr>
            <w:tcW w:w="6911" w:type="dxa"/>
            <w:gridSpan w:val="2"/>
            <w:vMerge/>
          </w:tcPr>
          <w:p w14:paraId="18858CBD" w14:textId="77777777" w:rsidR="00C8286D" w:rsidRPr="00AD76BC"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5674F577" w14:textId="6869CDED" w:rsidR="00C8286D" w:rsidRPr="00AD76BC" w:rsidRDefault="008335C3" w:rsidP="00C8286D">
            <w:pPr>
              <w:tabs>
                <w:tab w:val="left" w:pos="993"/>
              </w:tabs>
              <w:spacing w:before="0"/>
              <w:rPr>
                <w:rFonts w:ascii="Verdana" w:hAnsi="Verdana"/>
                <w:sz w:val="20"/>
              </w:rPr>
            </w:pPr>
            <w:r w:rsidRPr="00AD76BC">
              <w:rPr>
                <w:rFonts w:ascii="Verdana" w:hAnsi="Verdana"/>
                <w:b/>
                <w:sz w:val="20"/>
              </w:rPr>
              <w:t>5</w:t>
            </w:r>
            <w:r w:rsidR="00C8286D" w:rsidRPr="00AD76BC">
              <w:rPr>
                <w:rFonts w:ascii="Verdana" w:hAnsi="Verdana"/>
                <w:b/>
                <w:sz w:val="20"/>
              </w:rPr>
              <w:t xml:space="preserve"> de </w:t>
            </w:r>
            <w:r w:rsidRPr="00AD76BC">
              <w:rPr>
                <w:rFonts w:ascii="Verdana" w:hAnsi="Verdana"/>
                <w:b/>
                <w:sz w:val="20"/>
              </w:rPr>
              <w:t xml:space="preserve">diciembre </w:t>
            </w:r>
            <w:r w:rsidR="00C8286D" w:rsidRPr="00AD76BC">
              <w:rPr>
                <w:rFonts w:ascii="Verdana" w:hAnsi="Verdana"/>
                <w:b/>
                <w:sz w:val="20"/>
              </w:rPr>
              <w:t>de 20</w:t>
            </w:r>
            <w:r w:rsidR="00C97A88" w:rsidRPr="00AD76BC">
              <w:rPr>
                <w:rFonts w:ascii="Verdana" w:hAnsi="Verdana"/>
                <w:b/>
                <w:sz w:val="20"/>
              </w:rPr>
              <w:t>23</w:t>
            </w:r>
          </w:p>
        </w:tc>
      </w:tr>
      <w:tr w:rsidR="00C8286D" w:rsidRPr="00AD76BC" w14:paraId="08B60F7A" w14:textId="77777777" w:rsidTr="0050008E">
        <w:trPr>
          <w:cantSplit/>
          <w:trHeight w:val="23"/>
        </w:trPr>
        <w:tc>
          <w:tcPr>
            <w:tcW w:w="6911" w:type="dxa"/>
            <w:gridSpan w:val="2"/>
            <w:vMerge/>
          </w:tcPr>
          <w:p w14:paraId="0CA1A926" w14:textId="77777777" w:rsidR="00C8286D" w:rsidRPr="00AD76BC"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30E2D299" w14:textId="77777777" w:rsidR="00C8286D" w:rsidRPr="00AD76BC" w:rsidRDefault="00C8286D" w:rsidP="00C8286D">
            <w:pPr>
              <w:tabs>
                <w:tab w:val="left" w:pos="993"/>
              </w:tabs>
              <w:spacing w:before="0" w:after="120"/>
              <w:rPr>
                <w:rFonts w:ascii="Verdana" w:hAnsi="Verdana"/>
                <w:sz w:val="20"/>
              </w:rPr>
            </w:pPr>
            <w:r w:rsidRPr="00AD76BC">
              <w:rPr>
                <w:rFonts w:ascii="Verdana" w:hAnsi="Verdana"/>
                <w:b/>
                <w:sz w:val="20"/>
              </w:rPr>
              <w:t>Original: inglés</w:t>
            </w:r>
          </w:p>
        </w:tc>
      </w:tr>
      <w:tr w:rsidR="00C8286D" w:rsidRPr="00AD76BC" w14:paraId="00123585" w14:textId="77777777" w:rsidTr="0050008E">
        <w:trPr>
          <w:cantSplit/>
        </w:trPr>
        <w:tc>
          <w:tcPr>
            <w:tcW w:w="10031" w:type="dxa"/>
            <w:gridSpan w:val="4"/>
          </w:tcPr>
          <w:p w14:paraId="4B7C7145" w14:textId="77777777" w:rsidR="00C8286D" w:rsidRPr="00AD76BC" w:rsidRDefault="00C8286D" w:rsidP="00D07BBC">
            <w:pPr>
              <w:pStyle w:val="Source"/>
              <w:spacing w:before="360"/>
            </w:pPr>
            <w:bookmarkStart w:id="6" w:name="dsource" w:colFirst="0" w:colLast="0"/>
            <w:bookmarkEnd w:id="5"/>
          </w:p>
        </w:tc>
      </w:tr>
      <w:tr w:rsidR="00C8286D" w:rsidRPr="00AD76BC" w14:paraId="55251C47" w14:textId="77777777" w:rsidTr="0050008E">
        <w:trPr>
          <w:cantSplit/>
        </w:trPr>
        <w:tc>
          <w:tcPr>
            <w:tcW w:w="10031" w:type="dxa"/>
            <w:gridSpan w:val="4"/>
          </w:tcPr>
          <w:p w14:paraId="04BC29E5" w14:textId="77777777" w:rsidR="002F47A2" w:rsidRPr="00AD76BC" w:rsidRDefault="002F47A2" w:rsidP="002F47A2">
            <w:pPr>
              <w:pStyle w:val="Title1"/>
            </w:pPr>
            <w:bookmarkStart w:id="7" w:name="dtitle1" w:colFirst="0" w:colLast="0"/>
            <w:bookmarkEnd w:id="6"/>
            <w:r w:rsidRPr="00AD76BC">
              <w:t>ACTAS</w:t>
            </w:r>
          </w:p>
          <w:p w14:paraId="0BFA005A" w14:textId="77777777" w:rsidR="002F47A2" w:rsidRPr="00AD76BC" w:rsidRDefault="002F47A2" w:rsidP="00367877">
            <w:pPr>
              <w:pStyle w:val="Title1"/>
            </w:pPr>
            <w:r w:rsidRPr="00AD76BC">
              <w:t>DE LA</w:t>
            </w:r>
          </w:p>
          <w:p w14:paraId="559BCD70" w14:textId="34905FC0" w:rsidR="002F47A2" w:rsidRPr="00AD76BC" w:rsidRDefault="002F47A2" w:rsidP="00367877">
            <w:pPr>
              <w:pStyle w:val="Title1"/>
              <w:rPr>
                <w:caps w:val="0"/>
              </w:rPr>
            </w:pPr>
            <w:r w:rsidRPr="00AD76BC">
              <w:t>QUINTA SESIÓN PLENARIA</w:t>
            </w:r>
          </w:p>
        </w:tc>
      </w:tr>
      <w:tr w:rsidR="00C8286D" w:rsidRPr="00AD76BC" w14:paraId="12CE203E" w14:textId="77777777" w:rsidTr="0050008E">
        <w:trPr>
          <w:cantSplit/>
        </w:trPr>
        <w:tc>
          <w:tcPr>
            <w:tcW w:w="10031" w:type="dxa"/>
            <w:gridSpan w:val="4"/>
          </w:tcPr>
          <w:p w14:paraId="0BBAA810" w14:textId="21F75FD4" w:rsidR="00C8286D" w:rsidRPr="00AD76BC" w:rsidRDefault="002F47A2" w:rsidP="008335C3">
            <w:pPr>
              <w:pStyle w:val="Normalaftertitle"/>
              <w:jc w:val="center"/>
            </w:pPr>
            <w:bookmarkStart w:id="8" w:name="dtitle2" w:colFirst="0" w:colLast="0"/>
            <w:bookmarkEnd w:id="7"/>
            <w:r w:rsidRPr="00AD76BC">
              <w:t>Viernes, 1 de diciembre de 2023, 16.20 horas</w:t>
            </w:r>
          </w:p>
        </w:tc>
      </w:tr>
      <w:tr w:rsidR="00C8286D" w:rsidRPr="00AD76BC" w14:paraId="089C8783" w14:textId="77777777" w:rsidTr="0050008E">
        <w:trPr>
          <w:cantSplit/>
        </w:trPr>
        <w:tc>
          <w:tcPr>
            <w:tcW w:w="10031" w:type="dxa"/>
            <w:gridSpan w:val="4"/>
          </w:tcPr>
          <w:p w14:paraId="08B7A75E" w14:textId="4E65C43B" w:rsidR="00C8286D" w:rsidRPr="00AD76BC" w:rsidRDefault="002F47A2" w:rsidP="0050008E">
            <w:pPr>
              <w:pStyle w:val="Title3"/>
            </w:pPr>
            <w:bookmarkStart w:id="9" w:name="dtitle3" w:colFirst="0" w:colLast="0"/>
            <w:bookmarkEnd w:id="8"/>
            <w:r w:rsidRPr="00AD76BC">
              <w:rPr>
                <w:b/>
                <w:bCs/>
                <w:sz w:val="24"/>
              </w:rPr>
              <w:t xml:space="preserve">Presidente: </w:t>
            </w:r>
            <w:r w:rsidRPr="00AD76BC">
              <w:rPr>
                <w:sz w:val="24"/>
              </w:rPr>
              <w:t>Excmo. Sr. M. AL RAMSI (Emiratos Árabes Unidos)</w:t>
            </w:r>
          </w:p>
        </w:tc>
      </w:tr>
      <w:bookmarkEnd w:id="9"/>
    </w:tbl>
    <w:p w14:paraId="465477F9" w14:textId="77777777" w:rsidR="002F47A2" w:rsidRPr="00AD76BC" w:rsidRDefault="002F47A2" w:rsidP="002F47A2">
      <w:pPr>
        <w:spacing w:after="120"/>
        <w:rPr>
          <w:szCs w:val="24"/>
        </w:rPr>
      </w:pPr>
    </w:p>
    <w:tbl>
      <w:tblPr>
        <w:tblW w:w="10031" w:type="dxa"/>
        <w:tblLook w:val="0000" w:firstRow="0" w:lastRow="0" w:firstColumn="0" w:lastColumn="0" w:noHBand="0" w:noVBand="0"/>
      </w:tblPr>
      <w:tblGrid>
        <w:gridCol w:w="534"/>
        <w:gridCol w:w="7159"/>
        <w:gridCol w:w="2338"/>
      </w:tblGrid>
      <w:tr w:rsidR="002F47A2" w:rsidRPr="00AD76BC" w14:paraId="35075608" w14:textId="77777777" w:rsidTr="00B03399">
        <w:tc>
          <w:tcPr>
            <w:tcW w:w="534" w:type="dxa"/>
          </w:tcPr>
          <w:p w14:paraId="318B538A" w14:textId="77777777" w:rsidR="002F47A2" w:rsidRPr="00AD76BC" w:rsidRDefault="002F47A2" w:rsidP="00B03399">
            <w:pPr>
              <w:spacing w:after="120"/>
              <w:rPr>
                <w:b/>
                <w:bCs/>
              </w:rPr>
            </w:pPr>
          </w:p>
        </w:tc>
        <w:tc>
          <w:tcPr>
            <w:tcW w:w="7159" w:type="dxa"/>
            <w:vAlign w:val="center"/>
          </w:tcPr>
          <w:p w14:paraId="4910A4EE" w14:textId="77777777" w:rsidR="002F47A2" w:rsidRPr="00AD76BC" w:rsidRDefault="002F47A2" w:rsidP="00B03399">
            <w:pPr>
              <w:spacing w:after="120"/>
              <w:rPr>
                <w:b/>
                <w:bCs/>
              </w:rPr>
            </w:pPr>
            <w:r w:rsidRPr="00AD76BC">
              <w:rPr>
                <w:b/>
                <w:bCs/>
              </w:rPr>
              <w:t>Asuntos tratados</w:t>
            </w:r>
          </w:p>
        </w:tc>
        <w:tc>
          <w:tcPr>
            <w:tcW w:w="2338" w:type="dxa"/>
            <w:vAlign w:val="center"/>
          </w:tcPr>
          <w:p w14:paraId="1E942976" w14:textId="77777777" w:rsidR="002F47A2" w:rsidRPr="00AD76BC" w:rsidRDefault="002F47A2" w:rsidP="00B03399">
            <w:pPr>
              <w:spacing w:after="120"/>
              <w:jc w:val="center"/>
              <w:rPr>
                <w:b/>
                <w:bCs/>
              </w:rPr>
            </w:pPr>
            <w:r w:rsidRPr="00AD76BC">
              <w:rPr>
                <w:b/>
                <w:bCs/>
              </w:rPr>
              <w:t>Documentos</w:t>
            </w:r>
          </w:p>
        </w:tc>
      </w:tr>
      <w:tr w:rsidR="002F47A2" w:rsidRPr="00AD76BC" w14:paraId="4321B9BC" w14:textId="77777777" w:rsidTr="00B03399">
        <w:tc>
          <w:tcPr>
            <w:tcW w:w="534" w:type="dxa"/>
            <w:vAlign w:val="center"/>
          </w:tcPr>
          <w:p w14:paraId="757C334A" w14:textId="77777777" w:rsidR="002F47A2" w:rsidRPr="00AD76BC" w:rsidRDefault="002F47A2" w:rsidP="00B03399">
            <w:pPr>
              <w:spacing w:after="120"/>
            </w:pPr>
            <w:r w:rsidRPr="00AD76BC">
              <w:t>1</w:t>
            </w:r>
          </w:p>
        </w:tc>
        <w:tc>
          <w:tcPr>
            <w:tcW w:w="7159" w:type="dxa"/>
            <w:vAlign w:val="center"/>
          </w:tcPr>
          <w:p w14:paraId="38C89B8A" w14:textId="77777777" w:rsidR="002F47A2" w:rsidRPr="00AD76BC" w:rsidRDefault="002F47A2" w:rsidP="00B03399">
            <w:pPr>
              <w:spacing w:after="120"/>
              <w:rPr>
                <w:highlight w:val="yellow"/>
              </w:rPr>
            </w:pPr>
            <w:r w:rsidRPr="00AD76BC">
              <w:t>Informes verbales de los Presidentes de las Comisiones</w:t>
            </w:r>
          </w:p>
        </w:tc>
        <w:tc>
          <w:tcPr>
            <w:tcW w:w="2338" w:type="dxa"/>
            <w:vAlign w:val="center"/>
          </w:tcPr>
          <w:p w14:paraId="0303C824" w14:textId="349EFAE2" w:rsidR="002F47A2" w:rsidRPr="00AD76BC" w:rsidRDefault="008335C3" w:rsidP="00B03399">
            <w:pPr>
              <w:spacing w:after="120"/>
              <w:jc w:val="center"/>
            </w:pPr>
            <w:r w:rsidRPr="00AD76BC">
              <w:t>–</w:t>
            </w:r>
          </w:p>
        </w:tc>
      </w:tr>
      <w:tr w:rsidR="002F47A2" w:rsidRPr="00AD76BC" w14:paraId="0F62F25B" w14:textId="77777777" w:rsidTr="00B03399">
        <w:tc>
          <w:tcPr>
            <w:tcW w:w="534" w:type="dxa"/>
            <w:vAlign w:val="center"/>
          </w:tcPr>
          <w:p w14:paraId="7FDF4506" w14:textId="77777777" w:rsidR="002F47A2" w:rsidRPr="00AD76BC" w:rsidRDefault="002F47A2" w:rsidP="00B03399">
            <w:pPr>
              <w:spacing w:after="120"/>
            </w:pPr>
            <w:r w:rsidRPr="00AD76BC">
              <w:t>2</w:t>
            </w:r>
          </w:p>
        </w:tc>
        <w:tc>
          <w:tcPr>
            <w:tcW w:w="7159" w:type="dxa"/>
            <w:vAlign w:val="center"/>
          </w:tcPr>
          <w:p w14:paraId="33680552" w14:textId="77777777" w:rsidR="002F47A2" w:rsidRPr="00AD76BC" w:rsidRDefault="002F47A2" w:rsidP="00B03399">
            <w:pPr>
              <w:spacing w:after="120"/>
              <w:rPr>
                <w:highlight w:val="yellow"/>
              </w:rPr>
            </w:pPr>
            <w:r w:rsidRPr="00AD76BC">
              <w:t>Novena serie de textos sometidos por la Comisión de Redacción en primera lectura (B9)</w:t>
            </w:r>
          </w:p>
        </w:tc>
        <w:tc>
          <w:tcPr>
            <w:tcW w:w="2338" w:type="dxa"/>
            <w:vAlign w:val="center"/>
          </w:tcPr>
          <w:p w14:paraId="38A0E44B" w14:textId="77777777" w:rsidR="002F47A2" w:rsidRPr="00AD76BC" w:rsidRDefault="002F47A2" w:rsidP="00B03399">
            <w:pPr>
              <w:spacing w:after="120"/>
              <w:jc w:val="center"/>
            </w:pPr>
            <w:r w:rsidRPr="00AD76BC">
              <w:t>288</w:t>
            </w:r>
          </w:p>
        </w:tc>
      </w:tr>
      <w:tr w:rsidR="002F47A2" w:rsidRPr="00AD76BC" w14:paraId="7D5DB073" w14:textId="77777777" w:rsidTr="00B03399">
        <w:tc>
          <w:tcPr>
            <w:tcW w:w="534" w:type="dxa"/>
            <w:vAlign w:val="center"/>
          </w:tcPr>
          <w:p w14:paraId="61F8501E" w14:textId="77777777" w:rsidR="002F47A2" w:rsidRPr="00AD76BC" w:rsidRDefault="002F47A2" w:rsidP="00B03399">
            <w:pPr>
              <w:spacing w:after="120"/>
            </w:pPr>
            <w:r w:rsidRPr="00AD76BC">
              <w:t>3</w:t>
            </w:r>
          </w:p>
        </w:tc>
        <w:tc>
          <w:tcPr>
            <w:tcW w:w="7159" w:type="dxa"/>
            <w:vAlign w:val="center"/>
          </w:tcPr>
          <w:p w14:paraId="0E267E8C" w14:textId="77777777" w:rsidR="002F47A2" w:rsidRPr="00AD76BC" w:rsidRDefault="002F47A2" w:rsidP="00B03399">
            <w:pPr>
              <w:spacing w:after="120"/>
            </w:pPr>
            <w:r w:rsidRPr="00AD76BC">
              <w:t>Novena serie de textos sometidos por la Comisión de Redacción (B9) - segunda lectura</w:t>
            </w:r>
          </w:p>
        </w:tc>
        <w:tc>
          <w:tcPr>
            <w:tcW w:w="2338" w:type="dxa"/>
            <w:vAlign w:val="center"/>
          </w:tcPr>
          <w:p w14:paraId="75D166B2" w14:textId="77777777" w:rsidR="002F47A2" w:rsidRPr="00AD76BC" w:rsidRDefault="002F47A2" w:rsidP="00B03399">
            <w:pPr>
              <w:spacing w:after="120"/>
              <w:jc w:val="center"/>
            </w:pPr>
            <w:r w:rsidRPr="00AD76BC">
              <w:t>288</w:t>
            </w:r>
          </w:p>
        </w:tc>
      </w:tr>
      <w:tr w:rsidR="002F47A2" w:rsidRPr="00AD76BC" w14:paraId="1FBAA98B" w14:textId="77777777" w:rsidTr="00B03399">
        <w:tc>
          <w:tcPr>
            <w:tcW w:w="534" w:type="dxa"/>
            <w:vAlign w:val="center"/>
          </w:tcPr>
          <w:p w14:paraId="0E471A4D" w14:textId="77777777" w:rsidR="002F47A2" w:rsidRPr="00AD76BC" w:rsidRDefault="002F47A2" w:rsidP="00B03399">
            <w:pPr>
              <w:spacing w:after="120"/>
            </w:pPr>
            <w:r w:rsidRPr="00AD76BC">
              <w:t>4</w:t>
            </w:r>
          </w:p>
        </w:tc>
        <w:tc>
          <w:tcPr>
            <w:tcW w:w="7159" w:type="dxa"/>
            <w:vAlign w:val="center"/>
          </w:tcPr>
          <w:p w14:paraId="58C8AC73" w14:textId="77777777" w:rsidR="002F47A2" w:rsidRPr="00AD76BC" w:rsidRDefault="002F47A2" w:rsidP="00B03399">
            <w:pPr>
              <w:spacing w:after="120"/>
              <w:rPr>
                <w:highlight w:val="yellow"/>
              </w:rPr>
            </w:pPr>
            <w:r w:rsidRPr="00AD76BC">
              <w:t>Décima serie de textos sometidos por la Comisión de Redacción en primera lectura (B10)</w:t>
            </w:r>
          </w:p>
        </w:tc>
        <w:tc>
          <w:tcPr>
            <w:tcW w:w="2338" w:type="dxa"/>
            <w:vAlign w:val="center"/>
          </w:tcPr>
          <w:p w14:paraId="258CA5A0" w14:textId="77777777" w:rsidR="002F47A2" w:rsidRPr="00AD76BC" w:rsidRDefault="002F47A2" w:rsidP="00B03399">
            <w:pPr>
              <w:spacing w:after="120"/>
              <w:jc w:val="center"/>
            </w:pPr>
            <w:r w:rsidRPr="00AD76BC">
              <w:t>289</w:t>
            </w:r>
          </w:p>
        </w:tc>
      </w:tr>
      <w:tr w:rsidR="002F47A2" w:rsidRPr="00AD76BC" w14:paraId="757A944B" w14:textId="77777777" w:rsidTr="00B03399">
        <w:tc>
          <w:tcPr>
            <w:tcW w:w="534" w:type="dxa"/>
            <w:vAlign w:val="center"/>
          </w:tcPr>
          <w:p w14:paraId="5706F8BC" w14:textId="77777777" w:rsidR="002F47A2" w:rsidRPr="00AD76BC" w:rsidRDefault="002F47A2" w:rsidP="00B03399">
            <w:pPr>
              <w:spacing w:after="120"/>
            </w:pPr>
            <w:r w:rsidRPr="00AD76BC">
              <w:t>5</w:t>
            </w:r>
          </w:p>
        </w:tc>
        <w:tc>
          <w:tcPr>
            <w:tcW w:w="7159" w:type="dxa"/>
            <w:vAlign w:val="center"/>
          </w:tcPr>
          <w:p w14:paraId="418129D3" w14:textId="77777777" w:rsidR="002F47A2" w:rsidRPr="00AD76BC" w:rsidRDefault="002F47A2" w:rsidP="00B03399">
            <w:pPr>
              <w:spacing w:after="120"/>
            </w:pPr>
            <w:r w:rsidRPr="00AD76BC">
              <w:t>Décima serie de textos sometidos por la Comisión de Redacción (B10) - segunda lectura</w:t>
            </w:r>
          </w:p>
        </w:tc>
        <w:tc>
          <w:tcPr>
            <w:tcW w:w="2338" w:type="dxa"/>
            <w:vAlign w:val="center"/>
          </w:tcPr>
          <w:p w14:paraId="132E6237" w14:textId="77777777" w:rsidR="002F47A2" w:rsidRPr="00AD76BC" w:rsidRDefault="002F47A2" w:rsidP="00B03399">
            <w:pPr>
              <w:spacing w:after="120"/>
              <w:jc w:val="center"/>
            </w:pPr>
            <w:r w:rsidRPr="00AD76BC">
              <w:t>289</w:t>
            </w:r>
          </w:p>
        </w:tc>
      </w:tr>
      <w:tr w:rsidR="002F47A2" w:rsidRPr="00AD76BC" w14:paraId="06C261A2" w14:textId="77777777" w:rsidTr="00B03399">
        <w:tc>
          <w:tcPr>
            <w:tcW w:w="534" w:type="dxa"/>
            <w:vAlign w:val="center"/>
          </w:tcPr>
          <w:p w14:paraId="7A9809E9" w14:textId="77777777" w:rsidR="002F47A2" w:rsidRPr="00AD76BC" w:rsidRDefault="002F47A2" w:rsidP="00B03399">
            <w:pPr>
              <w:spacing w:after="120"/>
            </w:pPr>
            <w:r w:rsidRPr="00AD76BC">
              <w:t>6</w:t>
            </w:r>
          </w:p>
        </w:tc>
        <w:tc>
          <w:tcPr>
            <w:tcW w:w="7159" w:type="dxa"/>
            <w:vAlign w:val="center"/>
          </w:tcPr>
          <w:p w14:paraId="35C13BD6" w14:textId="77777777" w:rsidR="002F47A2" w:rsidRPr="00AD76BC" w:rsidRDefault="002F47A2" w:rsidP="00B03399">
            <w:pPr>
              <w:spacing w:after="120"/>
              <w:rPr>
                <w:highlight w:val="yellow"/>
              </w:rPr>
            </w:pPr>
            <w:r w:rsidRPr="00AD76BC">
              <w:t>Aprobación de las actas de la primera, la segunda y la tercera sesiones plenarias</w:t>
            </w:r>
          </w:p>
        </w:tc>
        <w:tc>
          <w:tcPr>
            <w:tcW w:w="2338" w:type="dxa"/>
            <w:vAlign w:val="center"/>
          </w:tcPr>
          <w:p w14:paraId="512154E3" w14:textId="77777777" w:rsidR="002F47A2" w:rsidRPr="00AD76BC" w:rsidRDefault="002F47A2" w:rsidP="00B03399">
            <w:pPr>
              <w:spacing w:after="120"/>
              <w:jc w:val="center"/>
            </w:pPr>
            <w:r w:rsidRPr="00AD76BC">
              <w:t xml:space="preserve">236, 258, 264 </w:t>
            </w:r>
          </w:p>
        </w:tc>
      </w:tr>
      <w:tr w:rsidR="002F47A2" w:rsidRPr="00AD76BC" w14:paraId="5FAC600E" w14:textId="77777777" w:rsidTr="00B03399">
        <w:tc>
          <w:tcPr>
            <w:tcW w:w="534" w:type="dxa"/>
            <w:vAlign w:val="center"/>
          </w:tcPr>
          <w:p w14:paraId="6A283D2B" w14:textId="77777777" w:rsidR="002F47A2" w:rsidRPr="00AD76BC" w:rsidRDefault="002F47A2" w:rsidP="00B03399">
            <w:pPr>
              <w:spacing w:after="120"/>
            </w:pPr>
            <w:r w:rsidRPr="00AD76BC">
              <w:t>7</w:t>
            </w:r>
          </w:p>
        </w:tc>
        <w:tc>
          <w:tcPr>
            <w:tcW w:w="7159" w:type="dxa"/>
            <w:vAlign w:val="center"/>
          </w:tcPr>
          <w:p w14:paraId="24BF991A" w14:textId="77777777" w:rsidR="002F47A2" w:rsidRPr="00AD76BC" w:rsidRDefault="002F47A2" w:rsidP="00B03399">
            <w:pPr>
              <w:spacing w:after="120"/>
            </w:pPr>
            <w:r w:rsidRPr="00AD76BC">
              <w:t>Declaración de la Sra. Aarti Holla-Maini, Directora de la Oficina de Asuntos del Espacio Ultraterrestre de las Naciones Unidas</w:t>
            </w:r>
          </w:p>
        </w:tc>
        <w:tc>
          <w:tcPr>
            <w:tcW w:w="2338" w:type="dxa"/>
            <w:vAlign w:val="center"/>
          </w:tcPr>
          <w:p w14:paraId="6561454C" w14:textId="7D6AAA94" w:rsidR="002F47A2" w:rsidRPr="00AD76BC" w:rsidRDefault="008335C3" w:rsidP="00B03399">
            <w:pPr>
              <w:spacing w:after="120"/>
              <w:jc w:val="center"/>
            </w:pPr>
            <w:r w:rsidRPr="00AD76BC">
              <w:t>–</w:t>
            </w:r>
          </w:p>
        </w:tc>
      </w:tr>
      <w:tr w:rsidR="002F47A2" w:rsidRPr="00AD76BC" w14:paraId="7516534C" w14:textId="77777777" w:rsidTr="00B03399">
        <w:tc>
          <w:tcPr>
            <w:tcW w:w="534" w:type="dxa"/>
            <w:vAlign w:val="center"/>
          </w:tcPr>
          <w:p w14:paraId="72EDE50E" w14:textId="77777777" w:rsidR="002F47A2" w:rsidRPr="00AD76BC" w:rsidRDefault="002F47A2" w:rsidP="00B03399">
            <w:pPr>
              <w:spacing w:after="120"/>
            </w:pPr>
            <w:r w:rsidRPr="00AD76BC">
              <w:t>8</w:t>
            </w:r>
          </w:p>
        </w:tc>
        <w:tc>
          <w:tcPr>
            <w:tcW w:w="7159" w:type="dxa"/>
            <w:vAlign w:val="center"/>
          </w:tcPr>
          <w:p w14:paraId="2B794079" w14:textId="77777777" w:rsidR="002F47A2" w:rsidRPr="00AD76BC" w:rsidRDefault="002F47A2" w:rsidP="00B03399">
            <w:pPr>
              <w:spacing w:after="120"/>
              <w:rPr>
                <w:highlight w:val="yellow"/>
              </w:rPr>
            </w:pPr>
            <w:r w:rsidRPr="00AD76BC">
              <w:t>Fiesta nacional de los Emiratos Árabes Unidos</w:t>
            </w:r>
          </w:p>
        </w:tc>
        <w:tc>
          <w:tcPr>
            <w:tcW w:w="2338" w:type="dxa"/>
            <w:vAlign w:val="center"/>
          </w:tcPr>
          <w:p w14:paraId="65AB3B7F" w14:textId="3C22A346" w:rsidR="002F47A2" w:rsidRPr="00AD76BC" w:rsidRDefault="008335C3" w:rsidP="00B03399">
            <w:pPr>
              <w:spacing w:after="120"/>
              <w:jc w:val="center"/>
            </w:pPr>
            <w:r w:rsidRPr="00AD76BC">
              <w:t>–</w:t>
            </w:r>
          </w:p>
        </w:tc>
      </w:tr>
    </w:tbl>
    <w:p w14:paraId="7486747B" w14:textId="77777777" w:rsidR="002F47A2" w:rsidRPr="00AD76BC" w:rsidRDefault="002F47A2" w:rsidP="002F47A2">
      <w:pPr>
        <w:spacing w:after="120"/>
      </w:pPr>
      <w:r w:rsidRPr="00AD76BC">
        <w:br w:type="page"/>
      </w:r>
    </w:p>
    <w:p w14:paraId="652F85D9" w14:textId="17A02B48" w:rsidR="002F47A2" w:rsidRPr="00AD76BC" w:rsidRDefault="002F47A2" w:rsidP="008335C3">
      <w:pPr>
        <w:pStyle w:val="Heading1"/>
      </w:pPr>
      <w:r w:rsidRPr="00AD76BC">
        <w:lastRenderedPageBreak/>
        <w:t>1</w:t>
      </w:r>
      <w:r w:rsidRPr="00AD76BC">
        <w:tab/>
        <w:t>Informes verbales de los Presidentes de las Comisiones</w:t>
      </w:r>
    </w:p>
    <w:p w14:paraId="6B2EB6B6" w14:textId="77777777" w:rsidR="002F47A2" w:rsidRPr="00AD76BC" w:rsidRDefault="002F47A2" w:rsidP="008335C3">
      <w:r w:rsidRPr="00AD76BC">
        <w:t>1.1</w:t>
      </w:r>
      <w:r w:rsidRPr="00AD76BC">
        <w:tab/>
        <w:t xml:space="preserve">La </w:t>
      </w:r>
      <w:r w:rsidRPr="00AD76BC">
        <w:rPr>
          <w:b/>
          <w:bCs/>
        </w:rPr>
        <w:t>Presidenta de la Comisión 2</w:t>
      </w:r>
      <w:r w:rsidRPr="00AD76BC">
        <w:t xml:space="preserve"> facilita información sobre el avance de los trabajos de su Comisión, que espera recibir 25 instrumentos de acreditación adicionales. La Comisión celebrará su última reunión el 5 de diciembre de 2023 y someterá su informe a aprobación al día siguiente. La oradora señala a la atención de los presentes el Documento 204(Rev.4), relativo a la pérdida del derecho de voto, y observa que, actualmente, 12 Estados Miembros no tienen derecho a voto.</w:t>
      </w:r>
    </w:p>
    <w:p w14:paraId="7A245EFF" w14:textId="77777777" w:rsidR="002F47A2" w:rsidRPr="00AD76BC" w:rsidRDefault="002F47A2" w:rsidP="008335C3">
      <w:r w:rsidRPr="00AD76BC">
        <w:t>1.2</w:t>
      </w:r>
      <w:r w:rsidRPr="00AD76BC">
        <w:tab/>
        <w:t xml:space="preserve">Se </w:t>
      </w:r>
      <w:r w:rsidRPr="00AD76BC">
        <w:rPr>
          <w:b/>
          <w:bCs/>
        </w:rPr>
        <w:t>toma nota</w:t>
      </w:r>
      <w:r w:rsidRPr="00AD76BC">
        <w:t xml:space="preserve"> del informe verbal de la Presidenta de la Comisión 2.</w:t>
      </w:r>
    </w:p>
    <w:p w14:paraId="605D58A4" w14:textId="77777777" w:rsidR="002F47A2" w:rsidRPr="00AD76BC" w:rsidRDefault="002F47A2" w:rsidP="008335C3">
      <w:r w:rsidRPr="00AD76BC">
        <w:t>1.3</w:t>
      </w:r>
      <w:r w:rsidRPr="00AD76BC">
        <w:tab/>
        <w:t xml:space="preserve">La </w:t>
      </w:r>
      <w:r w:rsidRPr="00AD76BC">
        <w:rPr>
          <w:b/>
          <w:bCs/>
        </w:rPr>
        <w:t>Presidenta de la Comisión 3</w:t>
      </w:r>
      <w:r w:rsidRPr="00AD76BC">
        <w:t xml:space="preserve"> indica que su Comisión ha celebrado su segunda reunión, en cuyo marco ha examinado el estado financiero actualizado de la Conferencia al 27 de noviembre de 2023 (Documento 270), así como el informe de su primera reunión. Cabe prever que los gastos de la CMR-23 se mantengan dentro de los límites presupuestarios establecidos, pudiendo incluso registrarse un saldo final positivo gracias al ahorro en determinados gastos, en particular de personal. La Comisión celebrará su última reunión la última semana de la Conferencia.</w:t>
      </w:r>
    </w:p>
    <w:p w14:paraId="781E7D17" w14:textId="77777777" w:rsidR="002F47A2" w:rsidRPr="00AD76BC" w:rsidRDefault="002F47A2" w:rsidP="008335C3">
      <w:r w:rsidRPr="00AD76BC">
        <w:t>1.4</w:t>
      </w:r>
      <w:r w:rsidRPr="00AD76BC">
        <w:tab/>
        <w:t xml:space="preserve">Se </w:t>
      </w:r>
      <w:r w:rsidRPr="00AD76BC">
        <w:rPr>
          <w:b/>
          <w:bCs/>
        </w:rPr>
        <w:t>toma nota</w:t>
      </w:r>
      <w:r w:rsidRPr="00AD76BC">
        <w:t xml:space="preserve"> del informe verbal de la Presidenta de la Comisión 3.</w:t>
      </w:r>
    </w:p>
    <w:p w14:paraId="44B1E2AD" w14:textId="77777777" w:rsidR="002F47A2" w:rsidRPr="00AD76BC" w:rsidRDefault="002F47A2" w:rsidP="008335C3">
      <w:r w:rsidRPr="00AD76BC">
        <w:t>1.5</w:t>
      </w:r>
      <w:r w:rsidRPr="00AD76BC">
        <w:tab/>
        <w:t xml:space="preserve">El </w:t>
      </w:r>
      <w:r w:rsidRPr="00AD76BC">
        <w:rPr>
          <w:b/>
          <w:bCs/>
        </w:rPr>
        <w:t>Presidente de la Comisión 4</w:t>
      </w:r>
      <w:r w:rsidRPr="00AD76BC">
        <w:t xml:space="preserve"> señala que su Comisión ha logrado escasos avances desde la última sesión plenaria. No obstante, los Grupos de Trabajo competentes han concluido la labor relativa a los puntos 1.11 (Tema A) y 9.1 (Tema B) del orden del día y los resultados correspondientes se someterán a la consideración de la Comisión el 5 de diciembre de 2023. Dado que aún queda mucho por hacer, se han programado reuniones durante el fin de semana. El orador anima a todos los delegados a colaborar y dar muestras de flexibilidad para evitar retrasos innecesarios.</w:t>
      </w:r>
    </w:p>
    <w:p w14:paraId="7751E27B" w14:textId="77777777" w:rsidR="002F47A2" w:rsidRPr="00AD76BC" w:rsidRDefault="002F47A2" w:rsidP="008335C3">
      <w:r w:rsidRPr="00AD76BC">
        <w:t>1.6</w:t>
      </w:r>
      <w:r w:rsidRPr="00AD76BC">
        <w:tab/>
        <w:t xml:space="preserve">Se </w:t>
      </w:r>
      <w:r w:rsidRPr="00AD76BC">
        <w:rPr>
          <w:b/>
          <w:bCs/>
        </w:rPr>
        <w:t>toma nota</w:t>
      </w:r>
      <w:r w:rsidRPr="00AD76BC">
        <w:t xml:space="preserve"> del informe verbal del Presidente de la Comisión 4.</w:t>
      </w:r>
    </w:p>
    <w:p w14:paraId="1B6A8E82" w14:textId="77777777" w:rsidR="002F47A2" w:rsidRPr="00AD76BC" w:rsidRDefault="002F47A2" w:rsidP="008335C3">
      <w:r w:rsidRPr="00AD76BC">
        <w:t>1.7</w:t>
      </w:r>
      <w:r w:rsidRPr="00AD76BC">
        <w:tab/>
        <w:t xml:space="preserve">La </w:t>
      </w:r>
      <w:r w:rsidRPr="00AD76BC">
        <w:rPr>
          <w:b/>
          <w:bCs/>
        </w:rPr>
        <w:t>Presidenta de la Comisión 5</w:t>
      </w:r>
      <w:r w:rsidRPr="00AD76BC">
        <w:t xml:space="preserve"> indica que su Comisión se ha reunido una vez desde la última sesión plenaria y ha aprobado los resultados referentes a los puntos 1.14 y 7 (Tema G) del orden del día. Se remitirá un documento en la materia a la Comisión 7 con miras a su presentación en la próxima sesión plenaria. Habida cuenta de todo lo que queda por hacer, se celebrarán reuniones durante el fin de semana.</w:t>
      </w:r>
    </w:p>
    <w:p w14:paraId="61E9D496" w14:textId="77777777" w:rsidR="002F47A2" w:rsidRPr="00AD76BC" w:rsidRDefault="002F47A2" w:rsidP="008335C3">
      <w:r w:rsidRPr="00AD76BC">
        <w:t>1.8</w:t>
      </w:r>
      <w:r w:rsidRPr="00AD76BC">
        <w:tab/>
        <w:t xml:space="preserve">Se </w:t>
      </w:r>
      <w:r w:rsidRPr="00AD76BC">
        <w:rPr>
          <w:b/>
          <w:bCs/>
        </w:rPr>
        <w:t>toma nota</w:t>
      </w:r>
      <w:r w:rsidRPr="00AD76BC">
        <w:t xml:space="preserve"> del informe verbal de la Presidenta de la Comisión 5.</w:t>
      </w:r>
    </w:p>
    <w:p w14:paraId="628D63A5" w14:textId="77777777" w:rsidR="002F47A2" w:rsidRPr="00AD76BC" w:rsidRDefault="002F47A2" w:rsidP="008335C3">
      <w:r w:rsidRPr="00AD76BC">
        <w:t>1.9</w:t>
      </w:r>
      <w:r w:rsidRPr="00AD76BC">
        <w:tab/>
        <w:t xml:space="preserve">El </w:t>
      </w:r>
      <w:r w:rsidRPr="00AD76BC">
        <w:rPr>
          <w:b/>
          <w:bCs/>
        </w:rPr>
        <w:t>Presidente de la Comisión 6</w:t>
      </w:r>
      <w:r w:rsidRPr="00AD76BC">
        <w:t xml:space="preserve"> indica que, esa misma mañana, su Comisión ha celebrado su quinta reunión. Gracias a los avances logrados en el marco de los puntos 2, 4, 8, 9.1 y 9.2 del orden del día, la Comisión ha podido concluir el examen de las Recomendaciones UIT</w:t>
      </w:r>
      <w:r w:rsidRPr="00AD76BC">
        <w:noBreakHyphen/>
        <w:t xml:space="preserve"> R revisadas e incorporadas por referencia en el Reglamento de Radiocomunicaciones. También ha elaborado una lista unificada de Recomendaciones incorporadas por referencia, teniendo en cuenta la información facilitada por la AR-23. La lista se ha puesto en conocimiento de los Presidentes de las Comisiones 4 y 5 por conducto del Documento 282, en el que se les solicita que comuniquen a la Comisión 6 cualquier adición necesaria.</w:t>
      </w:r>
    </w:p>
    <w:p w14:paraId="65349305" w14:textId="77777777" w:rsidR="002F47A2" w:rsidRPr="00AD76BC" w:rsidRDefault="002F47A2" w:rsidP="008335C3">
      <w:r w:rsidRPr="00AD76BC">
        <w:t>1.10</w:t>
      </w:r>
      <w:r w:rsidRPr="00AD76BC">
        <w:tab/>
        <w:t>La Comisión ha aprobado una serie de propuestas de adición y supresión de nombres de países de notas (Documento 294(Rev.1)). En el marco del punto 4 del orden del día, ha proseguido el examen de las propuestas encaminadas a la actualización de Resoluciones y Recomendaciones adoptadas en conferencias anteriores. Varias propuestas han sido aprobadas por los Grupos de Trabajo competentes (Documento 291) y algunas incluso por la propia Comisión, sometiéndose estas últimas a la consideración de la Plenaria en la reunión en curso (Documento 289). En el marco del punto 10 del orden del día, la Comisión ha concluido la revisión de la Resolución 804 (Rev.CMR-19), que también se examinará en la presente sesión plenaria (Documento 288).</w:t>
      </w:r>
    </w:p>
    <w:p w14:paraId="2CF91E1B" w14:textId="77777777" w:rsidR="002F47A2" w:rsidRPr="00AD76BC" w:rsidRDefault="002F47A2" w:rsidP="008335C3">
      <w:r w:rsidRPr="00AD76BC">
        <w:lastRenderedPageBreak/>
        <w:t>1.11</w:t>
      </w:r>
      <w:r w:rsidRPr="00AD76BC">
        <w:tab/>
        <w:t>Por último, cabe señalar que los Subgrupos de la Comisión ya han empezado a redactar textos sobre posibles temas que podrían incluirse en el orden del día de futuras CMR. Dado el volumen de trabajo pendiente, la Comisión prevé celebrar reuniones durante el fin de semana.</w:t>
      </w:r>
    </w:p>
    <w:p w14:paraId="6C04ABE0" w14:textId="77777777" w:rsidR="002F47A2" w:rsidRPr="00AD76BC" w:rsidRDefault="002F47A2" w:rsidP="008335C3">
      <w:r w:rsidRPr="00AD76BC">
        <w:t>1.12</w:t>
      </w:r>
      <w:r w:rsidRPr="00AD76BC">
        <w:tab/>
        <w:t xml:space="preserve">Se </w:t>
      </w:r>
      <w:r w:rsidRPr="00AD76BC">
        <w:rPr>
          <w:b/>
          <w:bCs/>
        </w:rPr>
        <w:t>toma nota</w:t>
      </w:r>
      <w:r w:rsidRPr="00AD76BC">
        <w:t xml:space="preserve"> del informe verbal del Presidente de la Comisión 6.</w:t>
      </w:r>
    </w:p>
    <w:p w14:paraId="0A42A7D0" w14:textId="77777777" w:rsidR="002F47A2" w:rsidRPr="00AD76BC" w:rsidRDefault="002F47A2" w:rsidP="008335C3">
      <w:r w:rsidRPr="00AD76BC">
        <w:t>1.13</w:t>
      </w:r>
      <w:r w:rsidRPr="00AD76BC">
        <w:tab/>
        <w:t xml:space="preserve">El </w:t>
      </w:r>
      <w:r w:rsidRPr="00AD76BC">
        <w:rPr>
          <w:b/>
          <w:bCs/>
        </w:rPr>
        <w:t>Presidente de la Comisión 7</w:t>
      </w:r>
      <w:r w:rsidRPr="00AD76BC">
        <w:t xml:space="preserve"> indica que su Comisión ha preparado dos series de textos para examen en primera lectura en la presente sesión plenaria.</w:t>
      </w:r>
    </w:p>
    <w:p w14:paraId="3A2C9EB8" w14:textId="05FD77FB" w:rsidR="002F47A2" w:rsidRPr="00AD76BC" w:rsidRDefault="002F47A2" w:rsidP="008335C3">
      <w:r w:rsidRPr="00AD76BC">
        <w:t>1.14</w:t>
      </w:r>
      <w:r w:rsidRPr="00AD76BC">
        <w:tab/>
        <w:t xml:space="preserve">En respuesta a las inquietudes planteadas en la sesión plenaria anterior en cuanto al hecho de que se estuvieran presentando </w:t>
      </w:r>
      <w:r w:rsidR="001346FA" w:rsidRPr="00AD76BC">
        <w:t>varias</w:t>
      </w:r>
      <w:r w:rsidRPr="00AD76BC">
        <w:t xml:space="preserve"> modificaciones a las disposiciones del Apéndice 4 en </w:t>
      </w:r>
      <w:r w:rsidR="00504216" w:rsidRPr="00AD76BC">
        <w:t xml:space="preserve">distintos </w:t>
      </w:r>
      <w:r w:rsidRPr="00AD76BC">
        <w:t>documentos azules, declara que se está implantando un nuevo mecanismo, que abarcaba los dos casos posibles expuestos a continuación.</w:t>
      </w:r>
    </w:p>
    <w:p w14:paraId="5CD1CF9C" w14:textId="77777777" w:rsidR="002F47A2" w:rsidRPr="00AD76BC" w:rsidRDefault="002F47A2" w:rsidP="008335C3">
      <w:r w:rsidRPr="00AD76BC">
        <w:t>1.15</w:t>
      </w:r>
      <w:r w:rsidRPr="00AD76BC">
        <w:tab/>
        <w:t>En el caso de las modificaciones efectuadas por una misma Comisión, la secretaría de esta última debería velar por que todos los cambios propuestos se unificasen en un único texto, que se sometiera a la Comisión y, posteriormente, a la Comisión 7 como documento de la serie blanca. Por consiguiente, cabe la posibilidad de que una Comisión tenga que dejar en suspenso los resultados de un Grupo de Trabajo sobre una determinada disposición, en espera de que otro Grupo de Trabajo finalice su labor sobre esa misma disposición, antes de elaborar un documento refundido.</w:t>
      </w:r>
    </w:p>
    <w:p w14:paraId="78167A8C" w14:textId="77777777" w:rsidR="002F47A2" w:rsidRPr="00AD76BC" w:rsidRDefault="002F47A2" w:rsidP="008335C3">
      <w:r w:rsidRPr="00AD76BC">
        <w:t>1.16</w:t>
      </w:r>
      <w:r w:rsidRPr="00AD76BC">
        <w:tab/>
        <w:t>En el caso de las modificaciones efectuadas por distintas Comisiones, las disposiciones objeto de propuestas de textos que competan a más de una Comisión deberían identificarse a la mayor brevedad, en la medida de lo posible, de tal manera que las Comisiones competentes pudieran coordinarse entre sí y elaborar una propuesta de texto unificada que se sometiera a la Plenaria a través de la Comisión 7. Si no fuera posible identificar con antelación tal superposición y una de las Comisiones modificase un texto aprobado en el marco de la serie rosa, se solicitaría a dicha Comisión que añadiese las modificaciones con marcas de revisión a la versión en limpio del texto de la serie rosa antes de someterlo a la Comisión 7, de modo que quedase claro qué partes del texto habían sido adoptadas y cuáles eran nuevas.</w:t>
      </w:r>
    </w:p>
    <w:p w14:paraId="116835C3" w14:textId="77777777" w:rsidR="002F47A2" w:rsidRPr="00AD76BC" w:rsidRDefault="002F47A2" w:rsidP="008335C3">
      <w:pPr>
        <w:rPr>
          <w:color w:val="242424"/>
          <w:sz w:val="22"/>
          <w:szCs w:val="22"/>
          <w:bdr w:val="none" w:sz="0" w:space="0" w:color="auto" w:frame="1"/>
        </w:rPr>
      </w:pPr>
      <w:r w:rsidRPr="00AD76BC">
        <w:t>1.17</w:t>
      </w:r>
      <w:r w:rsidRPr="00AD76BC">
        <w:tab/>
        <w:t xml:space="preserve">Se </w:t>
      </w:r>
      <w:r w:rsidRPr="00AD76BC">
        <w:rPr>
          <w:b/>
          <w:bCs/>
        </w:rPr>
        <w:t>toma nota</w:t>
      </w:r>
      <w:r w:rsidRPr="00AD76BC">
        <w:t xml:space="preserve"> del informe oral del Presidente de la Comisión 7.</w:t>
      </w:r>
    </w:p>
    <w:p w14:paraId="65E338B4" w14:textId="24569166" w:rsidR="002F47A2" w:rsidRPr="00AD76BC" w:rsidRDefault="002F47A2" w:rsidP="008335C3">
      <w:pPr>
        <w:pStyle w:val="Heading1"/>
      </w:pPr>
      <w:r w:rsidRPr="00AD76BC">
        <w:t>2</w:t>
      </w:r>
      <w:r w:rsidRPr="00AD76BC">
        <w:tab/>
        <w:t>Novena serie de textos sometidos por la Comisión de Redacción en primera lectura (B9) (Documento 288)</w:t>
      </w:r>
    </w:p>
    <w:p w14:paraId="59033A70" w14:textId="77777777" w:rsidR="002F47A2" w:rsidRPr="00AD76BC" w:rsidRDefault="002F47A2" w:rsidP="008335C3">
      <w:r w:rsidRPr="00AD76BC">
        <w:t>2</w:t>
      </w:r>
      <w:r w:rsidRPr="00AD76BC">
        <w:rPr>
          <w:b/>
          <w:bCs/>
          <w:color w:val="242424"/>
          <w:sz w:val="22"/>
          <w:szCs w:val="22"/>
          <w:bdr w:val="none" w:sz="0" w:space="0" w:color="auto" w:frame="1"/>
        </w:rPr>
        <w:t>.</w:t>
      </w:r>
      <w:r w:rsidRPr="00AD76BC">
        <w:t>1</w:t>
      </w:r>
      <w:r w:rsidRPr="00AD76BC">
        <w:tab/>
        <w:t xml:space="preserve">El </w:t>
      </w:r>
      <w:r w:rsidRPr="00AD76BC">
        <w:rPr>
          <w:b/>
          <w:bCs/>
        </w:rPr>
        <w:t xml:space="preserve">Presidente de la Comisión de Redacción </w:t>
      </w:r>
      <w:r w:rsidRPr="00AD76BC">
        <w:t>presenta el Documento 288.</w:t>
      </w:r>
    </w:p>
    <w:p w14:paraId="6BE5CDDA" w14:textId="0C569DC8" w:rsidR="002F47A2" w:rsidRPr="00AD76BC" w:rsidRDefault="002F47A2" w:rsidP="00603774">
      <w:r w:rsidRPr="00AD76BC">
        <w:t>2.2</w:t>
      </w:r>
      <w:r w:rsidRPr="00AD76BC">
        <w:tab/>
        <w:t xml:space="preserve">El </w:t>
      </w:r>
      <w:r w:rsidRPr="00AD76BC">
        <w:rPr>
          <w:b/>
          <w:bCs/>
        </w:rPr>
        <w:t xml:space="preserve">Presidente </w:t>
      </w:r>
      <w:r w:rsidRPr="00AD76BC">
        <w:t>invita a</w:t>
      </w:r>
      <w:r w:rsidR="001346FA" w:rsidRPr="00AD76BC">
        <w:t xml:space="preserve"> la reunión </w:t>
      </w:r>
      <w:r w:rsidRPr="00AD76BC">
        <w:t>a examinar el Documento 288.</w:t>
      </w:r>
    </w:p>
    <w:p w14:paraId="6A170500" w14:textId="77777777" w:rsidR="002F47A2" w:rsidRPr="00AD76BC" w:rsidRDefault="002F47A2" w:rsidP="00603774">
      <w:pPr>
        <w:pStyle w:val="Headingb"/>
      </w:pPr>
      <w:r w:rsidRPr="00AD76BC">
        <w:t>MOD Resolución 804 (Rev. CMR-19); SUP Resolución 178 (CMR-19); SUP Resolución 250 (CMR-19)</w:t>
      </w:r>
    </w:p>
    <w:p w14:paraId="1027C4EB" w14:textId="77777777" w:rsidR="002F47A2" w:rsidRPr="00AD76BC" w:rsidRDefault="002F47A2" w:rsidP="00603774">
      <w:r w:rsidRPr="00AD76BC">
        <w:t>2.3</w:t>
      </w:r>
      <w:r w:rsidRPr="00AD76BC">
        <w:tab/>
        <w:t xml:space="preserve">Así se </w:t>
      </w:r>
      <w:r w:rsidRPr="00AD76BC">
        <w:rPr>
          <w:b/>
          <w:bCs/>
        </w:rPr>
        <w:t>a</w:t>
      </w:r>
      <w:r w:rsidRPr="00AD76BC">
        <w:rPr>
          <w:b/>
        </w:rPr>
        <w:t>prueba</w:t>
      </w:r>
      <w:r w:rsidRPr="00AD76BC">
        <w:t>.</w:t>
      </w:r>
    </w:p>
    <w:p w14:paraId="60BA1EC5" w14:textId="77777777" w:rsidR="002F47A2" w:rsidRPr="00AD76BC" w:rsidRDefault="002F47A2" w:rsidP="00603774">
      <w:pPr>
        <w:rPr>
          <w:bCs/>
        </w:rPr>
      </w:pPr>
      <w:r w:rsidRPr="00AD76BC">
        <w:t>2.4</w:t>
      </w:r>
      <w:r w:rsidRPr="00AD76BC">
        <w:tab/>
        <w:t>Se</w:t>
      </w:r>
      <w:r w:rsidRPr="00AD76BC">
        <w:rPr>
          <w:b/>
          <w:bCs/>
        </w:rPr>
        <w:t xml:space="preserve"> aprueba </w:t>
      </w:r>
      <w:r w:rsidRPr="00AD76BC">
        <w:t>la novena serie de textos sometidos por la Comisión de Redacción en primera lectura (B9) (Documento 288)</w:t>
      </w:r>
      <w:r w:rsidRPr="00AD76BC">
        <w:rPr>
          <w:bCs/>
        </w:rPr>
        <w:t>.</w:t>
      </w:r>
    </w:p>
    <w:p w14:paraId="5F3B5CA2" w14:textId="2DC2C6EF" w:rsidR="002F47A2" w:rsidRPr="00AD76BC" w:rsidRDefault="002F47A2" w:rsidP="00603774">
      <w:pPr>
        <w:pStyle w:val="Heading1"/>
      </w:pPr>
      <w:r w:rsidRPr="00AD76BC">
        <w:t>3</w:t>
      </w:r>
      <w:r w:rsidRPr="00AD76BC">
        <w:tab/>
        <w:t>Novena serie de textos sometidos por la Comisión de Redacción (B9) - segunda lectura (Documento 288)</w:t>
      </w:r>
    </w:p>
    <w:p w14:paraId="035D905E" w14:textId="2814AFFA" w:rsidR="002F47A2" w:rsidRPr="00AD76BC" w:rsidRDefault="002F47A2" w:rsidP="00603774">
      <w:r w:rsidRPr="00AD76BC">
        <w:t>3.1</w:t>
      </w:r>
      <w:r w:rsidRPr="00AD76BC">
        <w:tab/>
        <w:t xml:space="preserve">La novena serie de textos sometidos por la Comisión de Redacción (B9) (Documento 288) se </w:t>
      </w:r>
      <w:r w:rsidRPr="00AD76BC">
        <w:rPr>
          <w:b/>
          <w:bCs/>
        </w:rPr>
        <w:t xml:space="preserve">aprueba </w:t>
      </w:r>
      <w:r w:rsidRPr="00AD76BC">
        <w:t>en segunda lectura.</w:t>
      </w:r>
    </w:p>
    <w:p w14:paraId="37780DA3" w14:textId="4C9F1A6C" w:rsidR="002F47A2" w:rsidRPr="00AD76BC" w:rsidRDefault="002F47A2" w:rsidP="00603774">
      <w:r w:rsidRPr="00AD76BC">
        <w:lastRenderedPageBreak/>
        <w:t>3.2</w:t>
      </w:r>
      <w:r w:rsidRPr="00AD76BC">
        <w:tab/>
        <w:t xml:space="preserve">En respuesta a una cuestión planteada por el </w:t>
      </w:r>
      <w:r w:rsidRPr="00AD76BC">
        <w:rPr>
          <w:b/>
        </w:rPr>
        <w:t xml:space="preserve">Presidente de la Comisión 6, </w:t>
      </w:r>
      <w:r w:rsidRPr="00AD76BC">
        <w:t xml:space="preserve">el </w:t>
      </w:r>
      <w:r w:rsidRPr="00AD76BC">
        <w:rPr>
          <w:b/>
        </w:rPr>
        <w:t xml:space="preserve">Presidente </w:t>
      </w:r>
      <w:r w:rsidR="001346FA" w:rsidRPr="00AD76BC">
        <w:t>solicita</w:t>
      </w:r>
      <w:r w:rsidRPr="00AD76BC">
        <w:t xml:space="preserve"> que la Plenaria acuerd</w:t>
      </w:r>
      <w:r w:rsidR="001346FA" w:rsidRPr="00AD76BC">
        <w:t>e</w:t>
      </w:r>
      <w:r w:rsidRPr="00AD76BC">
        <w:t xml:space="preserve"> que la Resolución 804 (Rev. CMR-23) entre en vigor con efecto inmediato.</w:t>
      </w:r>
    </w:p>
    <w:p w14:paraId="13AFF57E" w14:textId="46877D72" w:rsidR="002F47A2" w:rsidRPr="00AD76BC" w:rsidRDefault="002F47A2" w:rsidP="00603774">
      <w:r w:rsidRPr="00AD76BC">
        <w:t>3.3</w:t>
      </w:r>
      <w:r w:rsidRPr="00AD76BC">
        <w:tab/>
        <w:t xml:space="preserve">Así se </w:t>
      </w:r>
      <w:r w:rsidRPr="00AD76BC">
        <w:rPr>
          <w:b/>
        </w:rPr>
        <w:t>acuerda</w:t>
      </w:r>
      <w:r w:rsidRPr="00AD76BC">
        <w:t>.</w:t>
      </w:r>
    </w:p>
    <w:p w14:paraId="60699CFE" w14:textId="56E46391" w:rsidR="002F47A2" w:rsidRPr="00AD76BC" w:rsidRDefault="002F47A2" w:rsidP="00603774">
      <w:pPr>
        <w:pStyle w:val="Heading1"/>
      </w:pPr>
      <w:r w:rsidRPr="00AD76BC">
        <w:t>4</w:t>
      </w:r>
      <w:r w:rsidRPr="00AD76BC">
        <w:tab/>
        <w:t>Décima serie de textos sometidos por la Comisión de Redacción en primera lectura (B10) (Documento 289)</w:t>
      </w:r>
    </w:p>
    <w:p w14:paraId="4EB89B48" w14:textId="77777777" w:rsidR="002F47A2" w:rsidRPr="00AD76BC" w:rsidRDefault="002F47A2" w:rsidP="00603774">
      <w:r w:rsidRPr="00AD76BC">
        <w:t>4.1</w:t>
      </w:r>
      <w:r w:rsidRPr="00AD76BC">
        <w:tab/>
        <w:t xml:space="preserve">El </w:t>
      </w:r>
      <w:r w:rsidRPr="00AD76BC">
        <w:rPr>
          <w:b/>
          <w:bCs/>
        </w:rPr>
        <w:t>Presidente de la Comisión de Redacción</w:t>
      </w:r>
      <w:r w:rsidRPr="00AD76BC">
        <w:t xml:space="preserve"> presenta el Documento 289.</w:t>
      </w:r>
    </w:p>
    <w:p w14:paraId="1B29FF49" w14:textId="6DCF3486" w:rsidR="002F47A2" w:rsidRPr="00AD76BC" w:rsidRDefault="002F47A2" w:rsidP="00603774">
      <w:r w:rsidRPr="00AD76BC">
        <w:t>4.2</w:t>
      </w:r>
      <w:r w:rsidRPr="00AD76BC">
        <w:tab/>
        <w:t xml:space="preserve">El </w:t>
      </w:r>
      <w:r w:rsidRPr="00AD76BC">
        <w:rPr>
          <w:b/>
          <w:bCs/>
        </w:rPr>
        <w:t xml:space="preserve">Presidente </w:t>
      </w:r>
      <w:r w:rsidRPr="00AD76BC">
        <w:t>invita a</w:t>
      </w:r>
      <w:r w:rsidR="001346FA" w:rsidRPr="00AD76BC">
        <w:t xml:space="preserve"> la reunión </w:t>
      </w:r>
      <w:r w:rsidRPr="00AD76BC">
        <w:t>a examinar el Documento 289.</w:t>
      </w:r>
    </w:p>
    <w:p w14:paraId="35335D1A" w14:textId="291371DF" w:rsidR="002F47A2" w:rsidRPr="00AD76BC" w:rsidRDefault="002F47A2" w:rsidP="00603774">
      <w:pPr>
        <w:pStyle w:val="Headingb"/>
      </w:pPr>
      <w:r w:rsidRPr="00AD76BC">
        <w:t>Artículo 5 (MOD 5.527A); Artículo 22 (MOD 22.5CA); Apéndice 4 (MOD Cuadro A); MOD</w:t>
      </w:r>
      <w:r w:rsidR="00603774" w:rsidRPr="00AD76BC">
        <w:t> </w:t>
      </w:r>
      <w:r w:rsidRPr="00AD76BC">
        <w:t>Resolución 25 (Rev.CMR-03); MOD Resolución 140 (Rev. CMR-15); MOD Resolución</w:t>
      </w:r>
      <w:r w:rsidR="00603774" w:rsidRPr="00AD76BC">
        <w:t> </w:t>
      </w:r>
      <w:r w:rsidRPr="00AD76BC">
        <w:t>156 (CMR-15)</w:t>
      </w:r>
    </w:p>
    <w:p w14:paraId="0E877029" w14:textId="77777777" w:rsidR="002F47A2" w:rsidRPr="00AD76BC" w:rsidRDefault="002F47A2" w:rsidP="00603774">
      <w:r w:rsidRPr="00AD76BC">
        <w:t>4.3</w:t>
      </w:r>
      <w:r w:rsidRPr="00AD76BC">
        <w:tab/>
        <w:t xml:space="preserve">Así se </w:t>
      </w:r>
      <w:r w:rsidRPr="00AD76BC">
        <w:rPr>
          <w:b/>
          <w:bCs/>
        </w:rPr>
        <w:t>a</w:t>
      </w:r>
      <w:r w:rsidRPr="00AD76BC">
        <w:rPr>
          <w:b/>
        </w:rPr>
        <w:t>prueba</w:t>
      </w:r>
      <w:r w:rsidRPr="00AD76BC">
        <w:t>.</w:t>
      </w:r>
    </w:p>
    <w:p w14:paraId="7CE693D5" w14:textId="77777777" w:rsidR="002F47A2" w:rsidRPr="00AD76BC" w:rsidRDefault="002F47A2" w:rsidP="00603774">
      <w:pPr>
        <w:rPr>
          <w:bCs/>
        </w:rPr>
      </w:pPr>
      <w:r w:rsidRPr="00AD76BC">
        <w:t>4.4</w:t>
      </w:r>
      <w:r w:rsidRPr="00AD76BC">
        <w:tab/>
        <w:t>Se</w:t>
      </w:r>
      <w:r w:rsidRPr="00AD76BC">
        <w:rPr>
          <w:b/>
          <w:bCs/>
        </w:rPr>
        <w:t xml:space="preserve"> aprueba </w:t>
      </w:r>
      <w:r w:rsidRPr="00AD76BC">
        <w:t>la décima serie de textos sometidos por la Comisión de Redacción en primera lectura (B10) (Documento 289)</w:t>
      </w:r>
      <w:r w:rsidRPr="00AD76BC">
        <w:rPr>
          <w:bCs/>
        </w:rPr>
        <w:t>.</w:t>
      </w:r>
    </w:p>
    <w:p w14:paraId="34C24266" w14:textId="77777777" w:rsidR="002F47A2" w:rsidRPr="00AD76BC" w:rsidRDefault="002F47A2" w:rsidP="00603774">
      <w:pPr>
        <w:pStyle w:val="Heading1"/>
      </w:pPr>
      <w:r w:rsidRPr="00AD76BC">
        <w:t>5</w:t>
      </w:r>
      <w:r w:rsidRPr="00AD76BC">
        <w:tab/>
        <w:t>Décima serie de textos sometidos por la Comisión de Redacción (B10) - segunda lectura (Documento 289)</w:t>
      </w:r>
    </w:p>
    <w:p w14:paraId="1B7A0BD0" w14:textId="77777777" w:rsidR="002F47A2" w:rsidRPr="00AD76BC" w:rsidRDefault="002F47A2" w:rsidP="00603774">
      <w:r w:rsidRPr="00AD76BC">
        <w:t>5.1</w:t>
      </w:r>
      <w:r w:rsidRPr="00AD76BC">
        <w:tab/>
        <w:t xml:space="preserve">La décima serie de textos sometidos por la Comisión de Redacción (B10) (Documento 289) se </w:t>
      </w:r>
      <w:r w:rsidRPr="00AD76BC">
        <w:rPr>
          <w:b/>
          <w:bCs/>
        </w:rPr>
        <w:t xml:space="preserve">aprueba </w:t>
      </w:r>
      <w:r w:rsidRPr="00AD76BC">
        <w:t>en segunda lectura.</w:t>
      </w:r>
    </w:p>
    <w:p w14:paraId="3423EC5A" w14:textId="77777777" w:rsidR="002F47A2" w:rsidRPr="00AD76BC" w:rsidRDefault="002F47A2" w:rsidP="008A44A1">
      <w:pPr>
        <w:pStyle w:val="Heading1"/>
      </w:pPr>
      <w:r w:rsidRPr="00AD76BC">
        <w:t>6</w:t>
      </w:r>
      <w:r w:rsidRPr="00AD76BC">
        <w:tab/>
        <w:t>Aprobación de las actas de la primera, la segunda y la tercera sesiones plenarias (Documentos 236, 258 y 264)</w:t>
      </w:r>
    </w:p>
    <w:p w14:paraId="612EFE9A" w14:textId="12FE69D7" w:rsidR="002F47A2" w:rsidRPr="00AD76BC" w:rsidRDefault="002F47A2" w:rsidP="008A44A1">
      <w:r w:rsidRPr="00AD76BC">
        <w:t>6.1</w:t>
      </w:r>
      <w:r w:rsidRPr="00AD76BC">
        <w:tab/>
        <w:t xml:space="preserve">Se </w:t>
      </w:r>
      <w:r w:rsidRPr="00AD76BC">
        <w:rPr>
          <w:b/>
        </w:rPr>
        <w:t xml:space="preserve">aprueban </w:t>
      </w:r>
      <w:r w:rsidRPr="00AD76BC">
        <w:t>las actas de la primera, la segunda y la tercera sesiones plenarias (Documentos 236, 258 y 264), con una corrección formal en el epígrafe del § 3.2 del documento</w:t>
      </w:r>
      <w:r w:rsidR="008A44A1" w:rsidRPr="00AD76BC">
        <w:t> </w:t>
      </w:r>
      <w:r w:rsidRPr="00AD76BC">
        <w:t>264.</w:t>
      </w:r>
    </w:p>
    <w:p w14:paraId="62EA45D7" w14:textId="77777777" w:rsidR="002F47A2" w:rsidRPr="00AD76BC" w:rsidRDefault="002F47A2" w:rsidP="008A44A1">
      <w:pPr>
        <w:pStyle w:val="Heading1"/>
      </w:pPr>
      <w:r w:rsidRPr="00AD76BC">
        <w:t>7</w:t>
      </w:r>
      <w:r w:rsidRPr="00AD76BC">
        <w:tab/>
        <w:t>Declaración de la Sra. Aarti Holla-Maini, Directora de la Oficina de Asuntos del Espacio Ultraterrestre de las Naciones Unidas</w:t>
      </w:r>
    </w:p>
    <w:p w14:paraId="50863886" w14:textId="77777777" w:rsidR="002F47A2" w:rsidRPr="00AD76BC" w:rsidRDefault="002F47A2" w:rsidP="008A44A1">
      <w:r w:rsidRPr="00AD76BC">
        <w:t>7.1</w:t>
      </w:r>
      <w:r w:rsidRPr="00AD76BC">
        <w:tab/>
        <w:t xml:space="preserve">La </w:t>
      </w:r>
      <w:r w:rsidRPr="00AD76BC">
        <w:rPr>
          <w:b/>
          <w:bCs/>
        </w:rPr>
        <w:t>Sra. Holla-Maini, Directora de la Oficina de Asuntos del Espacio Ultraterrestre de las Naciones Unidas</w:t>
      </w:r>
      <w:r w:rsidRPr="00AD76BC">
        <w:t>, pronuncia el discurso que figura en el Anexo A.</w:t>
      </w:r>
    </w:p>
    <w:p w14:paraId="48334A57" w14:textId="77777777" w:rsidR="002F47A2" w:rsidRPr="00AD76BC" w:rsidRDefault="002F47A2" w:rsidP="008A44A1">
      <w:pPr>
        <w:pStyle w:val="Heading1"/>
      </w:pPr>
      <w:r w:rsidRPr="00AD76BC">
        <w:t>8</w:t>
      </w:r>
      <w:r w:rsidRPr="00AD76BC">
        <w:tab/>
        <w:t>Fiesta nacional de los Emiratos Árabes Unidos</w:t>
      </w:r>
    </w:p>
    <w:p w14:paraId="72B7C764" w14:textId="77777777" w:rsidR="002F47A2" w:rsidRPr="00AD76BC" w:rsidRDefault="002F47A2" w:rsidP="008A44A1">
      <w:r w:rsidRPr="00AD76BC">
        <w:t>8.1</w:t>
      </w:r>
      <w:r w:rsidRPr="00AD76BC">
        <w:tab/>
        <w:t xml:space="preserve">El </w:t>
      </w:r>
      <w:r w:rsidRPr="00AD76BC">
        <w:rPr>
          <w:b/>
        </w:rPr>
        <w:t xml:space="preserve">delegado de Arabia Saudita </w:t>
      </w:r>
      <w:r w:rsidRPr="00AD76BC">
        <w:t>felicita a los Emiratos Árabes Unidos por el 52º aniversario de su fiesta nacional, que se celebrará el sábado 2 de diciembre. A continuación, señala que su delegación se esforzará al máximo por alcanzar un consenso en torno a todos los puntos del orden del día y solicita a los demás que obren del mismo modo.</w:t>
      </w:r>
    </w:p>
    <w:p w14:paraId="0F6934BA" w14:textId="47268151" w:rsidR="002F47A2" w:rsidRPr="00AD76BC" w:rsidRDefault="002F47A2" w:rsidP="008A44A1">
      <w:pPr>
        <w:rPr>
          <w:bCs/>
        </w:rPr>
      </w:pPr>
      <w:r w:rsidRPr="00AD76BC">
        <w:rPr>
          <w:bCs/>
        </w:rPr>
        <w:t>8.2</w:t>
      </w:r>
      <w:r w:rsidRPr="00AD76BC">
        <w:rPr>
          <w:bCs/>
        </w:rPr>
        <w:tab/>
        <w:t xml:space="preserve">El </w:t>
      </w:r>
      <w:r w:rsidRPr="00AD76BC">
        <w:rPr>
          <w:b/>
          <w:bCs/>
        </w:rPr>
        <w:t xml:space="preserve">Presidente </w:t>
      </w:r>
      <w:r w:rsidRPr="00AD76BC">
        <w:rPr>
          <w:bCs/>
        </w:rPr>
        <w:t>insta a los participantes a adoptar ese mismo espíritu de colaboración.</w:t>
      </w:r>
    </w:p>
    <w:p w14:paraId="52187E8A" w14:textId="2B3BE043" w:rsidR="002F47A2" w:rsidRPr="00AD76BC" w:rsidRDefault="002F47A2" w:rsidP="008A44A1">
      <w:pPr>
        <w:rPr>
          <w:bCs/>
        </w:rPr>
      </w:pPr>
      <w:r w:rsidRPr="00AD76BC">
        <w:rPr>
          <w:bCs/>
        </w:rPr>
        <w:t>8.3</w:t>
      </w:r>
      <w:r w:rsidRPr="00AD76BC">
        <w:rPr>
          <w:bCs/>
        </w:rPr>
        <w:tab/>
        <w:t xml:space="preserve">El </w:t>
      </w:r>
      <w:r w:rsidRPr="00AD76BC">
        <w:rPr>
          <w:b/>
          <w:bCs/>
        </w:rPr>
        <w:t xml:space="preserve">delegado de los Emiratos Árabes Unidos </w:t>
      </w:r>
      <w:r w:rsidRPr="00AD76BC">
        <w:rPr>
          <w:bCs/>
        </w:rPr>
        <w:t>declara que la fiesta nacional significa mucho para todos los emiratíes y que su delegación aguarda con impaciencia poder compartir esa alegre ocasión con los participantes en la Conferencia.</w:t>
      </w:r>
    </w:p>
    <w:p w14:paraId="7C633E5C" w14:textId="77777777" w:rsidR="002F47A2" w:rsidRPr="00AD76BC" w:rsidRDefault="002F47A2" w:rsidP="008A44A1">
      <w:pPr>
        <w:pStyle w:val="Headingb"/>
      </w:pPr>
      <w:r w:rsidRPr="00AD76BC">
        <w:lastRenderedPageBreak/>
        <w:t>Se levanta la sesión a las 17.00 horas.</w:t>
      </w:r>
    </w:p>
    <w:p w14:paraId="13891DC3" w14:textId="791894F5" w:rsidR="002F47A2" w:rsidRPr="00AD76BC" w:rsidRDefault="002F47A2" w:rsidP="008A44A1">
      <w:pPr>
        <w:tabs>
          <w:tab w:val="clear" w:pos="2268"/>
          <w:tab w:val="left" w:pos="7230"/>
        </w:tabs>
        <w:spacing w:before="480" w:after="120"/>
      </w:pPr>
      <w:r w:rsidRPr="00AD76BC">
        <w:t>La Secretaria General:</w:t>
      </w:r>
      <w:r w:rsidRPr="00AD76BC">
        <w:tab/>
        <w:t>El Presidente:</w:t>
      </w:r>
    </w:p>
    <w:p w14:paraId="0E4777DE" w14:textId="31842F12" w:rsidR="002F47A2" w:rsidRPr="00AD76BC" w:rsidRDefault="002F47A2" w:rsidP="008A44A1">
      <w:pPr>
        <w:tabs>
          <w:tab w:val="clear" w:pos="2268"/>
          <w:tab w:val="left" w:pos="7230"/>
        </w:tabs>
        <w:spacing w:after="120"/>
      </w:pPr>
      <w:r w:rsidRPr="00AD76BC">
        <w:t>D. BOGDAN-MARTIN</w:t>
      </w:r>
      <w:r w:rsidRPr="00AD76BC">
        <w:tab/>
        <w:t>M. AL RAMSI</w:t>
      </w:r>
    </w:p>
    <w:p w14:paraId="54DB475F" w14:textId="2EBAC9D8" w:rsidR="002F47A2" w:rsidRPr="00AD76BC" w:rsidRDefault="002F47A2" w:rsidP="008A44A1">
      <w:pPr>
        <w:spacing w:before="720" w:after="120"/>
      </w:pPr>
      <w:r w:rsidRPr="00AD76BC">
        <w:rPr>
          <w:b/>
        </w:rPr>
        <w:t>Anexo</w:t>
      </w:r>
      <w:r w:rsidRPr="00AD76BC">
        <w:t>: 1</w:t>
      </w:r>
    </w:p>
    <w:p w14:paraId="4EDE28A1" w14:textId="3BC97511" w:rsidR="0029512B" w:rsidRPr="00AD76BC" w:rsidRDefault="0029512B">
      <w:pPr>
        <w:tabs>
          <w:tab w:val="clear" w:pos="1134"/>
          <w:tab w:val="clear" w:pos="1871"/>
          <w:tab w:val="clear" w:pos="2268"/>
        </w:tabs>
        <w:overflowPunct/>
        <w:autoSpaceDE/>
        <w:autoSpaceDN/>
        <w:adjustRightInd/>
        <w:spacing w:before="0"/>
        <w:textAlignment w:val="auto"/>
      </w:pPr>
      <w:r w:rsidRPr="00AD76BC">
        <w:br w:type="page"/>
      </w:r>
    </w:p>
    <w:p w14:paraId="1974BD82" w14:textId="77777777" w:rsidR="008B2514" w:rsidRPr="00AD76BC" w:rsidRDefault="008B2514" w:rsidP="008B2514">
      <w:pPr>
        <w:jc w:val="right"/>
      </w:pPr>
      <w:r w:rsidRPr="00AD76BC">
        <w:lastRenderedPageBreak/>
        <w:t>Original: inglés</w:t>
      </w:r>
    </w:p>
    <w:p w14:paraId="2E96ED35" w14:textId="77777777" w:rsidR="008B2514" w:rsidRPr="00AD76BC" w:rsidRDefault="008B2514" w:rsidP="008B2514">
      <w:pPr>
        <w:pStyle w:val="AnnexNo"/>
        <w:spacing w:after="120"/>
      </w:pPr>
      <w:r w:rsidRPr="00AD76BC">
        <w:t>ANEXO A</w:t>
      </w:r>
    </w:p>
    <w:p w14:paraId="6F16E0F2" w14:textId="77777777" w:rsidR="008B2514" w:rsidRPr="00AD76BC" w:rsidRDefault="008B2514" w:rsidP="008B2514">
      <w:pPr>
        <w:pStyle w:val="Annextitle"/>
        <w:spacing w:after="120"/>
        <w:rPr>
          <w:rFonts w:ascii="Times New Roman" w:hAnsi="Times New Roman"/>
          <w:b w:val="0"/>
          <w:bCs/>
        </w:rPr>
      </w:pPr>
      <w:r w:rsidRPr="00AD76BC">
        <w:rPr>
          <w:rFonts w:ascii="Times New Roman" w:hAnsi="Times New Roman"/>
        </w:rPr>
        <w:t>Declaración de la Sra. Aarti Holla-Maini, Oficina de Asuntos del Espacio Ultraterrestre de las Naciones Unidas</w:t>
      </w:r>
    </w:p>
    <w:p w14:paraId="4497C53A" w14:textId="5C27A99C" w:rsidR="008B2514" w:rsidRPr="00AD76BC" w:rsidRDefault="008B2514" w:rsidP="008B2514">
      <w:pPr>
        <w:pStyle w:val="Normalaftertitle"/>
      </w:pPr>
      <w:r w:rsidRPr="00AD76BC">
        <w:t>Señora Secretaria General de la UIT, Estimada Doreen,</w:t>
      </w:r>
      <w:r w:rsidRPr="00AD76BC">
        <w:br/>
        <w:t>Señor Director de la Oficina de Radiocomunicaciones, Estimado Mario,</w:t>
      </w:r>
      <w:r w:rsidRPr="00AD76BC">
        <w:br/>
        <w:t>Sr. Mohammed Al Ramsi, Presidente de la CMR-23,</w:t>
      </w:r>
    </w:p>
    <w:p w14:paraId="0D7627FA" w14:textId="78A2A26E" w:rsidR="008B2514" w:rsidRPr="00AD76BC" w:rsidRDefault="008B2514" w:rsidP="008B2514">
      <w:r w:rsidRPr="00AD76BC">
        <w:t>Distinguidos delegados:</w:t>
      </w:r>
    </w:p>
    <w:p w14:paraId="544B1436" w14:textId="77777777" w:rsidR="008B2514" w:rsidRPr="00AD76BC" w:rsidRDefault="008B2514" w:rsidP="008B2514">
      <w:r w:rsidRPr="00AD76BC">
        <w:t>Gracias por brindarme la palabra. Tras muchos años de colaboración con la UIT y con distinguidos delegados como representante de la industria, me complace dirigirme a la Conferencia Mundial de Radiocomunicaciones de la UIT, ahora en mi calidad de Directora de la Oficina de Asuntos del Espacio Ultraterrestre de las Naciones Unidas, más conocida como UNOOSA.</w:t>
      </w:r>
    </w:p>
    <w:p w14:paraId="5F533FCB" w14:textId="77777777" w:rsidR="008B2514" w:rsidRPr="00AD76BC" w:rsidRDefault="008B2514" w:rsidP="008B2514">
      <w:r w:rsidRPr="00AD76BC">
        <w:t xml:space="preserve">Aunque tengo la certeza de que todos ustedes saben algo sobre el espacio, no estoy segura de cuántos delegados conocen la UNOOSA. Así pues, permítanme empezar por ahí. La UNOOSA es la oficina de las Naciones Unidas enteramente dedicada a los asuntos espaciales. Actúa como secretaría de la Comisión sobre la Utilización del Espacio Ultraterrestre con Fines Pacíficos (COPUOS), que recientemente se ocupó de la adopción de las Directrices relativas a la sostenibilidad a largo plazo de las actividades en el espacio ultraterrestre, y es la entidad responsable del espacio en el marco de los Objetivos de Desarrollo Sostenible (ODS) del sistema de las Naciones Unidas. </w:t>
      </w:r>
    </w:p>
    <w:p w14:paraId="17C34955" w14:textId="77777777" w:rsidR="008B2514" w:rsidRPr="00AD76BC" w:rsidRDefault="008B2514" w:rsidP="008B2514">
      <w:r w:rsidRPr="00AD76BC">
        <w:t>La oficina se centra en la capacitación de los Estados Miembros de las Naciones Unidas, con programas temáticos como Space4Water, Space4Climate y Space4Women, entre otros. En el marco de nuestro programa Acceso al Espacio para Todos, hemos ayudado a países que aún no habían viajado al espacio, como Kenya, Guatemala, Moldova y Mauricio, a convertirse en países con capacidad espacial para lanzar sus primeros satélites, lo que les ha permitido impulsar la educación en ciencias, tecnología, ingeniería y matemáticas a nivel nacional y activar sus respectivas economías espaciales. Ayudamos a los países a cumplir la reglamentación internacional registrando con nosotros sus objetos lanzados al espacio y les ayudamos a poner en práctica instrumentos legislativos y políticas espaciales.</w:t>
      </w:r>
    </w:p>
    <w:p w14:paraId="39E0FBA6" w14:textId="51299D2A" w:rsidR="008B2514" w:rsidRPr="00AD76BC" w:rsidRDefault="008B2514" w:rsidP="008B2514">
      <w:r w:rsidRPr="00AD76BC">
        <w:t>A través de la Plataforma de las Naciones Unidas de Información Obtenida desde el Espacio para la Gestión de Desastres y la Respuesta de Emergencia (ONU-SPIDER), hemos llevado a cabo hasta ahora 36 misiones de indagación para estudiar las necesidades sobre el terreno en países vulnerables y unas 40 misiones de fortalecimiento institucional en las que coordinamos ministerios y formamos a profesionales de organismos de gestión de catástrofes sobre cómo acceder a datos espaciales en tiempos de catástrofe y cómo utilizarlos.</w:t>
      </w:r>
    </w:p>
    <w:p w14:paraId="0722EADF" w14:textId="77777777" w:rsidR="008B2514" w:rsidRPr="00AD76BC" w:rsidRDefault="008B2514" w:rsidP="008B2514">
      <w:r w:rsidRPr="00AD76BC">
        <w:t>Nuestra labor está concebida, ante todo, para ayudar a todos los Estados Miembros de las Naciones Unidas, especialmente a los países en desarrollo, a acceder a los beneficios del espacio y aprovecharlos con el fin de acelerar el desarrollo sostenible. Pero los beneficios son innumerables y no podemos conseguir ese objetivo solos. Por esa razón, la UNOOSA dirige la Reunión Interinstitucional sobre las Actividades relativas al Espacio Ultraterrestre (ONU-Espacio), el mecanismo de coordinación interinstitucional mediante el que congregamos a otras 33 entidades y organismos especializados de las Naciones Unidas que trabajan en asuntos relacionados con el espacio o tienen interés en utilizarlo, entre ellos la UIT.</w:t>
      </w:r>
    </w:p>
    <w:p w14:paraId="61991F23" w14:textId="77777777" w:rsidR="008B2514" w:rsidRPr="00AD76BC" w:rsidRDefault="008B2514" w:rsidP="008B2514">
      <w:r w:rsidRPr="00AD76BC">
        <w:lastRenderedPageBreak/>
        <w:t>Entre otras cosas, la UIT es la entidad responsable de las telecomunicaciones para el desarrollo sostenible y, en el marco de esa misión, el espacio es una parte que adquiere suma importancia y crece con rapidez. Mientras la UIT convoca a distinguidos delegados de los organismos nacionales de reglamentación de las telecomunicaciones, la UNOOSA y la COPUOS reúnen a distinguidos delegados de agencias y expertos espaciales de los ministerios nacionales de asuntos exteriores, etc. Así como los delegados de la UIT conocen en profundidad los sistemas de telecomunicaciones, los delegados de la COPUOS tienen un profundo conocimiento de los sistemas espaciales y de su sostenibilidad, como lo demuestra el extenso trabajo realizado para elaborar las Directrices relativas a la sostenibilidad a largo plazo de las actividades en el espacio ultraterrestre, que adoptaron por consenso en 2019.</w:t>
      </w:r>
    </w:p>
    <w:p w14:paraId="4A4C6F69" w14:textId="77777777" w:rsidR="008B2514" w:rsidRPr="00AD76BC" w:rsidRDefault="008B2514" w:rsidP="008B2514">
      <w:r w:rsidRPr="00AD76BC">
        <w:t>Un aspecto imperativo para la misión y los mandatos de la UNOOSA y la COPUOS es preservar el entorno espacial, habida cuenta de los beneficios que hoy nos aporta y que seguirá aportando a las generaciones venideras. En este sentido, la UNOOSA ve la urgente necesidad de tender puentes e impulsar una mayor cooperación entre los delegados de la UIT y de la COPUOS, que, aun perteneciendo en ambos casos a Estados Miembros de las Naciones Unidas, trabajan en carteras diferentes, aunque conexas.</w:t>
      </w:r>
    </w:p>
    <w:p w14:paraId="715AE5FC" w14:textId="77777777" w:rsidR="008B2514" w:rsidRPr="00AD76BC" w:rsidRDefault="008B2514" w:rsidP="008B2514">
      <w:r w:rsidRPr="00AD76BC">
        <w:t>Doy las gracias a los distinguidos delegados por la resolución adoptada durante la Asamblea de Radiocomunicaciones sobre las actividades relacionadas con la utilización sostenible del espectro de frecuencias radioeléctricas y los recursos de órbita de satélite conexos utilizados por los servicios espaciales. El esfuerzo realizado para llegar a esa resolución demuestra la cooperación internacional existente entre la UIT y la UNOOSA. De cara al futuro, buscaremos de forma proactiva nuevas oportunidades que mejoren la comprensión y los conocimientos de los distinguidos delegados de ambas partes, por ejemplo, invitando a organismos nacionales de reglamentación de las telecomunicaciones y a funcionarios de la UIT a intercambiar opiniones y a comunicarse con la COPUOS. Aunque nuestra colaboración comenzó con la BR, esperamos llegar a un acuerdo más amplio entre la UNOOSA y la UIT para que, al tiempo que la UNOOSA trata de extraer el mayor beneficio posible de la tecnología, los datos y los servicios espaciales en general, velemos también, en colaboración con la UIT, por que los servicios de comunicación por satélite sean parte integrante de nuestra labor al servicio de los ODS de las Naciones Unidas, a nivel mundial, y de las necesidades de cada uno de los Estados Miembros de las Naciones Unidas a nivel local.</w:t>
      </w:r>
    </w:p>
    <w:p w14:paraId="4735E264" w14:textId="5C6ED9E5" w:rsidR="008B2514" w:rsidRPr="00AD76BC" w:rsidRDefault="008B2514" w:rsidP="008B2514">
      <w:r w:rsidRPr="00AD76BC">
        <w:t>Permítanme concluir señalando algunos ámbitos de la labor de esta CMR que revisten una importancia fundamental para el mandato de la UNOOSA. En 2015, la UNOOSA aunó esfuerzos con la Oficina de las Naciones Unidas para la Reducción del Riesgo de Desastres, la Organización Meteorológica Mundial (OMM) y otros asociados con el objeto de poner en marcha la Red Internacional de Sistemas de Alerta Temprana Multirriesgos (IN-MHEWS). Esta red, que la UNOOSA y la OMM copresiden desde hace casi un decenio, se basa en imágenes de satélite para mejorar el funcionamiento de los sistemas de alerta temprana que tratan de hacer frente a distintos tipos de peligros naturales. En virtud de una decisión de la CMR-15, se amplió de 600 MHz a 1200 MHz el ancho de banda para la adquisición de imágenes de radar de abertura sintética a 10 GHz, lo que permitió desarrollar estas capacidades hasta lograr la obtención de imágenes de alta resolución de menos de 25 cm, que no son posibles en ninguna otra banda de frecuencias. Estas imágenes satelitales de radar de abertura sintética son útiles para apoyar no solo las redes de alerta temprana, sino también muchas otras aplicaciones, como la vigilancia ambiental (deforestación, gestión del agua, etc.), el control de la pesca ilegal, la agricultura sostenible, la acción por el clima y la gestión de catástrofes, todos ellos ámbitos sobre los que debatiré esta semana en la CP-28, que se celebra también aquí en Dubái. Una revocación de la decisión de la CMR-15 en la presente Conferencia eliminaría nuestra capacidad de acceder a imágenes de alta resolución, dejándonos sin alternativa alguna.</w:t>
      </w:r>
    </w:p>
    <w:p w14:paraId="793AFB41" w14:textId="2834A029" w:rsidR="008B2514" w:rsidRPr="00AD76BC" w:rsidRDefault="008B2514" w:rsidP="008B2514">
      <w:r w:rsidRPr="00AD76BC">
        <w:lastRenderedPageBreak/>
        <w:t>Además, la UNOOSA dirige un programa sobre salud mundial que, entre otras cosas, aborda cuestiones de seguridad alimentaria e inmigración. Los sistemas de satélites son fundamentales para garantizar que la asistencia sanitaria, los alimentos y demás suministros lleguen a los millones de personas que viven en lugares remotos o en zonas costeras vulnerables. El Programa Mundial de Alimentos de las Naciones Unidas utiliza la banda C para conectar 270 emplazamientos en 75 países, mayoritariamente en África. ACNUR depende de los servicios de comunicación por satélite de la banda C, de eficacia probada, en numerosas ubicaciones de todo el mundo. La banda C sigue siendo un pilar importante para los sistemas de salud y de ayuda alimentaria. Confío en que los distinguidos delegados vuelvan a tomar debida nota de esos sistemas necesarios para la labor del sistema de las Naciones Unidas en general.</w:t>
      </w:r>
    </w:p>
    <w:p w14:paraId="66C5E027" w14:textId="77777777" w:rsidR="008B2514" w:rsidRPr="00AD76BC" w:rsidRDefault="008B2514" w:rsidP="008B2514">
      <w:r w:rsidRPr="00AD76BC">
        <w:t>Estos ejemplos, que se inscriben en el orden del día de la CMR-23, son de interés para la UNOOSA en el marco de su mandato de maximizar el uso de soluciones espaciales para los ODS. Espero que consideren pertinente esta breve orientación sobre nuestra labor para sus deliberaciones y agradezco, una vez más, a la UIT la oportunidad de dirigirme a este estimado foro. Por último, quisiera felicitar a los Emiratos Árabes Unidos por su próximo Día Nacional.</w:t>
      </w:r>
    </w:p>
    <w:p w14:paraId="60B25C07" w14:textId="77777777" w:rsidR="00AD76BC" w:rsidRPr="00AD76BC" w:rsidRDefault="00AD76BC" w:rsidP="00411C49">
      <w:pPr>
        <w:pStyle w:val="Reasons"/>
      </w:pPr>
    </w:p>
    <w:p w14:paraId="35816112" w14:textId="77777777" w:rsidR="00AD76BC" w:rsidRPr="00AD76BC" w:rsidRDefault="00AD76BC">
      <w:pPr>
        <w:jc w:val="center"/>
      </w:pPr>
      <w:r w:rsidRPr="00AD76BC">
        <w:t>______________</w:t>
      </w:r>
    </w:p>
    <w:sectPr w:rsidR="00AD76BC" w:rsidRPr="00AD76BC">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D67F" w14:textId="77777777" w:rsidR="002F47A2" w:rsidRDefault="002F47A2">
      <w:r>
        <w:separator/>
      </w:r>
    </w:p>
  </w:endnote>
  <w:endnote w:type="continuationSeparator" w:id="0">
    <w:p w14:paraId="2410E463" w14:textId="77777777" w:rsidR="002F47A2" w:rsidRDefault="002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29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523D9" w14:textId="20B6E6F9" w:rsidR="0077084A" w:rsidRDefault="0077084A">
    <w:pPr>
      <w:ind w:right="360"/>
      <w:rPr>
        <w:lang w:val="en-US"/>
      </w:rPr>
    </w:pPr>
    <w:r>
      <w:fldChar w:fldCharType="begin"/>
    </w:r>
    <w:r>
      <w:rPr>
        <w:lang w:val="en-US"/>
      </w:rPr>
      <w:instrText xml:space="preserve"> FILENAME \p  \* MERGEFORMAT </w:instrText>
    </w:r>
    <w:r>
      <w:fldChar w:fldCharType="separate"/>
    </w:r>
    <w:r w:rsidR="002F47A2">
      <w:rPr>
        <w:noProof/>
        <w:lang w:val="en-US"/>
      </w:rPr>
      <w:t>Document31</w:t>
    </w:r>
    <w:r>
      <w:fldChar w:fldCharType="end"/>
    </w:r>
    <w:r>
      <w:rPr>
        <w:lang w:val="en-US"/>
      </w:rPr>
      <w:tab/>
    </w:r>
    <w:r>
      <w:fldChar w:fldCharType="begin"/>
    </w:r>
    <w:r>
      <w:instrText xml:space="preserve"> SAVEDATE \@ DD.MM.YY </w:instrText>
    </w:r>
    <w:r>
      <w:fldChar w:fldCharType="separate"/>
    </w:r>
    <w:r w:rsidR="00367877">
      <w:rPr>
        <w:noProof/>
      </w:rPr>
      <w:t>06.12.23</w:t>
    </w:r>
    <w:r>
      <w:fldChar w:fldCharType="end"/>
    </w:r>
    <w:r>
      <w:rPr>
        <w:lang w:val="en-US"/>
      </w:rPr>
      <w:tab/>
    </w:r>
    <w:r>
      <w:fldChar w:fldCharType="begin"/>
    </w:r>
    <w:r>
      <w:instrText xml:space="preserve"> PRINTDATE \@ DD.MM.YY </w:instrText>
    </w:r>
    <w:r>
      <w:fldChar w:fldCharType="separate"/>
    </w:r>
    <w:r w:rsidR="002F47A2">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152747517"/>
  <w:bookmarkStart w:id="11" w:name="_Hlk152747518"/>
  <w:p w14:paraId="0F651389" w14:textId="7D43FE3B" w:rsidR="0029512B" w:rsidRDefault="0029512B" w:rsidP="0029512B">
    <w:pPr>
      <w:pStyle w:val="Footer"/>
      <w:rPr>
        <w:lang w:val="en-US"/>
      </w:rPr>
    </w:pPr>
    <w:r>
      <w:fldChar w:fldCharType="begin"/>
    </w:r>
    <w:r>
      <w:rPr>
        <w:lang w:val="en-US"/>
      </w:rPr>
      <w:instrText xml:space="preserve"> FILENAME \p  \* MERGEFORMAT </w:instrText>
    </w:r>
    <w:r>
      <w:fldChar w:fldCharType="separate"/>
    </w:r>
    <w:r w:rsidR="00AD76BC">
      <w:rPr>
        <w:lang w:val="en-US"/>
      </w:rPr>
      <w:t>P:\ESP\ITU-R\CONF-R\CMR23\300\328S.docx</w:t>
    </w:r>
    <w:r>
      <w:fldChar w:fldCharType="end"/>
    </w:r>
    <w:r w:rsidRPr="00504216">
      <w:rPr>
        <w:lang w:val="en-GB"/>
      </w:rPr>
      <w:t xml:space="preserve"> </w:t>
    </w:r>
    <w:bookmarkEnd w:id="10"/>
    <w:bookmarkEnd w:id="11"/>
    <w:r w:rsidR="00AD76BC">
      <w:rPr>
        <w:lang w:val="en-GB"/>
      </w:rPr>
      <w:t>(532253)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9E1" w14:textId="77777777" w:rsidR="00AD76BC" w:rsidRDefault="00AD76BC" w:rsidP="00AD76BC">
    <w:pPr>
      <w:pStyle w:val="Footer"/>
      <w:rPr>
        <w:lang w:val="en-US"/>
      </w:rPr>
    </w:pPr>
    <w:r>
      <w:fldChar w:fldCharType="begin"/>
    </w:r>
    <w:r>
      <w:rPr>
        <w:lang w:val="en-US"/>
      </w:rPr>
      <w:instrText xml:space="preserve"> FILENAME \p  \* MERGEFORMAT </w:instrText>
    </w:r>
    <w:r>
      <w:fldChar w:fldCharType="separate"/>
    </w:r>
    <w:r>
      <w:rPr>
        <w:lang w:val="en-US"/>
      </w:rPr>
      <w:t>P:\ESP\ITU-R\CONF-R\CMR23\300\328S.docx</w:t>
    </w:r>
    <w:r>
      <w:fldChar w:fldCharType="end"/>
    </w:r>
    <w:r w:rsidRPr="00504216">
      <w:rPr>
        <w:lang w:val="en-GB"/>
      </w:rPr>
      <w:t xml:space="preserve"> </w:t>
    </w:r>
    <w:r>
      <w:rPr>
        <w:lang w:val="en-GB"/>
      </w:rPr>
      <w:t>(532253)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4EC3" w14:textId="77777777" w:rsidR="002F47A2" w:rsidRDefault="002F47A2">
      <w:r>
        <w:rPr>
          <w:b/>
        </w:rPr>
        <w:t>_______________</w:t>
      </w:r>
    </w:p>
  </w:footnote>
  <w:footnote w:type="continuationSeparator" w:id="0">
    <w:p w14:paraId="6D2D8039" w14:textId="77777777" w:rsidR="002F47A2" w:rsidRDefault="002F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1EF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4683AC85" w14:textId="62B005A0" w:rsidR="0077084A" w:rsidRDefault="006775FB" w:rsidP="00A4450C">
    <w:pPr>
      <w:pStyle w:val="Header"/>
      <w:rPr>
        <w:lang w:val="en-US"/>
      </w:rPr>
    </w:pPr>
    <w:r>
      <w:rPr>
        <w:lang w:val="en-US"/>
      </w:rPr>
      <w:t>WRC</w:t>
    </w:r>
    <w:r w:rsidR="00C97A88">
      <w:rPr>
        <w:lang w:val="en-US"/>
      </w:rPr>
      <w:t>23</w:t>
    </w:r>
    <w:r w:rsidR="00C918CF">
      <w:rPr>
        <w:lang w:val="en-US"/>
      </w:rPr>
      <w:t>/</w:t>
    </w:r>
    <w:r w:rsidR="008335C3">
      <w:rPr>
        <w:lang w:val="en-US"/>
      </w:rPr>
      <w:t>328</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A2"/>
    <w:rsid w:val="00087AE8"/>
    <w:rsid w:val="000D1059"/>
    <w:rsid w:val="000E45E1"/>
    <w:rsid w:val="000E5BF9"/>
    <w:rsid w:val="000F0E6D"/>
    <w:rsid w:val="00121170"/>
    <w:rsid w:val="00123CC5"/>
    <w:rsid w:val="001346FA"/>
    <w:rsid w:val="0015142D"/>
    <w:rsid w:val="001616DC"/>
    <w:rsid w:val="00163962"/>
    <w:rsid w:val="00191A97"/>
    <w:rsid w:val="001C41FA"/>
    <w:rsid w:val="001E2B52"/>
    <w:rsid w:val="001E3F27"/>
    <w:rsid w:val="00214755"/>
    <w:rsid w:val="00236D2A"/>
    <w:rsid w:val="00255F12"/>
    <w:rsid w:val="00262C09"/>
    <w:rsid w:val="00280126"/>
    <w:rsid w:val="0029512B"/>
    <w:rsid w:val="002A791F"/>
    <w:rsid w:val="002C1B26"/>
    <w:rsid w:val="002E701F"/>
    <w:rsid w:val="002F47A2"/>
    <w:rsid w:val="0032680B"/>
    <w:rsid w:val="00363A65"/>
    <w:rsid w:val="00367877"/>
    <w:rsid w:val="00377704"/>
    <w:rsid w:val="003C2508"/>
    <w:rsid w:val="003D0AA3"/>
    <w:rsid w:val="0044541C"/>
    <w:rsid w:val="00454553"/>
    <w:rsid w:val="004B124A"/>
    <w:rsid w:val="00504216"/>
    <w:rsid w:val="00532097"/>
    <w:rsid w:val="0058350F"/>
    <w:rsid w:val="005F2605"/>
    <w:rsid w:val="00603774"/>
    <w:rsid w:val="00662BA0"/>
    <w:rsid w:val="006775FB"/>
    <w:rsid w:val="00692AAE"/>
    <w:rsid w:val="006D6E67"/>
    <w:rsid w:val="00701C20"/>
    <w:rsid w:val="007354E9"/>
    <w:rsid w:val="007542C0"/>
    <w:rsid w:val="00762BBC"/>
    <w:rsid w:val="00765578"/>
    <w:rsid w:val="0077084A"/>
    <w:rsid w:val="007C2317"/>
    <w:rsid w:val="007D330A"/>
    <w:rsid w:val="008335C3"/>
    <w:rsid w:val="00866AE6"/>
    <w:rsid w:val="008A44A1"/>
    <w:rsid w:val="008B2514"/>
    <w:rsid w:val="0094091F"/>
    <w:rsid w:val="009538D2"/>
    <w:rsid w:val="00973754"/>
    <w:rsid w:val="009A599E"/>
    <w:rsid w:val="009C0BED"/>
    <w:rsid w:val="009E11EC"/>
    <w:rsid w:val="009F6FD5"/>
    <w:rsid w:val="00A118DB"/>
    <w:rsid w:val="00A4450C"/>
    <w:rsid w:val="00AA5E6C"/>
    <w:rsid w:val="00AD76BC"/>
    <w:rsid w:val="00AE5677"/>
    <w:rsid w:val="00AF2F78"/>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07BBC"/>
    <w:rsid w:val="00D405F7"/>
    <w:rsid w:val="00D72A5D"/>
    <w:rsid w:val="00DC629B"/>
    <w:rsid w:val="00E167B8"/>
    <w:rsid w:val="00E262F1"/>
    <w:rsid w:val="00E45FCF"/>
    <w:rsid w:val="00E71D14"/>
    <w:rsid w:val="00F45D04"/>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74B94"/>
  <w15:docId w15:val="{D4607627-F802-4A0C-A0A4-44A20AC7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paragraph" w:customStyle="1" w:styleId="xmsonormal">
    <w:name w:val="x_msonormal"/>
    <w:basedOn w:val="Normal"/>
    <w:rsid w:val="002F47A2"/>
    <w:pPr>
      <w:tabs>
        <w:tab w:val="clear" w:pos="1134"/>
        <w:tab w:val="clear" w:pos="1871"/>
        <w:tab w:val="clear" w:pos="2268"/>
      </w:tabs>
      <w:overflowPunct/>
      <w:autoSpaceDE/>
      <w:autoSpaceDN/>
      <w:adjustRightInd/>
      <w:spacing w:before="100" w:beforeAutospacing="1" w:after="100" w:afterAutospacing="1"/>
      <w:textAlignment w:val="auto"/>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6</TotalTime>
  <Pages>8</Pages>
  <Words>3146</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19375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3</cp:revision>
  <cp:lastPrinted>2003-02-19T20:20:00Z</cp:lastPrinted>
  <dcterms:created xsi:type="dcterms:W3CDTF">2023-12-06T08:38:00Z</dcterms:created>
  <dcterms:modified xsi:type="dcterms:W3CDTF">2023-12-06T08:51:00Z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