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453"/>
        <w:gridCol w:w="1667"/>
      </w:tblGrid>
      <w:tr w:rsidR="00B23EDF" w:rsidRPr="0048702D" w14:paraId="6DFFF071" w14:textId="77777777" w:rsidTr="00B23EDF">
        <w:trPr>
          <w:cantSplit/>
        </w:trPr>
        <w:tc>
          <w:tcPr>
            <w:tcW w:w="1418" w:type="dxa"/>
            <w:vAlign w:val="center"/>
          </w:tcPr>
          <w:p w14:paraId="4F9635F3" w14:textId="77777777" w:rsidR="00B23EDF" w:rsidRPr="0048702D" w:rsidRDefault="00B23EDF" w:rsidP="000B304E">
            <w:pPr>
              <w:spacing w:before="100" w:beforeAutospacing="1"/>
              <w:rPr>
                <w:rFonts w:ascii="Verdana" w:hAnsi="Verdana"/>
                <w:b/>
                <w:bCs/>
                <w:sz w:val="20"/>
              </w:rPr>
            </w:pPr>
            <w:r w:rsidRPr="0048702D">
              <w:rPr>
                <w:noProof/>
              </w:rPr>
              <w:drawing>
                <wp:inline distT="0" distB="0" distL="0" distR="0" wp14:anchorId="18BB210D" wp14:editId="5DEFB4F4">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946" w:type="dxa"/>
            <w:gridSpan w:val="2"/>
          </w:tcPr>
          <w:p w14:paraId="50A085CA" w14:textId="0319E4DD" w:rsidR="00B23EDF" w:rsidRPr="0048702D" w:rsidRDefault="00B23EDF" w:rsidP="000B304E">
            <w:pPr>
              <w:spacing w:before="400" w:after="48"/>
              <w:rPr>
                <w:rFonts w:ascii="Verdana" w:hAnsi="Verdana"/>
                <w:b/>
                <w:bCs/>
                <w:sz w:val="20"/>
              </w:rPr>
            </w:pPr>
            <w:r w:rsidRPr="0048702D">
              <w:rPr>
                <w:rFonts w:ascii="Verdana" w:hAnsi="Verdana"/>
                <w:b/>
                <w:bCs/>
                <w:sz w:val="20"/>
              </w:rPr>
              <w:t>Conférence mondiale des radiocommunications (CMR-23)</w:t>
            </w:r>
            <w:r w:rsidRPr="0048702D">
              <w:rPr>
                <w:rFonts w:ascii="Verdana" w:hAnsi="Verdana"/>
                <w:b/>
                <w:bCs/>
                <w:sz w:val="20"/>
              </w:rPr>
              <w:br/>
            </w:r>
            <w:r w:rsidRPr="0048702D">
              <w:rPr>
                <w:rFonts w:ascii="Verdana" w:hAnsi="Verdana"/>
                <w:b/>
                <w:bCs/>
                <w:sz w:val="18"/>
                <w:szCs w:val="18"/>
              </w:rPr>
              <w:t xml:space="preserve">Dubaï, 20 novembre </w:t>
            </w:r>
            <w:r w:rsidR="003C6DF0" w:rsidRPr="0048702D">
              <w:rPr>
                <w:rFonts w:ascii="Verdana" w:hAnsi="Verdana"/>
                <w:b/>
                <w:bCs/>
                <w:sz w:val="18"/>
                <w:szCs w:val="18"/>
              </w:rPr>
              <w:t>–</w:t>
            </w:r>
            <w:r w:rsidRPr="0048702D">
              <w:rPr>
                <w:rFonts w:ascii="Verdana" w:hAnsi="Verdana"/>
                <w:b/>
                <w:bCs/>
                <w:sz w:val="18"/>
                <w:szCs w:val="18"/>
              </w:rPr>
              <w:t xml:space="preserve"> 15 décembre 2023</w:t>
            </w:r>
          </w:p>
        </w:tc>
        <w:tc>
          <w:tcPr>
            <w:tcW w:w="1667" w:type="dxa"/>
            <w:vAlign w:val="center"/>
          </w:tcPr>
          <w:p w14:paraId="39398068" w14:textId="77777777" w:rsidR="00B23EDF" w:rsidRPr="0048702D" w:rsidRDefault="00B23EDF" w:rsidP="000B304E">
            <w:pPr>
              <w:spacing w:before="0"/>
            </w:pPr>
            <w:bookmarkStart w:id="0" w:name="ditulogo"/>
            <w:bookmarkEnd w:id="0"/>
            <w:r w:rsidRPr="0048702D">
              <w:rPr>
                <w:noProof/>
              </w:rPr>
              <w:drawing>
                <wp:inline distT="0" distB="0" distL="0" distR="0" wp14:anchorId="4FFDEE8C" wp14:editId="5BB55F01">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587A4E" w:rsidRPr="0048702D" w14:paraId="07B873CF" w14:textId="77777777" w:rsidTr="00773113">
        <w:trPr>
          <w:cantSplit/>
        </w:trPr>
        <w:tc>
          <w:tcPr>
            <w:tcW w:w="6911" w:type="dxa"/>
            <w:gridSpan w:val="2"/>
            <w:tcBorders>
              <w:bottom w:val="single" w:sz="12" w:space="0" w:color="auto"/>
            </w:tcBorders>
          </w:tcPr>
          <w:p w14:paraId="0EB81704" w14:textId="77777777" w:rsidR="00587A4E" w:rsidRPr="0048702D" w:rsidRDefault="00587A4E" w:rsidP="000B304E">
            <w:pPr>
              <w:spacing w:before="0" w:after="48"/>
              <w:rPr>
                <w:b/>
                <w:smallCaps/>
                <w:szCs w:val="24"/>
              </w:rPr>
            </w:pPr>
            <w:bookmarkStart w:id="1" w:name="dhead"/>
          </w:p>
        </w:tc>
        <w:tc>
          <w:tcPr>
            <w:tcW w:w="3120" w:type="dxa"/>
            <w:gridSpan w:val="2"/>
            <w:tcBorders>
              <w:bottom w:val="single" w:sz="12" w:space="0" w:color="auto"/>
            </w:tcBorders>
          </w:tcPr>
          <w:p w14:paraId="4757A096" w14:textId="77777777" w:rsidR="00587A4E" w:rsidRPr="0048702D" w:rsidRDefault="00587A4E" w:rsidP="000B304E">
            <w:pPr>
              <w:spacing w:before="0"/>
              <w:rPr>
                <w:rFonts w:ascii="Verdana" w:hAnsi="Verdana"/>
                <w:szCs w:val="24"/>
              </w:rPr>
            </w:pPr>
          </w:p>
        </w:tc>
      </w:tr>
      <w:tr w:rsidR="00587A4E" w:rsidRPr="0048702D" w14:paraId="5EA2B7D7" w14:textId="77777777" w:rsidTr="00773113">
        <w:trPr>
          <w:cantSplit/>
        </w:trPr>
        <w:tc>
          <w:tcPr>
            <w:tcW w:w="6911" w:type="dxa"/>
            <w:gridSpan w:val="2"/>
            <w:tcBorders>
              <w:top w:val="single" w:sz="12" w:space="0" w:color="auto"/>
            </w:tcBorders>
          </w:tcPr>
          <w:p w14:paraId="4A3F9375" w14:textId="77777777" w:rsidR="00587A4E" w:rsidRPr="0048702D" w:rsidRDefault="00587A4E" w:rsidP="000B304E">
            <w:pPr>
              <w:spacing w:before="0" w:after="48"/>
              <w:rPr>
                <w:rFonts w:ascii="Verdana" w:hAnsi="Verdana"/>
                <w:b/>
                <w:smallCaps/>
                <w:sz w:val="20"/>
              </w:rPr>
            </w:pPr>
          </w:p>
        </w:tc>
        <w:tc>
          <w:tcPr>
            <w:tcW w:w="3120" w:type="dxa"/>
            <w:gridSpan w:val="2"/>
            <w:tcBorders>
              <w:top w:val="single" w:sz="12" w:space="0" w:color="auto"/>
            </w:tcBorders>
          </w:tcPr>
          <w:p w14:paraId="0408BF62" w14:textId="77777777" w:rsidR="00587A4E" w:rsidRPr="0048702D" w:rsidRDefault="00587A4E" w:rsidP="000B304E">
            <w:pPr>
              <w:spacing w:before="0"/>
              <w:rPr>
                <w:rFonts w:ascii="Verdana" w:hAnsi="Verdana"/>
                <w:sz w:val="20"/>
              </w:rPr>
            </w:pPr>
          </w:p>
        </w:tc>
      </w:tr>
      <w:tr w:rsidR="00587A4E" w:rsidRPr="0048702D" w14:paraId="19F33378" w14:textId="77777777" w:rsidTr="00773113">
        <w:trPr>
          <w:cantSplit/>
        </w:trPr>
        <w:tc>
          <w:tcPr>
            <w:tcW w:w="6911" w:type="dxa"/>
            <w:gridSpan w:val="2"/>
          </w:tcPr>
          <w:p w14:paraId="23739783" w14:textId="77777777" w:rsidR="00587A4E" w:rsidRPr="0048702D" w:rsidRDefault="008D6821" w:rsidP="000B304E">
            <w:pPr>
              <w:spacing w:before="0"/>
              <w:rPr>
                <w:rFonts w:ascii="Verdana" w:hAnsi="Verdana"/>
                <w:b/>
                <w:sz w:val="20"/>
              </w:rPr>
            </w:pPr>
            <w:r w:rsidRPr="0048702D">
              <w:rPr>
                <w:rFonts w:ascii="Verdana" w:hAnsi="Verdana"/>
                <w:b/>
                <w:sz w:val="20"/>
              </w:rPr>
              <w:t>SÉANCE PLÉNIÈRE</w:t>
            </w:r>
          </w:p>
        </w:tc>
        <w:tc>
          <w:tcPr>
            <w:tcW w:w="3120" w:type="dxa"/>
            <w:gridSpan w:val="2"/>
          </w:tcPr>
          <w:p w14:paraId="24883F5A" w14:textId="2425DA6D" w:rsidR="00587A4E" w:rsidRPr="0048702D" w:rsidRDefault="00587A4E" w:rsidP="000B304E">
            <w:pPr>
              <w:spacing w:before="0"/>
              <w:rPr>
                <w:rFonts w:ascii="Verdana" w:hAnsi="Verdana"/>
                <w:sz w:val="20"/>
              </w:rPr>
            </w:pPr>
            <w:r w:rsidRPr="0048702D">
              <w:rPr>
                <w:rFonts w:ascii="Verdana" w:hAnsi="Verdana"/>
                <w:b/>
                <w:sz w:val="20"/>
              </w:rPr>
              <w:t>Document</w:t>
            </w:r>
            <w:r w:rsidR="00602866" w:rsidRPr="0048702D">
              <w:rPr>
                <w:rFonts w:ascii="Verdana" w:hAnsi="Verdana"/>
                <w:b/>
                <w:sz w:val="20"/>
              </w:rPr>
              <w:t xml:space="preserve"> 328</w:t>
            </w:r>
            <w:r w:rsidRPr="0048702D">
              <w:rPr>
                <w:rFonts w:ascii="Verdana" w:hAnsi="Verdana"/>
                <w:b/>
                <w:sz w:val="20"/>
              </w:rPr>
              <w:t>-F</w:t>
            </w:r>
          </w:p>
        </w:tc>
      </w:tr>
      <w:bookmarkEnd w:id="1"/>
      <w:tr w:rsidR="00587A4E" w:rsidRPr="0048702D" w14:paraId="29A602DB" w14:textId="77777777" w:rsidTr="00773113">
        <w:trPr>
          <w:cantSplit/>
        </w:trPr>
        <w:tc>
          <w:tcPr>
            <w:tcW w:w="6911" w:type="dxa"/>
            <w:gridSpan w:val="2"/>
          </w:tcPr>
          <w:p w14:paraId="220A38EB" w14:textId="77777777" w:rsidR="00587A4E" w:rsidRPr="0048702D" w:rsidRDefault="00587A4E" w:rsidP="000B304E">
            <w:pPr>
              <w:spacing w:before="0"/>
              <w:rPr>
                <w:rFonts w:ascii="Verdana" w:hAnsi="Verdana"/>
                <w:b/>
                <w:sz w:val="20"/>
              </w:rPr>
            </w:pPr>
          </w:p>
        </w:tc>
        <w:tc>
          <w:tcPr>
            <w:tcW w:w="3120" w:type="dxa"/>
            <w:gridSpan w:val="2"/>
          </w:tcPr>
          <w:p w14:paraId="7D365D4B" w14:textId="45A7C564" w:rsidR="00587A4E" w:rsidRPr="0048702D" w:rsidRDefault="00803553" w:rsidP="000B304E">
            <w:pPr>
              <w:spacing w:before="0"/>
              <w:rPr>
                <w:rFonts w:ascii="Verdana" w:hAnsi="Verdana"/>
                <w:b/>
                <w:sz w:val="20"/>
              </w:rPr>
            </w:pPr>
            <w:r w:rsidRPr="0048702D">
              <w:rPr>
                <w:rFonts w:ascii="Verdana" w:hAnsi="Verdana"/>
                <w:b/>
                <w:sz w:val="20"/>
              </w:rPr>
              <w:t>5 décembre 2023</w:t>
            </w:r>
          </w:p>
        </w:tc>
      </w:tr>
      <w:tr w:rsidR="00587A4E" w:rsidRPr="0048702D" w14:paraId="60359401" w14:textId="77777777" w:rsidTr="00773113">
        <w:trPr>
          <w:cantSplit/>
        </w:trPr>
        <w:tc>
          <w:tcPr>
            <w:tcW w:w="6911" w:type="dxa"/>
            <w:gridSpan w:val="2"/>
          </w:tcPr>
          <w:p w14:paraId="60C841BB" w14:textId="77777777" w:rsidR="00587A4E" w:rsidRPr="0048702D" w:rsidRDefault="00587A4E" w:rsidP="000B304E">
            <w:pPr>
              <w:spacing w:before="0" w:after="48"/>
              <w:rPr>
                <w:rFonts w:ascii="Verdana" w:hAnsi="Verdana"/>
                <w:b/>
                <w:smallCaps/>
                <w:sz w:val="20"/>
              </w:rPr>
            </w:pPr>
          </w:p>
        </w:tc>
        <w:tc>
          <w:tcPr>
            <w:tcW w:w="3120" w:type="dxa"/>
            <w:gridSpan w:val="2"/>
          </w:tcPr>
          <w:p w14:paraId="7D8E8948" w14:textId="77777777" w:rsidR="00587A4E" w:rsidRPr="0048702D" w:rsidRDefault="00587A4E" w:rsidP="000B304E">
            <w:pPr>
              <w:spacing w:before="0"/>
              <w:rPr>
                <w:rFonts w:ascii="Verdana" w:hAnsi="Verdana"/>
                <w:b/>
                <w:sz w:val="20"/>
              </w:rPr>
            </w:pPr>
            <w:r w:rsidRPr="0048702D">
              <w:rPr>
                <w:rFonts w:ascii="Verdana" w:hAnsi="Verdana"/>
                <w:b/>
                <w:sz w:val="20"/>
              </w:rPr>
              <w:t>Original: anglais</w:t>
            </w:r>
          </w:p>
        </w:tc>
      </w:tr>
      <w:tr w:rsidR="00587A4E" w:rsidRPr="0048702D" w14:paraId="616D8D33" w14:textId="77777777" w:rsidTr="00773113">
        <w:trPr>
          <w:cantSplit/>
        </w:trPr>
        <w:tc>
          <w:tcPr>
            <w:tcW w:w="10031" w:type="dxa"/>
            <w:gridSpan w:val="4"/>
          </w:tcPr>
          <w:p w14:paraId="027BC628" w14:textId="77777777" w:rsidR="00587A4E" w:rsidRPr="0048702D" w:rsidRDefault="00587A4E" w:rsidP="000B304E">
            <w:pPr>
              <w:spacing w:before="0"/>
              <w:rPr>
                <w:rFonts w:ascii="Verdana" w:hAnsi="Verdana"/>
                <w:b/>
                <w:sz w:val="20"/>
              </w:rPr>
            </w:pPr>
          </w:p>
        </w:tc>
      </w:tr>
      <w:tr w:rsidR="00587A4E" w:rsidRPr="0048702D" w14:paraId="107CECE5" w14:textId="77777777" w:rsidTr="00773113">
        <w:trPr>
          <w:cantSplit/>
        </w:trPr>
        <w:tc>
          <w:tcPr>
            <w:tcW w:w="10031" w:type="dxa"/>
            <w:gridSpan w:val="4"/>
          </w:tcPr>
          <w:p w14:paraId="42CEBEDD" w14:textId="77777777" w:rsidR="00587A4E" w:rsidRPr="0048702D" w:rsidRDefault="00587A4E" w:rsidP="000B304E">
            <w:pPr>
              <w:pStyle w:val="Source"/>
            </w:pPr>
            <w:bookmarkStart w:id="2" w:name="dsource" w:colFirst="0" w:colLast="0"/>
          </w:p>
        </w:tc>
      </w:tr>
      <w:tr w:rsidR="00587A4E" w:rsidRPr="0048702D" w14:paraId="36329126" w14:textId="77777777" w:rsidTr="00773113">
        <w:trPr>
          <w:cantSplit/>
        </w:trPr>
        <w:tc>
          <w:tcPr>
            <w:tcW w:w="10031" w:type="dxa"/>
            <w:gridSpan w:val="4"/>
          </w:tcPr>
          <w:p w14:paraId="51958E01" w14:textId="77777777" w:rsidR="00E511AB" w:rsidRPr="0048702D" w:rsidRDefault="00F96E10" w:rsidP="000B304E">
            <w:pPr>
              <w:pStyle w:val="Title1"/>
            </w:pPr>
            <w:bookmarkStart w:id="3" w:name="dtitle1" w:colFirst="0" w:colLast="0"/>
            <w:bookmarkEnd w:id="2"/>
            <w:r w:rsidRPr="0048702D">
              <w:t>PROCÈS-VERBAL</w:t>
            </w:r>
          </w:p>
          <w:p w14:paraId="08963030" w14:textId="77777777" w:rsidR="00E511AB" w:rsidRPr="0048702D" w:rsidRDefault="00F96E10" w:rsidP="000B304E">
            <w:pPr>
              <w:pStyle w:val="Title1"/>
            </w:pPr>
            <w:r w:rsidRPr="0048702D">
              <w:t>DE LA</w:t>
            </w:r>
          </w:p>
          <w:p w14:paraId="2398C10B" w14:textId="04C34987" w:rsidR="00587A4E" w:rsidRPr="0048702D" w:rsidRDefault="00F96E10" w:rsidP="000B304E">
            <w:pPr>
              <w:pStyle w:val="Title1"/>
            </w:pPr>
            <w:r w:rsidRPr="0048702D">
              <w:t>cinquiÈME SÉANCE PLÉNIÈRE</w:t>
            </w:r>
          </w:p>
        </w:tc>
      </w:tr>
      <w:tr w:rsidR="00587A4E" w:rsidRPr="0048702D" w14:paraId="401D27F4" w14:textId="77777777" w:rsidTr="00773113">
        <w:trPr>
          <w:cantSplit/>
        </w:trPr>
        <w:tc>
          <w:tcPr>
            <w:tcW w:w="10031" w:type="dxa"/>
            <w:gridSpan w:val="4"/>
          </w:tcPr>
          <w:p w14:paraId="4CF72397" w14:textId="5C9768E4" w:rsidR="00587A4E" w:rsidRPr="0048702D" w:rsidRDefault="00E511AB" w:rsidP="003C6DF0">
            <w:pPr>
              <w:pStyle w:val="Title2"/>
              <w:rPr>
                <w:sz w:val="24"/>
                <w:szCs w:val="24"/>
              </w:rPr>
            </w:pPr>
            <w:bookmarkStart w:id="4" w:name="dtitle2" w:colFirst="0" w:colLast="0"/>
            <w:bookmarkEnd w:id="3"/>
            <w:r w:rsidRPr="0048702D">
              <w:rPr>
                <w:caps w:val="0"/>
                <w:sz w:val="24"/>
                <w:szCs w:val="24"/>
              </w:rPr>
              <w:t>Vendredi 1er décembre 2023, à 16 h 20</w:t>
            </w:r>
          </w:p>
        </w:tc>
      </w:tr>
      <w:tr w:rsidR="00587A4E" w:rsidRPr="0048702D" w14:paraId="487D35D8" w14:textId="77777777" w:rsidTr="00773113">
        <w:trPr>
          <w:cantSplit/>
        </w:trPr>
        <w:tc>
          <w:tcPr>
            <w:tcW w:w="10031" w:type="dxa"/>
            <w:gridSpan w:val="4"/>
          </w:tcPr>
          <w:p w14:paraId="39929C26" w14:textId="43AC61DB" w:rsidR="00587A4E" w:rsidRPr="0048702D" w:rsidRDefault="00F96E10" w:rsidP="000B304E">
            <w:pPr>
              <w:pStyle w:val="Agendaitem"/>
              <w:rPr>
                <w:sz w:val="24"/>
                <w:szCs w:val="24"/>
                <w:lang w:val="fr-FR"/>
              </w:rPr>
            </w:pPr>
            <w:bookmarkStart w:id="5" w:name="dtitle3" w:colFirst="0" w:colLast="0"/>
            <w:bookmarkEnd w:id="4"/>
            <w:r w:rsidRPr="0048702D">
              <w:rPr>
                <w:b/>
                <w:bCs/>
                <w:sz w:val="24"/>
                <w:szCs w:val="24"/>
                <w:lang w:val="fr-FR"/>
              </w:rPr>
              <w:t>Président:</w:t>
            </w:r>
            <w:r w:rsidRPr="0048702D">
              <w:rPr>
                <w:sz w:val="24"/>
                <w:szCs w:val="24"/>
                <w:lang w:val="fr-FR"/>
              </w:rPr>
              <w:t xml:space="preserve"> </w:t>
            </w:r>
            <w:r w:rsidR="00BC512B" w:rsidRPr="0048702D">
              <w:rPr>
                <w:sz w:val="24"/>
                <w:szCs w:val="24"/>
                <w:lang w:val="fr-FR"/>
              </w:rPr>
              <w:t>S.</w:t>
            </w:r>
            <w:r w:rsidR="0070204B" w:rsidRPr="0048702D">
              <w:rPr>
                <w:sz w:val="24"/>
                <w:szCs w:val="24"/>
                <w:lang w:val="fr-FR"/>
              </w:rPr>
              <w:t xml:space="preserve"> </w:t>
            </w:r>
            <w:r w:rsidR="00BC512B" w:rsidRPr="0048702D">
              <w:rPr>
                <w:sz w:val="24"/>
                <w:szCs w:val="24"/>
                <w:lang w:val="fr-FR"/>
              </w:rPr>
              <w:t>E.</w:t>
            </w:r>
            <w:r w:rsidRPr="0048702D">
              <w:rPr>
                <w:sz w:val="24"/>
                <w:szCs w:val="24"/>
                <w:lang w:val="fr-FR"/>
              </w:rPr>
              <w:t xml:space="preserve"> </w:t>
            </w:r>
            <w:r w:rsidR="00BC512B" w:rsidRPr="0048702D">
              <w:rPr>
                <w:sz w:val="24"/>
                <w:szCs w:val="24"/>
                <w:lang w:val="fr-FR"/>
              </w:rPr>
              <w:t>M.</w:t>
            </w:r>
            <w:r w:rsidRPr="0048702D">
              <w:rPr>
                <w:sz w:val="24"/>
                <w:szCs w:val="24"/>
                <w:lang w:val="fr-FR"/>
              </w:rPr>
              <w:t xml:space="preserve"> </w:t>
            </w:r>
            <w:r w:rsidR="00E1259E" w:rsidRPr="0048702D">
              <w:rPr>
                <w:sz w:val="24"/>
                <w:szCs w:val="24"/>
                <w:lang w:val="fr-FR"/>
              </w:rPr>
              <w:t xml:space="preserve">M. </w:t>
            </w:r>
            <w:r w:rsidR="00BC512B" w:rsidRPr="0048702D">
              <w:rPr>
                <w:sz w:val="24"/>
                <w:szCs w:val="24"/>
                <w:lang w:val="fr-FR"/>
              </w:rPr>
              <w:t xml:space="preserve">AL RAMSI </w:t>
            </w:r>
            <w:r w:rsidRPr="0048702D">
              <w:rPr>
                <w:sz w:val="24"/>
                <w:szCs w:val="24"/>
                <w:lang w:val="fr-FR"/>
              </w:rPr>
              <w:t>(</w:t>
            </w:r>
            <w:r w:rsidR="00BC741F" w:rsidRPr="0048702D">
              <w:rPr>
                <w:sz w:val="24"/>
                <w:szCs w:val="24"/>
                <w:lang w:val="fr-FR"/>
              </w:rPr>
              <w:t>Émirats arabes unis</w:t>
            </w:r>
            <w:r w:rsidRPr="0048702D">
              <w:rPr>
                <w:sz w:val="24"/>
                <w:szCs w:val="24"/>
                <w:lang w:val="fr-FR"/>
              </w:rPr>
              <w:t>)</w:t>
            </w:r>
          </w:p>
        </w:tc>
      </w:tr>
      <w:bookmarkEnd w:id="5"/>
    </w:tbl>
    <w:p w14:paraId="068789B9" w14:textId="77777777" w:rsidR="00F372DE" w:rsidRPr="0048702D" w:rsidRDefault="00F372DE" w:rsidP="000B304E"/>
    <w:tbl>
      <w:tblPr>
        <w:tblW w:w="10031" w:type="dxa"/>
        <w:tblLook w:val="0000" w:firstRow="0" w:lastRow="0" w:firstColumn="0" w:lastColumn="0" w:noHBand="0" w:noVBand="0"/>
      </w:tblPr>
      <w:tblGrid>
        <w:gridCol w:w="534"/>
        <w:gridCol w:w="7404"/>
        <w:gridCol w:w="2093"/>
      </w:tblGrid>
      <w:tr w:rsidR="00F96E10" w:rsidRPr="0048702D" w14:paraId="2E6937FC" w14:textId="77777777" w:rsidTr="00E511AB">
        <w:tc>
          <w:tcPr>
            <w:tcW w:w="534" w:type="dxa"/>
          </w:tcPr>
          <w:p w14:paraId="13A3197F" w14:textId="77777777" w:rsidR="00F96E10" w:rsidRPr="0048702D" w:rsidRDefault="00F96E10" w:rsidP="000B304E"/>
        </w:tc>
        <w:tc>
          <w:tcPr>
            <w:tcW w:w="7404" w:type="dxa"/>
          </w:tcPr>
          <w:p w14:paraId="7315D182" w14:textId="77777777" w:rsidR="00F96E10" w:rsidRPr="0048702D" w:rsidRDefault="00F96E10" w:rsidP="000B304E">
            <w:pPr>
              <w:rPr>
                <w:b/>
                <w:bCs/>
              </w:rPr>
            </w:pPr>
            <w:r w:rsidRPr="0048702D">
              <w:rPr>
                <w:b/>
                <w:bCs/>
              </w:rPr>
              <w:t>Sujets examinés</w:t>
            </w:r>
          </w:p>
        </w:tc>
        <w:tc>
          <w:tcPr>
            <w:tcW w:w="2093" w:type="dxa"/>
          </w:tcPr>
          <w:p w14:paraId="27136728" w14:textId="77777777" w:rsidR="00F96E10" w:rsidRPr="0048702D" w:rsidRDefault="00F96E10" w:rsidP="000B304E">
            <w:pPr>
              <w:jc w:val="center"/>
              <w:rPr>
                <w:b/>
                <w:bCs/>
              </w:rPr>
            </w:pPr>
            <w:r w:rsidRPr="0048702D">
              <w:rPr>
                <w:b/>
                <w:bCs/>
              </w:rPr>
              <w:t>Documents</w:t>
            </w:r>
          </w:p>
        </w:tc>
      </w:tr>
      <w:tr w:rsidR="00F96E10" w:rsidRPr="0048702D" w14:paraId="723FA82B" w14:textId="77777777" w:rsidTr="00E511AB">
        <w:tc>
          <w:tcPr>
            <w:tcW w:w="534" w:type="dxa"/>
          </w:tcPr>
          <w:p w14:paraId="159578D8" w14:textId="77777777" w:rsidR="00F96E10" w:rsidRPr="0048702D" w:rsidRDefault="00F96E10" w:rsidP="000B304E">
            <w:pPr>
              <w:rPr>
                <w:b/>
                <w:bCs/>
              </w:rPr>
            </w:pPr>
            <w:r w:rsidRPr="0048702D">
              <w:rPr>
                <w:bCs/>
              </w:rPr>
              <w:t>1</w:t>
            </w:r>
          </w:p>
        </w:tc>
        <w:tc>
          <w:tcPr>
            <w:tcW w:w="7404" w:type="dxa"/>
          </w:tcPr>
          <w:p w14:paraId="2249B616" w14:textId="598FE84C" w:rsidR="00F96E10" w:rsidRPr="0048702D" w:rsidRDefault="00F96E10" w:rsidP="000B304E">
            <w:pPr>
              <w:rPr>
                <w:b/>
                <w:bCs/>
              </w:rPr>
            </w:pPr>
            <w:r w:rsidRPr="0048702D">
              <w:rPr>
                <w:bCs/>
              </w:rPr>
              <w:t>Rapports verbaux des Présidents des Commissions</w:t>
            </w:r>
          </w:p>
        </w:tc>
        <w:tc>
          <w:tcPr>
            <w:tcW w:w="2093" w:type="dxa"/>
          </w:tcPr>
          <w:p w14:paraId="00DB25A4" w14:textId="79A0FD45" w:rsidR="00F96E10" w:rsidRPr="0048702D" w:rsidRDefault="00F96E10" w:rsidP="000B304E">
            <w:pPr>
              <w:jc w:val="center"/>
            </w:pPr>
            <w:r w:rsidRPr="0048702D">
              <w:t>–</w:t>
            </w:r>
          </w:p>
        </w:tc>
      </w:tr>
      <w:tr w:rsidR="00F96E10" w:rsidRPr="0048702D" w14:paraId="3B508D10" w14:textId="77777777" w:rsidTr="00E511AB">
        <w:tc>
          <w:tcPr>
            <w:tcW w:w="534" w:type="dxa"/>
          </w:tcPr>
          <w:p w14:paraId="0F235E2E" w14:textId="77777777" w:rsidR="00F96E10" w:rsidRPr="0048702D" w:rsidRDefault="00F96E10" w:rsidP="000B304E">
            <w:pPr>
              <w:rPr>
                <w:b/>
                <w:bCs/>
              </w:rPr>
            </w:pPr>
            <w:r w:rsidRPr="0048702D">
              <w:rPr>
                <w:bCs/>
              </w:rPr>
              <w:t>2</w:t>
            </w:r>
          </w:p>
        </w:tc>
        <w:tc>
          <w:tcPr>
            <w:tcW w:w="7404" w:type="dxa"/>
          </w:tcPr>
          <w:p w14:paraId="5AE0C095" w14:textId="427B1E02" w:rsidR="00F96E10" w:rsidRPr="0048702D" w:rsidRDefault="00F96E10" w:rsidP="000B304E">
            <w:pPr>
              <w:rPr>
                <w:b/>
                <w:bCs/>
              </w:rPr>
            </w:pPr>
            <w:r w:rsidRPr="0048702D">
              <w:t>Neuvième série de textes soumis par la Commission de rédaction en première lecture (B9)</w:t>
            </w:r>
          </w:p>
        </w:tc>
        <w:tc>
          <w:tcPr>
            <w:tcW w:w="2093" w:type="dxa"/>
          </w:tcPr>
          <w:p w14:paraId="7B4904F8" w14:textId="02C315D3" w:rsidR="00F96E10" w:rsidRPr="0048702D" w:rsidRDefault="00F96E10" w:rsidP="000B304E">
            <w:pPr>
              <w:jc w:val="center"/>
            </w:pPr>
            <w:r w:rsidRPr="0048702D">
              <w:t>288</w:t>
            </w:r>
          </w:p>
        </w:tc>
      </w:tr>
      <w:tr w:rsidR="00F96E10" w:rsidRPr="0048702D" w14:paraId="1B20F028" w14:textId="77777777" w:rsidTr="00E511AB">
        <w:tc>
          <w:tcPr>
            <w:tcW w:w="534" w:type="dxa"/>
          </w:tcPr>
          <w:p w14:paraId="1C40791B" w14:textId="77777777" w:rsidR="00F96E10" w:rsidRPr="0048702D" w:rsidRDefault="00F96E10" w:rsidP="000B304E">
            <w:pPr>
              <w:rPr>
                <w:b/>
                <w:bCs/>
              </w:rPr>
            </w:pPr>
            <w:r w:rsidRPr="0048702D">
              <w:rPr>
                <w:bCs/>
              </w:rPr>
              <w:t>3</w:t>
            </w:r>
          </w:p>
        </w:tc>
        <w:tc>
          <w:tcPr>
            <w:tcW w:w="7404" w:type="dxa"/>
          </w:tcPr>
          <w:p w14:paraId="7072AF90" w14:textId="643AAA8D" w:rsidR="00F96E10" w:rsidRPr="0048702D" w:rsidRDefault="00F96E10" w:rsidP="000B304E">
            <w:pPr>
              <w:rPr>
                <w:b/>
                <w:bCs/>
              </w:rPr>
            </w:pPr>
            <w:r w:rsidRPr="0048702D">
              <w:t>Neuvième série de textes soumis par la Commission de rédaction (B9)</w:t>
            </w:r>
            <w:r w:rsidR="00602866" w:rsidRPr="0048702D">
              <w:t> </w:t>
            </w:r>
            <w:r w:rsidRPr="0048702D">
              <w:t>–</w:t>
            </w:r>
            <w:r w:rsidR="00602866" w:rsidRPr="0048702D">
              <w:t> </w:t>
            </w:r>
            <w:r w:rsidRPr="0048702D">
              <w:t>deuxième lecture</w:t>
            </w:r>
          </w:p>
        </w:tc>
        <w:tc>
          <w:tcPr>
            <w:tcW w:w="2093" w:type="dxa"/>
          </w:tcPr>
          <w:p w14:paraId="7AC60E56" w14:textId="6871C847" w:rsidR="00F96E10" w:rsidRPr="0048702D" w:rsidRDefault="00F96E10" w:rsidP="000B304E">
            <w:pPr>
              <w:jc w:val="center"/>
            </w:pPr>
            <w:r w:rsidRPr="0048702D">
              <w:t>288</w:t>
            </w:r>
          </w:p>
        </w:tc>
      </w:tr>
      <w:tr w:rsidR="00F96E10" w:rsidRPr="0048702D" w14:paraId="6F40D136" w14:textId="77777777" w:rsidTr="00E511AB">
        <w:tc>
          <w:tcPr>
            <w:tcW w:w="534" w:type="dxa"/>
          </w:tcPr>
          <w:p w14:paraId="59A9EC32" w14:textId="77777777" w:rsidR="00F96E10" w:rsidRPr="0048702D" w:rsidRDefault="00F96E10" w:rsidP="000B304E">
            <w:pPr>
              <w:rPr>
                <w:b/>
              </w:rPr>
            </w:pPr>
            <w:r w:rsidRPr="0048702D">
              <w:t>4</w:t>
            </w:r>
          </w:p>
        </w:tc>
        <w:tc>
          <w:tcPr>
            <w:tcW w:w="7404" w:type="dxa"/>
          </w:tcPr>
          <w:p w14:paraId="66D726CF" w14:textId="36664AE8" w:rsidR="00F96E10" w:rsidRPr="0048702D" w:rsidRDefault="00F96E10" w:rsidP="000B304E">
            <w:pPr>
              <w:rPr>
                <w:b/>
              </w:rPr>
            </w:pPr>
            <w:r w:rsidRPr="0048702D">
              <w:t>Dixième série de textes soumis par la Commission de rédaction en première lecture (B10)</w:t>
            </w:r>
          </w:p>
        </w:tc>
        <w:tc>
          <w:tcPr>
            <w:tcW w:w="2093" w:type="dxa"/>
          </w:tcPr>
          <w:p w14:paraId="66F8BB93" w14:textId="2A4D7D1C" w:rsidR="00F96E10" w:rsidRPr="0048702D" w:rsidRDefault="00F96E10" w:rsidP="000B304E">
            <w:pPr>
              <w:jc w:val="center"/>
            </w:pPr>
            <w:r w:rsidRPr="0048702D">
              <w:t>289</w:t>
            </w:r>
          </w:p>
        </w:tc>
      </w:tr>
      <w:tr w:rsidR="00F96E10" w:rsidRPr="0048702D" w14:paraId="43389D01" w14:textId="77777777" w:rsidTr="00E511AB">
        <w:tc>
          <w:tcPr>
            <w:tcW w:w="534" w:type="dxa"/>
          </w:tcPr>
          <w:p w14:paraId="24A70A84" w14:textId="77777777" w:rsidR="00F96E10" w:rsidRPr="0048702D" w:rsidRDefault="00F96E10" w:rsidP="000B304E">
            <w:pPr>
              <w:rPr>
                <w:b/>
              </w:rPr>
            </w:pPr>
            <w:r w:rsidRPr="0048702D">
              <w:t>5</w:t>
            </w:r>
          </w:p>
        </w:tc>
        <w:tc>
          <w:tcPr>
            <w:tcW w:w="7404" w:type="dxa"/>
          </w:tcPr>
          <w:p w14:paraId="374B3435" w14:textId="6BFE4EF5" w:rsidR="00F96E10" w:rsidRPr="0048702D" w:rsidRDefault="00F96E10" w:rsidP="000B304E">
            <w:pPr>
              <w:rPr>
                <w:b/>
              </w:rPr>
            </w:pPr>
            <w:r w:rsidRPr="0048702D">
              <w:t>Dixième série de textes soumis par la Commission de rédaction (B10)</w:t>
            </w:r>
            <w:r w:rsidR="00602866" w:rsidRPr="0048702D">
              <w:t> </w:t>
            </w:r>
            <w:r w:rsidRPr="0048702D">
              <w:t>–</w:t>
            </w:r>
            <w:r w:rsidR="00602866" w:rsidRPr="0048702D">
              <w:t> </w:t>
            </w:r>
            <w:r w:rsidRPr="0048702D">
              <w:t>deuxième lecture</w:t>
            </w:r>
          </w:p>
        </w:tc>
        <w:tc>
          <w:tcPr>
            <w:tcW w:w="2093" w:type="dxa"/>
          </w:tcPr>
          <w:p w14:paraId="5B1EAF51" w14:textId="254F5AF9" w:rsidR="00F96E10" w:rsidRPr="0048702D" w:rsidRDefault="00F96E10" w:rsidP="000B304E">
            <w:pPr>
              <w:jc w:val="center"/>
            </w:pPr>
            <w:r w:rsidRPr="0048702D">
              <w:t>289</w:t>
            </w:r>
          </w:p>
        </w:tc>
      </w:tr>
      <w:tr w:rsidR="00F96E10" w:rsidRPr="0048702D" w14:paraId="34DF56D0" w14:textId="77777777" w:rsidTr="00E511AB">
        <w:tc>
          <w:tcPr>
            <w:tcW w:w="534" w:type="dxa"/>
          </w:tcPr>
          <w:p w14:paraId="6DEBFC63" w14:textId="77777777" w:rsidR="00F96E10" w:rsidRPr="0048702D" w:rsidRDefault="00F96E10" w:rsidP="000B304E">
            <w:pPr>
              <w:rPr>
                <w:b/>
              </w:rPr>
            </w:pPr>
            <w:r w:rsidRPr="0048702D">
              <w:t>6</w:t>
            </w:r>
          </w:p>
        </w:tc>
        <w:tc>
          <w:tcPr>
            <w:tcW w:w="7404" w:type="dxa"/>
          </w:tcPr>
          <w:p w14:paraId="113E57AE" w14:textId="2059C91C" w:rsidR="00F96E10" w:rsidRPr="0048702D" w:rsidRDefault="00F96E10" w:rsidP="000B304E">
            <w:pPr>
              <w:rPr>
                <w:b/>
              </w:rPr>
            </w:pPr>
            <w:r w:rsidRPr="0048702D">
              <w:t xml:space="preserve">Approbation des procès-verbaux – </w:t>
            </w:r>
            <w:r w:rsidR="00862B43" w:rsidRPr="0048702D">
              <w:t xml:space="preserve">première, deuxième et troisième </w:t>
            </w:r>
            <w:r w:rsidRPr="0048702D">
              <w:t>séances plénières</w:t>
            </w:r>
          </w:p>
        </w:tc>
        <w:tc>
          <w:tcPr>
            <w:tcW w:w="2093" w:type="dxa"/>
          </w:tcPr>
          <w:p w14:paraId="1FB66F7A" w14:textId="2FBB2A29" w:rsidR="00F96E10" w:rsidRPr="0048702D" w:rsidRDefault="00F96E10" w:rsidP="000B304E">
            <w:pPr>
              <w:jc w:val="center"/>
            </w:pPr>
            <w:r w:rsidRPr="0048702D">
              <w:t>236, 258, 264</w:t>
            </w:r>
          </w:p>
        </w:tc>
      </w:tr>
      <w:tr w:rsidR="00F96E10" w:rsidRPr="0048702D" w14:paraId="4811BBBA" w14:textId="77777777" w:rsidTr="00E511AB">
        <w:tc>
          <w:tcPr>
            <w:tcW w:w="534" w:type="dxa"/>
          </w:tcPr>
          <w:p w14:paraId="77124BF1" w14:textId="77777777" w:rsidR="00F96E10" w:rsidRPr="0048702D" w:rsidRDefault="00F96E10" w:rsidP="000B304E">
            <w:pPr>
              <w:rPr>
                <w:b/>
              </w:rPr>
            </w:pPr>
            <w:r w:rsidRPr="0048702D">
              <w:t>7</w:t>
            </w:r>
          </w:p>
        </w:tc>
        <w:tc>
          <w:tcPr>
            <w:tcW w:w="7404" w:type="dxa"/>
          </w:tcPr>
          <w:p w14:paraId="13F8495A" w14:textId="2DCB0973" w:rsidR="00F96E10" w:rsidRPr="0048702D" w:rsidRDefault="00D267B7" w:rsidP="000B304E">
            <w:pPr>
              <w:rPr>
                <w:bCs/>
              </w:rPr>
            </w:pPr>
            <w:r w:rsidRPr="0048702D">
              <w:rPr>
                <w:bCs/>
              </w:rPr>
              <w:t xml:space="preserve">Déclaration de Mme Aarti </w:t>
            </w:r>
            <w:r w:rsidR="007239B8" w:rsidRPr="0048702D">
              <w:rPr>
                <w:bCs/>
              </w:rPr>
              <w:t>Holla-Maini</w:t>
            </w:r>
            <w:r w:rsidR="00AE6499" w:rsidRPr="0048702D">
              <w:rPr>
                <w:bCs/>
              </w:rPr>
              <w:t xml:space="preserve">, </w:t>
            </w:r>
            <w:r w:rsidR="009549B7" w:rsidRPr="0048702D">
              <w:rPr>
                <w:bCs/>
              </w:rPr>
              <w:t>Directrice du Bureau des affaires spatiales des Nations Unies (UNOOSA)</w:t>
            </w:r>
          </w:p>
        </w:tc>
        <w:tc>
          <w:tcPr>
            <w:tcW w:w="2093" w:type="dxa"/>
          </w:tcPr>
          <w:p w14:paraId="3722AB48" w14:textId="0B3D005A" w:rsidR="00F96E10" w:rsidRPr="0048702D" w:rsidRDefault="00F96E10" w:rsidP="000B304E">
            <w:pPr>
              <w:jc w:val="center"/>
            </w:pPr>
            <w:r w:rsidRPr="0048702D">
              <w:t>–</w:t>
            </w:r>
          </w:p>
        </w:tc>
      </w:tr>
      <w:tr w:rsidR="00F96E10" w:rsidRPr="0048702D" w14:paraId="60B77F16" w14:textId="77777777" w:rsidTr="00E511AB">
        <w:tc>
          <w:tcPr>
            <w:tcW w:w="534" w:type="dxa"/>
          </w:tcPr>
          <w:p w14:paraId="6B5BAEDA" w14:textId="77777777" w:rsidR="00F96E10" w:rsidRPr="0048702D" w:rsidRDefault="00F96E10" w:rsidP="000B304E">
            <w:pPr>
              <w:rPr>
                <w:b/>
              </w:rPr>
            </w:pPr>
            <w:r w:rsidRPr="0048702D">
              <w:t>8</w:t>
            </w:r>
          </w:p>
        </w:tc>
        <w:tc>
          <w:tcPr>
            <w:tcW w:w="7404" w:type="dxa"/>
          </w:tcPr>
          <w:p w14:paraId="374FCAB2" w14:textId="0EFEF3D4" w:rsidR="00F96E10" w:rsidRPr="0048702D" w:rsidRDefault="002C740B" w:rsidP="000B304E">
            <w:pPr>
              <w:rPr>
                <w:bCs/>
              </w:rPr>
            </w:pPr>
            <w:r w:rsidRPr="0048702D">
              <w:rPr>
                <w:bCs/>
              </w:rPr>
              <w:t>Fête nationale des Émirats arabes unis</w:t>
            </w:r>
          </w:p>
        </w:tc>
        <w:tc>
          <w:tcPr>
            <w:tcW w:w="2093" w:type="dxa"/>
          </w:tcPr>
          <w:p w14:paraId="0B1FDEEA" w14:textId="325F7C60" w:rsidR="00F96E10" w:rsidRPr="0048702D" w:rsidRDefault="00F96E10" w:rsidP="000B304E">
            <w:pPr>
              <w:jc w:val="center"/>
            </w:pPr>
            <w:r w:rsidRPr="0048702D">
              <w:t>–</w:t>
            </w:r>
          </w:p>
        </w:tc>
      </w:tr>
    </w:tbl>
    <w:p w14:paraId="5257F6C7" w14:textId="636A6F99" w:rsidR="00F96E10" w:rsidRPr="0048702D" w:rsidRDefault="00F96E10" w:rsidP="000B304E">
      <w:r w:rsidRPr="0048702D">
        <w:br w:type="page"/>
      </w:r>
    </w:p>
    <w:p w14:paraId="054824EA" w14:textId="292C2F20" w:rsidR="00F96E10" w:rsidRPr="0048702D" w:rsidRDefault="00F96E10" w:rsidP="000B304E">
      <w:pPr>
        <w:pStyle w:val="Heading1"/>
      </w:pPr>
      <w:r w:rsidRPr="0048702D">
        <w:lastRenderedPageBreak/>
        <w:t>1</w:t>
      </w:r>
      <w:r w:rsidRPr="0048702D">
        <w:tab/>
        <w:t>Rapports verbaux des Présidents des Commissions</w:t>
      </w:r>
    </w:p>
    <w:p w14:paraId="37F93F47" w14:textId="24339781" w:rsidR="00F96E10" w:rsidRPr="0048702D" w:rsidRDefault="00F96E10" w:rsidP="000B304E">
      <w:r w:rsidRPr="0048702D">
        <w:t>1.1</w:t>
      </w:r>
      <w:r w:rsidRPr="0048702D">
        <w:tab/>
        <w:t>L</w:t>
      </w:r>
      <w:r w:rsidR="00D51C29" w:rsidRPr="0048702D">
        <w:t>a</w:t>
      </w:r>
      <w:r w:rsidRPr="0048702D">
        <w:t xml:space="preserve"> </w:t>
      </w:r>
      <w:r w:rsidRPr="0048702D">
        <w:rPr>
          <w:b/>
          <w:bCs/>
        </w:rPr>
        <w:t>Président</w:t>
      </w:r>
      <w:r w:rsidR="00D51C29" w:rsidRPr="0048702D">
        <w:rPr>
          <w:b/>
          <w:bCs/>
        </w:rPr>
        <w:t>e</w:t>
      </w:r>
      <w:r w:rsidRPr="0048702D">
        <w:rPr>
          <w:b/>
          <w:bCs/>
        </w:rPr>
        <w:t xml:space="preserve"> de la Commission 2</w:t>
      </w:r>
      <w:r w:rsidRPr="0048702D">
        <w:t xml:space="preserve"> </w:t>
      </w:r>
      <w:r w:rsidR="0034206A" w:rsidRPr="0048702D">
        <w:t xml:space="preserve">indique que les travaux de sa Commission, </w:t>
      </w:r>
      <w:r w:rsidR="005E7DD9" w:rsidRPr="0048702D">
        <w:t>qui attend</w:t>
      </w:r>
      <w:r w:rsidR="0034206A" w:rsidRPr="0048702D">
        <w:t xml:space="preserve"> 25 </w:t>
      </w:r>
      <w:r w:rsidR="005E7DD9" w:rsidRPr="0048702D">
        <w:t>instruments d</w:t>
      </w:r>
      <w:r w:rsidR="000B304E" w:rsidRPr="0048702D">
        <w:t>'</w:t>
      </w:r>
      <w:r w:rsidR="005E7DD9" w:rsidRPr="0048702D">
        <w:t>accréditation</w:t>
      </w:r>
      <w:r w:rsidR="00453A3F" w:rsidRPr="0048702D">
        <w:t xml:space="preserve"> supplémentaires</w:t>
      </w:r>
      <w:r w:rsidR="0034206A" w:rsidRPr="0048702D">
        <w:t>, progress</w:t>
      </w:r>
      <w:r w:rsidR="005E7DD9" w:rsidRPr="0048702D">
        <w:t>ent</w:t>
      </w:r>
      <w:r w:rsidR="00BF2C80" w:rsidRPr="0048702D">
        <w:t xml:space="preserve">. </w:t>
      </w:r>
      <w:r w:rsidR="006D43FF" w:rsidRPr="0048702D">
        <w:t xml:space="preserve">La Commission tiendra sa dernière </w:t>
      </w:r>
      <w:r w:rsidR="005E7DD9" w:rsidRPr="0048702D">
        <w:t xml:space="preserve">séance </w:t>
      </w:r>
      <w:r w:rsidR="006D43FF" w:rsidRPr="0048702D">
        <w:t xml:space="preserve">le 5 décembre 2023 et soumettra son rapport pour approbation le </w:t>
      </w:r>
      <w:r w:rsidR="005E7DD9" w:rsidRPr="0048702D">
        <w:t>lendemain</w:t>
      </w:r>
      <w:r w:rsidR="006D43FF" w:rsidRPr="0048702D">
        <w:t xml:space="preserve">. </w:t>
      </w:r>
      <w:r w:rsidR="00C27623" w:rsidRPr="0048702D">
        <w:t>L</w:t>
      </w:r>
      <w:r w:rsidR="000B304E" w:rsidRPr="0048702D">
        <w:t>'</w:t>
      </w:r>
      <w:r w:rsidR="00C27623" w:rsidRPr="0048702D">
        <w:rPr>
          <w:b/>
          <w:bCs/>
        </w:rPr>
        <w:t>oratrice</w:t>
      </w:r>
      <w:r w:rsidR="00C27623" w:rsidRPr="0048702D">
        <w:t xml:space="preserve">, </w:t>
      </w:r>
      <w:r w:rsidR="009D5DAD" w:rsidRPr="0048702D">
        <w:t>attirant</w:t>
      </w:r>
      <w:r w:rsidR="00C27623" w:rsidRPr="0048702D">
        <w:t xml:space="preserve"> l</w:t>
      </w:r>
      <w:r w:rsidR="000B304E" w:rsidRPr="0048702D">
        <w:t>'</w:t>
      </w:r>
      <w:r w:rsidR="00C27623" w:rsidRPr="0048702D">
        <w:t>attention sur le Document 204(Rév.4) relatif à la perte du droit de vote, note qu</w:t>
      </w:r>
      <w:r w:rsidR="000B304E" w:rsidRPr="0048702D">
        <w:t>'</w:t>
      </w:r>
      <w:r w:rsidR="00C27623" w:rsidRPr="0048702D">
        <w:t>à l</w:t>
      </w:r>
      <w:r w:rsidR="000B304E" w:rsidRPr="0048702D">
        <w:t>'</w:t>
      </w:r>
      <w:r w:rsidR="00C27623" w:rsidRPr="0048702D">
        <w:t xml:space="preserve">heure actuelle 12 </w:t>
      </w:r>
      <w:r w:rsidR="009D5DAD" w:rsidRPr="0048702D">
        <w:t>É</w:t>
      </w:r>
      <w:r w:rsidR="00C27623" w:rsidRPr="0048702D">
        <w:t>tats Membres n</w:t>
      </w:r>
      <w:r w:rsidR="000B304E" w:rsidRPr="0048702D">
        <w:t>'</w:t>
      </w:r>
      <w:r w:rsidR="00C27623" w:rsidRPr="0048702D">
        <w:t>ont pas le droit de vote.</w:t>
      </w:r>
    </w:p>
    <w:p w14:paraId="6FFD4E32" w14:textId="01708BE0" w:rsidR="00F96E10" w:rsidRPr="0048702D" w:rsidRDefault="00F96E10" w:rsidP="000B304E">
      <w:r w:rsidRPr="0048702D">
        <w:t>1.2</w:t>
      </w:r>
      <w:r w:rsidRPr="0048702D">
        <w:tab/>
        <w:t xml:space="preserve">Il est </w:t>
      </w:r>
      <w:r w:rsidRPr="0048702D">
        <w:rPr>
          <w:b/>
          <w:bCs/>
        </w:rPr>
        <w:t>pris note</w:t>
      </w:r>
      <w:r w:rsidRPr="0048702D">
        <w:t xml:space="preserve"> du rapport verbal d</w:t>
      </w:r>
      <w:r w:rsidR="009D5DAD" w:rsidRPr="0048702D">
        <w:t>e la</w:t>
      </w:r>
      <w:r w:rsidRPr="0048702D">
        <w:t xml:space="preserve"> Président</w:t>
      </w:r>
      <w:r w:rsidR="009D5DAD" w:rsidRPr="0048702D">
        <w:t>e</w:t>
      </w:r>
      <w:r w:rsidRPr="0048702D">
        <w:t xml:space="preserve"> de la Commission 2.</w:t>
      </w:r>
    </w:p>
    <w:p w14:paraId="63ADD856" w14:textId="64987EE0" w:rsidR="00F96E10" w:rsidRPr="0048702D" w:rsidRDefault="00F96E10" w:rsidP="000B304E">
      <w:r w:rsidRPr="0048702D">
        <w:t>1.3</w:t>
      </w:r>
      <w:r w:rsidRPr="0048702D">
        <w:tab/>
        <w:t>L</w:t>
      </w:r>
      <w:r w:rsidR="00A8339B" w:rsidRPr="0048702D">
        <w:t>a</w:t>
      </w:r>
      <w:r w:rsidRPr="0048702D">
        <w:t xml:space="preserve"> </w:t>
      </w:r>
      <w:r w:rsidRPr="0048702D">
        <w:rPr>
          <w:b/>
          <w:bCs/>
        </w:rPr>
        <w:t>Président</w:t>
      </w:r>
      <w:r w:rsidR="00A8339B" w:rsidRPr="0048702D">
        <w:rPr>
          <w:b/>
          <w:bCs/>
        </w:rPr>
        <w:t>e</w:t>
      </w:r>
      <w:r w:rsidRPr="0048702D">
        <w:rPr>
          <w:b/>
          <w:bCs/>
        </w:rPr>
        <w:t xml:space="preserve"> de la Commission 3</w:t>
      </w:r>
      <w:r w:rsidR="00D823E0" w:rsidRPr="0048702D">
        <w:rPr>
          <w:b/>
          <w:bCs/>
        </w:rPr>
        <w:t xml:space="preserve"> </w:t>
      </w:r>
      <w:r w:rsidR="00363DC7" w:rsidRPr="0048702D">
        <w:t xml:space="preserve">indique que </w:t>
      </w:r>
      <w:r w:rsidR="005E7DD9" w:rsidRPr="0048702D">
        <w:t>s</w:t>
      </w:r>
      <w:r w:rsidR="00363DC7" w:rsidRPr="0048702D">
        <w:t>a Commission a tenu sa deuxième</w:t>
      </w:r>
      <w:r w:rsidR="00514119" w:rsidRPr="0048702D">
        <w:t> </w:t>
      </w:r>
      <w:r w:rsidR="005E7DD9" w:rsidRPr="0048702D">
        <w:t>séance</w:t>
      </w:r>
      <w:r w:rsidR="00363DC7" w:rsidRPr="0048702D">
        <w:t>, au cours de laquelle elle a examiné la situation financière actualisée de la Conférence au 27</w:t>
      </w:r>
      <w:r w:rsidR="008C1F1C" w:rsidRPr="0048702D">
        <w:t> </w:t>
      </w:r>
      <w:r w:rsidR="00363DC7" w:rsidRPr="0048702D">
        <w:t>novembre 2023 (Document 270), ainsi que le rapport de sa première séance</w:t>
      </w:r>
      <w:r w:rsidRPr="0048702D">
        <w:t>.</w:t>
      </w:r>
      <w:r w:rsidR="00E932C8" w:rsidRPr="0048702D">
        <w:t xml:space="preserve"> </w:t>
      </w:r>
      <w:r w:rsidR="00FA01AB" w:rsidRPr="0048702D">
        <w:t xml:space="preserve">Les dépenses pour la CMR-23 devraient </w:t>
      </w:r>
      <w:r w:rsidR="00B679A4" w:rsidRPr="0048702D">
        <w:t xml:space="preserve">respecter le </w:t>
      </w:r>
      <w:r w:rsidR="00FA01AB" w:rsidRPr="0048702D">
        <w:t>budget, avec la possibilité d</w:t>
      </w:r>
      <w:r w:rsidR="000B304E" w:rsidRPr="0048702D">
        <w:t>'</w:t>
      </w:r>
      <w:r w:rsidR="00FA01AB" w:rsidRPr="0048702D">
        <w:t>un solde positif final en raison des économies réalisées sur certaines dépenses, notamment les dépenses de personnel.</w:t>
      </w:r>
      <w:r w:rsidR="00902194" w:rsidRPr="0048702D">
        <w:t xml:space="preserve"> </w:t>
      </w:r>
      <w:r w:rsidR="001E6170" w:rsidRPr="0048702D">
        <w:t>La Commission tiendra sa dernière séance durant la dernière semaine de la Conférence.</w:t>
      </w:r>
    </w:p>
    <w:p w14:paraId="1F5144F8" w14:textId="219BDDEA" w:rsidR="00F96E10" w:rsidRPr="0048702D" w:rsidRDefault="00F96E10" w:rsidP="000B304E">
      <w:r w:rsidRPr="0048702D">
        <w:t>1.4</w:t>
      </w:r>
      <w:r w:rsidRPr="0048702D">
        <w:tab/>
        <w:t xml:space="preserve">Il est </w:t>
      </w:r>
      <w:r w:rsidRPr="0048702D">
        <w:rPr>
          <w:b/>
          <w:bCs/>
        </w:rPr>
        <w:t>pris note</w:t>
      </w:r>
      <w:r w:rsidRPr="0048702D">
        <w:t xml:space="preserve"> du rapport verbal d</w:t>
      </w:r>
      <w:r w:rsidR="000E718D" w:rsidRPr="0048702D">
        <w:t>e la</w:t>
      </w:r>
      <w:r w:rsidRPr="0048702D">
        <w:t xml:space="preserve"> Président</w:t>
      </w:r>
      <w:r w:rsidR="000E718D" w:rsidRPr="0048702D">
        <w:t>e</w:t>
      </w:r>
      <w:r w:rsidRPr="0048702D">
        <w:t xml:space="preserve"> de la Commission 3.</w:t>
      </w:r>
    </w:p>
    <w:p w14:paraId="0BCF9CE3" w14:textId="73E7F509" w:rsidR="00F96E10" w:rsidRPr="0048702D" w:rsidRDefault="00F96E10" w:rsidP="000B304E">
      <w:r w:rsidRPr="0048702D">
        <w:t>1.5</w:t>
      </w:r>
      <w:r w:rsidRPr="0048702D">
        <w:tab/>
      </w:r>
      <w:r w:rsidR="005E7DD9" w:rsidRPr="0048702D">
        <w:t>L</w:t>
      </w:r>
      <w:r w:rsidR="00EA02AD" w:rsidRPr="0048702D">
        <w:t>e</w:t>
      </w:r>
      <w:r w:rsidRPr="0048702D">
        <w:t xml:space="preserve"> </w:t>
      </w:r>
      <w:r w:rsidRPr="0048702D">
        <w:rPr>
          <w:b/>
          <w:bCs/>
        </w:rPr>
        <w:t>Président de la Commission 4</w:t>
      </w:r>
      <w:r w:rsidR="005E7DD9" w:rsidRPr="0048702D">
        <w:t xml:space="preserve"> fait savoir que</w:t>
      </w:r>
      <w:r w:rsidR="000D7059" w:rsidRPr="0048702D">
        <w:t xml:space="preserve"> les travaux de </w:t>
      </w:r>
      <w:r w:rsidR="005E7DD9" w:rsidRPr="0048702D">
        <w:t>s</w:t>
      </w:r>
      <w:r w:rsidR="00EA02AD" w:rsidRPr="0048702D">
        <w:t>a Commission n</w:t>
      </w:r>
      <w:r w:rsidR="000B304E" w:rsidRPr="0048702D">
        <w:t>'</w:t>
      </w:r>
      <w:r w:rsidR="000D7059" w:rsidRPr="0048702D">
        <w:t xml:space="preserve">ont que peu progressé depuis la </w:t>
      </w:r>
      <w:r w:rsidR="005E7DD9" w:rsidRPr="0048702D">
        <w:t xml:space="preserve">séance </w:t>
      </w:r>
      <w:r w:rsidR="000D7059" w:rsidRPr="0048702D">
        <w:t>plénière précédente</w:t>
      </w:r>
      <w:r w:rsidRPr="0048702D">
        <w:t>.</w:t>
      </w:r>
      <w:r w:rsidR="00B01F2A" w:rsidRPr="0048702D">
        <w:t xml:space="preserve"> Toutefois, les travaux sur les points 1.11 (Question A) et 9.1 (Question B) de l</w:t>
      </w:r>
      <w:r w:rsidR="000B304E" w:rsidRPr="0048702D">
        <w:t>'</w:t>
      </w:r>
      <w:r w:rsidR="00B01F2A" w:rsidRPr="0048702D">
        <w:t xml:space="preserve">ordre du jour ont été achevés au niveau des groupes de travail, et la Commission examinera les résultats des </w:t>
      </w:r>
      <w:r w:rsidR="00AE2C3E" w:rsidRPr="0048702D">
        <w:t xml:space="preserve">travaux </w:t>
      </w:r>
      <w:r w:rsidR="00F2677C" w:rsidRPr="0048702D">
        <w:t xml:space="preserve">menés par les </w:t>
      </w:r>
      <w:r w:rsidR="00B01F2A" w:rsidRPr="0048702D">
        <w:t>groupes de travail le</w:t>
      </w:r>
      <w:r w:rsidR="00514119" w:rsidRPr="0048702D">
        <w:t> </w:t>
      </w:r>
      <w:r w:rsidR="00B01F2A" w:rsidRPr="0048702D">
        <w:t>5</w:t>
      </w:r>
      <w:r w:rsidR="00514119" w:rsidRPr="0048702D">
        <w:t> </w:t>
      </w:r>
      <w:r w:rsidR="00B01F2A" w:rsidRPr="0048702D">
        <w:t>décembre</w:t>
      </w:r>
      <w:r w:rsidR="008C1F1C" w:rsidRPr="0048702D">
        <w:t> </w:t>
      </w:r>
      <w:r w:rsidR="00B01F2A" w:rsidRPr="0048702D">
        <w:t>2023.</w:t>
      </w:r>
      <w:r w:rsidR="00D3068F" w:rsidRPr="0048702D">
        <w:t xml:space="preserve"> </w:t>
      </w:r>
      <w:r w:rsidR="006C7391" w:rsidRPr="0048702D">
        <w:t>É</w:t>
      </w:r>
      <w:r w:rsidR="00D3068F" w:rsidRPr="0048702D">
        <w:t>tant donné qu</w:t>
      </w:r>
      <w:r w:rsidR="000B304E" w:rsidRPr="0048702D">
        <w:t>'</w:t>
      </w:r>
      <w:r w:rsidR="00D3068F" w:rsidRPr="0048702D">
        <w:t xml:space="preserve">il reste encore beaucoup à faire, des </w:t>
      </w:r>
      <w:r w:rsidR="005E7DD9" w:rsidRPr="0048702D">
        <w:t xml:space="preserve">séances </w:t>
      </w:r>
      <w:r w:rsidR="00D3068F" w:rsidRPr="0048702D">
        <w:t xml:space="preserve">sont prévues </w:t>
      </w:r>
      <w:r w:rsidR="002F0BD7" w:rsidRPr="0048702D">
        <w:t>au cours du</w:t>
      </w:r>
      <w:r w:rsidR="00D3068F" w:rsidRPr="0048702D">
        <w:t xml:space="preserve"> week-end. </w:t>
      </w:r>
      <w:r w:rsidR="00386926" w:rsidRPr="0048702D">
        <w:t>L</w:t>
      </w:r>
      <w:r w:rsidR="000B304E" w:rsidRPr="0048702D">
        <w:t>'</w:t>
      </w:r>
      <w:r w:rsidR="00386926" w:rsidRPr="0048702D">
        <w:rPr>
          <w:b/>
          <w:bCs/>
        </w:rPr>
        <w:t>orateur</w:t>
      </w:r>
      <w:r w:rsidR="00386926" w:rsidRPr="0048702D">
        <w:t xml:space="preserve"> encourag</w:t>
      </w:r>
      <w:r w:rsidR="00671882" w:rsidRPr="0048702D">
        <w:t>e</w:t>
      </w:r>
      <w:r w:rsidR="00386926" w:rsidRPr="0048702D">
        <w:t xml:space="preserve"> tous les délégués à travailler en collaboration et à faire preuve de souplesse pour éviter les retards inutiles.</w:t>
      </w:r>
    </w:p>
    <w:p w14:paraId="36C26C2F" w14:textId="77777777" w:rsidR="00F96E10" w:rsidRPr="0048702D" w:rsidRDefault="00F96E10" w:rsidP="000B304E">
      <w:r w:rsidRPr="0048702D">
        <w:t>1.6</w:t>
      </w:r>
      <w:r w:rsidRPr="0048702D">
        <w:tab/>
        <w:t xml:space="preserve">Il est </w:t>
      </w:r>
      <w:r w:rsidRPr="0048702D">
        <w:rPr>
          <w:b/>
          <w:bCs/>
        </w:rPr>
        <w:t>pris note</w:t>
      </w:r>
      <w:r w:rsidRPr="0048702D">
        <w:t xml:space="preserve"> du rapport verbal du Président de la Commission 4.</w:t>
      </w:r>
    </w:p>
    <w:p w14:paraId="5BBD17FF" w14:textId="672CE00C" w:rsidR="00F96E10" w:rsidRPr="0048702D" w:rsidRDefault="00F96E10" w:rsidP="000B304E">
      <w:r w:rsidRPr="0048702D">
        <w:t>1.7</w:t>
      </w:r>
      <w:r w:rsidRPr="0048702D">
        <w:tab/>
        <w:t>L</w:t>
      </w:r>
      <w:r w:rsidR="00975903" w:rsidRPr="0048702D">
        <w:t>a</w:t>
      </w:r>
      <w:r w:rsidRPr="0048702D">
        <w:t xml:space="preserve"> </w:t>
      </w:r>
      <w:r w:rsidRPr="0048702D">
        <w:rPr>
          <w:b/>
          <w:bCs/>
        </w:rPr>
        <w:t>Président</w:t>
      </w:r>
      <w:r w:rsidR="00975903" w:rsidRPr="0048702D">
        <w:rPr>
          <w:b/>
          <w:bCs/>
        </w:rPr>
        <w:t>e</w:t>
      </w:r>
      <w:r w:rsidRPr="0048702D">
        <w:rPr>
          <w:b/>
          <w:bCs/>
        </w:rPr>
        <w:t xml:space="preserve"> de la Commission 5</w:t>
      </w:r>
      <w:r w:rsidR="0064139C" w:rsidRPr="0048702D">
        <w:t xml:space="preserve"> </w:t>
      </w:r>
      <w:r w:rsidR="000D308A" w:rsidRPr="0048702D">
        <w:t xml:space="preserve">déclare que </w:t>
      </w:r>
      <w:r w:rsidR="005E7DD9" w:rsidRPr="0048702D">
        <w:t>s</w:t>
      </w:r>
      <w:r w:rsidR="000D308A" w:rsidRPr="0048702D">
        <w:t>a Commission s</w:t>
      </w:r>
      <w:r w:rsidR="000B304E" w:rsidRPr="0048702D">
        <w:t>'</w:t>
      </w:r>
      <w:r w:rsidR="000D308A" w:rsidRPr="0048702D">
        <w:t>est réunie une fois depuis la</w:t>
      </w:r>
      <w:r w:rsidR="005E7DD9" w:rsidRPr="0048702D">
        <w:t xml:space="preserve"> séance</w:t>
      </w:r>
      <w:r w:rsidR="000D308A" w:rsidRPr="0048702D">
        <w:t xml:space="preserve"> plénière précédente et a approuvé les résultats </w:t>
      </w:r>
      <w:r w:rsidR="005E7DD9" w:rsidRPr="0048702D">
        <w:t xml:space="preserve">des travaux </w:t>
      </w:r>
      <w:r w:rsidR="000D308A" w:rsidRPr="0048702D">
        <w:t>au titre des points 1.14 et 7 de l</w:t>
      </w:r>
      <w:r w:rsidR="000B304E" w:rsidRPr="0048702D">
        <w:t>'</w:t>
      </w:r>
      <w:r w:rsidR="000D308A" w:rsidRPr="0048702D">
        <w:t>ordre du jour (Question G)</w:t>
      </w:r>
      <w:r w:rsidRPr="0048702D">
        <w:t>.</w:t>
      </w:r>
      <w:r w:rsidR="00080C57" w:rsidRPr="0048702D">
        <w:t xml:space="preserve"> La Commission soumettra un document sur ces points à la Commission 7 </w:t>
      </w:r>
      <w:r w:rsidR="005E7DD9" w:rsidRPr="0048702D">
        <w:t xml:space="preserve">en vue de sa </w:t>
      </w:r>
      <w:r w:rsidR="00080C57" w:rsidRPr="0048702D">
        <w:t xml:space="preserve">présentation à la prochaine séance plénière. Des </w:t>
      </w:r>
      <w:r w:rsidR="005E7DD9" w:rsidRPr="0048702D">
        <w:t xml:space="preserve">séances </w:t>
      </w:r>
      <w:r w:rsidR="00080C57" w:rsidRPr="0048702D">
        <w:t>auront lieu pendant le week-end, car il reste encore beaucoup à faire.</w:t>
      </w:r>
    </w:p>
    <w:p w14:paraId="52874F83" w14:textId="1AAEC2E2" w:rsidR="0064139C" w:rsidRPr="0048702D" w:rsidRDefault="0064139C" w:rsidP="000B304E">
      <w:r w:rsidRPr="0048702D">
        <w:t>1.8</w:t>
      </w:r>
      <w:r w:rsidRPr="0048702D">
        <w:tab/>
        <w:t xml:space="preserve">Il est </w:t>
      </w:r>
      <w:r w:rsidRPr="0048702D">
        <w:rPr>
          <w:b/>
          <w:bCs/>
        </w:rPr>
        <w:t>pris note</w:t>
      </w:r>
      <w:r w:rsidRPr="0048702D">
        <w:t xml:space="preserve"> du rapport verbal d</w:t>
      </w:r>
      <w:r w:rsidR="003F041A" w:rsidRPr="0048702D">
        <w:t>e la</w:t>
      </w:r>
      <w:r w:rsidRPr="0048702D">
        <w:t xml:space="preserve"> Président</w:t>
      </w:r>
      <w:r w:rsidR="003F041A" w:rsidRPr="0048702D">
        <w:t>e</w:t>
      </w:r>
      <w:r w:rsidRPr="0048702D">
        <w:t xml:space="preserve"> de la Commission 5.</w:t>
      </w:r>
    </w:p>
    <w:p w14:paraId="72FA680A" w14:textId="6730F91A" w:rsidR="00F96E10" w:rsidRPr="0048702D" w:rsidRDefault="00F96E10" w:rsidP="000B304E">
      <w:r w:rsidRPr="0048702D">
        <w:t>1.9</w:t>
      </w:r>
      <w:r w:rsidRPr="0048702D">
        <w:tab/>
      </w:r>
      <w:r w:rsidR="005E7DD9" w:rsidRPr="0048702D">
        <w:t>L</w:t>
      </w:r>
      <w:r w:rsidR="00B21DCB" w:rsidRPr="0048702D">
        <w:t>e</w:t>
      </w:r>
      <w:r w:rsidR="0064139C" w:rsidRPr="0048702D">
        <w:t xml:space="preserve"> </w:t>
      </w:r>
      <w:r w:rsidR="0064139C" w:rsidRPr="0048702D">
        <w:rPr>
          <w:b/>
          <w:bCs/>
        </w:rPr>
        <w:t>Président de la Commission 6</w:t>
      </w:r>
      <w:r w:rsidR="00B21DCB" w:rsidRPr="0048702D">
        <w:t xml:space="preserve"> </w:t>
      </w:r>
      <w:r w:rsidR="005E7DD9" w:rsidRPr="0048702D">
        <w:t>indique que s</w:t>
      </w:r>
      <w:r w:rsidR="00DC5374" w:rsidRPr="0048702D">
        <w:t xml:space="preserve">a Commission a tenu sa cinquième séance </w:t>
      </w:r>
      <w:r w:rsidR="00A14249" w:rsidRPr="0048702D">
        <w:t>le matin</w:t>
      </w:r>
      <w:r w:rsidR="00A3335D" w:rsidRPr="0048702D">
        <w:t xml:space="preserve"> même</w:t>
      </w:r>
      <w:r w:rsidR="0064139C" w:rsidRPr="0048702D">
        <w:t>.</w:t>
      </w:r>
      <w:r w:rsidR="00A14249" w:rsidRPr="0048702D">
        <w:t xml:space="preserve"> </w:t>
      </w:r>
      <w:r w:rsidR="00C26625" w:rsidRPr="0048702D">
        <w:t xml:space="preserve">Grâce aux progrès </w:t>
      </w:r>
      <w:r w:rsidR="00750CDA" w:rsidRPr="0048702D">
        <w:t>sur l</w:t>
      </w:r>
      <w:r w:rsidR="00C26625" w:rsidRPr="0048702D">
        <w:t>es points 2, 4, 8, 9.1 et 9.2 de l</w:t>
      </w:r>
      <w:r w:rsidR="000B304E" w:rsidRPr="0048702D">
        <w:t>'</w:t>
      </w:r>
      <w:r w:rsidR="00C26625" w:rsidRPr="0048702D">
        <w:t>ordre du jour, la Commission a pu achever l</w:t>
      </w:r>
      <w:r w:rsidR="000B304E" w:rsidRPr="0048702D">
        <w:t>'</w:t>
      </w:r>
      <w:r w:rsidR="00C26625" w:rsidRPr="0048702D">
        <w:t xml:space="preserve">examen des </w:t>
      </w:r>
      <w:r w:rsidR="00514119" w:rsidRPr="0048702D">
        <w:t>r</w:t>
      </w:r>
      <w:r w:rsidR="00C26625" w:rsidRPr="0048702D">
        <w:t>ecommandations UIT-R révisées et incorporées par référence dans le Règlement des radiocommunications.</w:t>
      </w:r>
      <w:r w:rsidR="00907420" w:rsidRPr="0048702D">
        <w:t xml:space="preserve"> </w:t>
      </w:r>
      <w:r w:rsidR="00B2604E" w:rsidRPr="0048702D">
        <w:t xml:space="preserve">Elle a également établi une liste récapitulative des </w:t>
      </w:r>
      <w:r w:rsidR="00514119" w:rsidRPr="0048702D">
        <w:t>r</w:t>
      </w:r>
      <w:r w:rsidR="00B2604E" w:rsidRPr="0048702D">
        <w:t>ecommandations incorporées par référence, compte tenu des informations fournies par l</w:t>
      </w:r>
      <w:r w:rsidR="000B304E" w:rsidRPr="0048702D">
        <w:t>'</w:t>
      </w:r>
      <w:r w:rsidR="00B2604E" w:rsidRPr="0048702D">
        <w:t xml:space="preserve">AR-23. </w:t>
      </w:r>
      <w:r w:rsidR="00AA2236" w:rsidRPr="0048702D">
        <w:t xml:space="preserve">Cette liste a été transmise aux Présidents des Commissions 4 et 5 dans le Document 282, </w:t>
      </w:r>
      <w:r w:rsidR="00327900" w:rsidRPr="0048702D">
        <w:t>accompagnée d</w:t>
      </w:r>
      <w:r w:rsidR="000B304E" w:rsidRPr="0048702D">
        <w:t>'</w:t>
      </w:r>
      <w:r w:rsidR="00327900" w:rsidRPr="0048702D">
        <w:t xml:space="preserve">une </w:t>
      </w:r>
      <w:r w:rsidR="00AA2236" w:rsidRPr="0048702D">
        <w:t>demande de tenir la Commission 6 informée de toute adjonction nécessaire.</w:t>
      </w:r>
    </w:p>
    <w:p w14:paraId="3C3E42D8" w14:textId="15F4D6E5" w:rsidR="0064139C" w:rsidRPr="0048702D" w:rsidRDefault="0064139C" w:rsidP="000B304E">
      <w:r w:rsidRPr="0048702D">
        <w:t>1.10</w:t>
      </w:r>
      <w:r w:rsidRPr="0048702D">
        <w:tab/>
      </w:r>
      <w:r w:rsidR="008A7A6C" w:rsidRPr="0048702D">
        <w:t>La Commission a approuvé un certain nombre de propositions d</w:t>
      </w:r>
      <w:r w:rsidR="000B304E" w:rsidRPr="0048702D">
        <w:t>'</w:t>
      </w:r>
      <w:r w:rsidR="008A7A6C" w:rsidRPr="0048702D">
        <w:t>adjonction ou de suppression de noms de pays dans des renvois (Document 294(Rév.1))</w:t>
      </w:r>
      <w:r w:rsidRPr="0048702D">
        <w:t>.</w:t>
      </w:r>
      <w:r w:rsidR="009A5C24" w:rsidRPr="0048702D">
        <w:t xml:space="preserve"> Au titre du point 4 de l</w:t>
      </w:r>
      <w:r w:rsidR="000B304E" w:rsidRPr="0048702D">
        <w:t>'</w:t>
      </w:r>
      <w:r w:rsidR="009A5C24" w:rsidRPr="0048702D">
        <w:t>ordre du jour, elle a poursuivi l</w:t>
      </w:r>
      <w:r w:rsidR="000B304E" w:rsidRPr="0048702D">
        <w:t>'</w:t>
      </w:r>
      <w:r w:rsidR="009A5C24" w:rsidRPr="0048702D">
        <w:t xml:space="preserve">examen des propositions de mise à jour des </w:t>
      </w:r>
      <w:r w:rsidR="0019639A" w:rsidRPr="0048702D">
        <w:t>R</w:t>
      </w:r>
      <w:r w:rsidR="009A5C24" w:rsidRPr="0048702D">
        <w:t xml:space="preserve">ésolutions et </w:t>
      </w:r>
      <w:r w:rsidR="0019639A" w:rsidRPr="0048702D">
        <w:t>R</w:t>
      </w:r>
      <w:r w:rsidR="009A5C24" w:rsidRPr="0048702D">
        <w:t xml:space="preserve">ecommandations adoptées lors des conférences précédentes. </w:t>
      </w:r>
      <w:r w:rsidR="00750CDA" w:rsidRPr="0048702D">
        <w:t>Plusieurs</w:t>
      </w:r>
      <w:r w:rsidR="00981C7D" w:rsidRPr="0048702D">
        <w:t xml:space="preserve"> propositions ont été approuvées au niveau des groupes de travail (Document 291)</w:t>
      </w:r>
      <w:r w:rsidR="0073631A" w:rsidRPr="0048702D">
        <w:t>;</w:t>
      </w:r>
      <w:r w:rsidR="003416D3" w:rsidRPr="0048702D">
        <w:t xml:space="preserve"> d</w:t>
      </w:r>
      <w:r w:rsidR="000B304E" w:rsidRPr="0048702D">
        <w:t>'</w:t>
      </w:r>
      <w:r w:rsidR="003416D3" w:rsidRPr="0048702D">
        <w:t>autres</w:t>
      </w:r>
      <w:r w:rsidR="00981C7D" w:rsidRPr="0048702D">
        <w:t xml:space="preserve"> </w:t>
      </w:r>
      <w:r w:rsidR="0073631A" w:rsidRPr="0048702D">
        <w:t>ont déjà été approuvé</w:t>
      </w:r>
      <w:r w:rsidR="00485141" w:rsidRPr="0048702D">
        <w:t>e</w:t>
      </w:r>
      <w:r w:rsidR="0073631A" w:rsidRPr="0048702D">
        <w:t xml:space="preserve">s </w:t>
      </w:r>
      <w:r w:rsidR="00981C7D" w:rsidRPr="0048702D">
        <w:t>par la Commission</w:t>
      </w:r>
      <w:r w:rsidR="00AF3B81" w:rsidRPr="0048702D">
        <w:t xml:space="preserve"> et </w:t>
      </w:r>
      <w:r w:rsidR="00750CDA" w:rsidRPr="0048702D">
        <w:t>s</w:t>
      </w:r>
      <w:r w:rsidR="00AF3B81" w:rsidRPr="0048702D">
        <w:t>ont soumis</w:t>
      </w:r>
      <w:r w:rsidR="00485141" w:rsidRPr="0048702D">
        <w:t>es</w:t>
      </w:r>
      <w:r w:rsidR="00AF3B81" w:rsidRPr="0048702D">
        <w:t xml:space="preserve"> </w:t>
      </w:r>
      <w:r w:rsidR="00CC1A89" w:rsidRPr="0048702D">
        <w:t xml:space="preserve">pour examen </w:t>
      </w:r>
      <w:r w:rsidR="00750CDA" w:rsidRPr="0048702D">
        <w:t xml:space="preserve">à </w:t>
      </w:r>
      <w:r w:rsidR="00DC439E" w:rsidRPr="0048702D">
        <w:t xml:space="preserve">la </w:t>
      </w:r>
      <w:r w:rsidR="001A6788" w:rsidRPr="0048702D">
        <w:t xml:space="preserve">présente </w:t>
      </w:r>
      <w:r w:rsidR="00981C7D" w:rsidRPr="0048702D">
        <w:t>séance (Document 289).</w:t>
      </w:r>
      <w:r w:rsidR="00033E3F" w:rsidRPr="0048702D">
        <w:t xml:space="preserve"> Au titre du point 10 de l</w:t>
      </w:r>
      <w:r w:rsidR="000B304E" w:rsidRPr="0048702D">
        <w:t>'</w:t>
      </w:r>
      <w:r w:rsidR="00033E3F" w:rsidRPr="0048702D">
        <w:t>ordre du jour, la Commission a achevé la révision de la Résolution 804 (Rév.CMR</w:t>
      </w:r>
      <w:r w:rsidR="00803553" w:rsidRPr="0048702D">
        <w:noBreakHyphen/>
      </w:r>
      <w:r w:rsidR="00033E3F" w:rsidRPr="0048702D">
        <w:t xml:space="preserve">19), qui sera également examinée à la </w:t>
      </w:r>
      <w:r w:rsidR="0027619F" w:rsidRPr="0048702D">
        <w:t>présente</w:t>
      </w:r>
      <w:r w:rsidR="00750CDA" w:rsidRPr="0048702D">
        <w:t xml:space="preserve"> séance</w:t>
      </w:r>
      <w:r w:rsidR="0027619F" w:rsidRPr="0048702D">
        <w:t xml:space="preserve"> </w:t>
      </w:r>
      <w:r w:rsidR="00033E3F" w:rsidRPr="0048702D">
        <w:t>plénière (Document 288).</w:t>
      </w:r>
    </w:p>
    <w:p w14:paraId="0B764537" w14:textId="3DD9E962" w:rsidR="00F96E10" w:rsidRPr="0048702D" w:rsidRDefault="00F96E10" w:rsidP="000B304E">
      <w:r w:rsidRPr="0048702D">
        <w:lastRenderedPageBreak/>
        <w:t>1.11</w:t>
      </w:r>
      <w:r w:rsidRPr="0048702D">
        <w:tab/>
      </w:r>
      <w:r w:rsidR="005D0B87" w:rsidRPr="0048702D">
        <w:t xml:space="preserve">Enfin, les sous-groupes de la </w:t>
      </w:r>
      <w:r w:rsidR="00A66F01" w:rsidRPr="0048702D">
        <w:t>C</w:t>
      </w:r>
      <w:r w:rsidR="005D0B87" w:rsidRPr="0048702D">
        <w:t>ommission ont commencé à rédiger des textes sur des questions susceptibles d</w:t>
      </w:r>
      <w:r w:rsidR="000B304E" w:rsidRPr="0048702D">
        <w:t>'</w:t>
      </w:r>
      <w:r w:rsidR="005D0B87" w:rsidRPr="0048702D">
        <w:t>être inscrites à l</w:t>
      </w:r>
      <w:r w:rsidR="000B304E" w:rsidRPr="0048702D">
        <w:t>'</w:t>
      </w:r>
      <w:r w:rsidR="005D0B87" w:rsidRPr="0048702D">
        <w:t>ordre du jour de futures CMR.</w:t>
      </w:r>
      <w:r w:rsidR="00CE67B1" w:rsidRPr="0048702D">
        <w:t xml:space="preserve"> Compte tenu du volume de travail restant, l</w:t>
      </w:r>
      <w:r w:rsidR="00C13DED" w:rsidRPr="0048702D">
        <w:t xml:space="preserve">a Commission compte </w:t>
      </w:r>
      <w:r w:rsidR="00750CDA" w:rsidRPr="0048702D">
        <w:t>tenir des séances</w:t>
      </w:r>
      <w:r w:rsidR="00CE67B1" w:rsidRPr="0048702D">
        <w:t xml:space="preserve"> au cours du week-end.</w:t>
      </w:r>
    </w:p>
    <w:p w14:paraId="534A12F1" w14:textId="77777777" w:rsidR="00F96E10" w:rsidRPr="0048702D" w:rsidRDefault="00F96E10" w:rsidP="000B304E">
      <w:r w:rsidRPr="0048702D">
        <w:t>1.12</w:t>
      </w:r>
      <w:r w:rsidRPr="0048702D">
        <w:tab/>
        <w:t xml:space="preserve">Il est </w:t>
      </w:r>
      <w:r w:rsidRPr="0048702D">
        <w:rPr>
          <w:b/>
          <w:bCs/>
        </w:rPr>
        <w:t>pris note</w:t>
      </w:r>
      <w:r w:rsidRPr="0048702D">
        <w:t xml:space="preserve"> du rapport verbal du Président de la Commission 6.</w:t>
      </w:r>
    </w:p>
    <w:p w14:paraId="3AB1FFE2" w14:textId="64DBB676" w:rsidR="00754245" w:rsidRPr="0048702D" w:rsidRDefault="00F96E10" w:rsidP="000B304E">
      <w:r w:rsidRPr="0048702D">
        <w:t>1.13</w:t>
      </w:r>
      <w:r w:rsidRPr="0048702D">
        <w:tab/>
        <w:t xml:space="preserve">Le </w:t>
      </w:r>
      <w:r w:rsidRPr="0048702D">
        <w:rPr>
          <w:b/>
          <w:bCs/>
        </w:rPr>
        <w:t>Président de la Commission 7</w:t>
      </w:r>
      <w:r w:rsidR="0064139C" w:rsidRPr="0048702D">
        <w:t xml:space="preserve"> </w:t>
      </w:r>
      <w:r w:rsidR="00591C67" w:rsidRPr="0048702D">
        <w:t xml:space="preserve">signale </w:t>
      </w:r>
      <w:r w:rsidR="0087496F" w:rsidRPr="0048702D">
        <w:t xml:space="preserve">que sa </w:t>
      </w:r>
      <w:r w:rsidR="00A66F01" w:rsidRPr="0048702D">
        <w:t>C</w:t>
      </w:r>
      <w:r w:rsidR="0087496F" w:rsidRPr="0048702D">
        <w:t xml:space="preserve">ommission a préparé deux séries de textes </w:t>
      </w:r>
      <w:r w:rsidR="00476C9F" w:rsidRPr="0048702D">
        <w:t xml:space="preserve">qui seront soumis en première lecture </w:t>
      </w:r>
      <w:r w:rsidR="0087496F" w:rsidRPr="0048702D">
        <w:t xml:space="preserve">à la </w:t>
      </w:r>
      <w:r w:rsidR="00476C9F" w:rsidRPr="0048702D">
        <w:t>présente</w:t>
      </w:r>
      <w:r w:rsidR="00750CDA" w:rsidRPr="0048702D">
        <w:t xml:space="preserve"> séance</w:t>
      </w:r>
      <w:r w:rsidR="00476C9F" w:rsidRPr="0048702D">
        <w:t xml:space="preserve"> </w:t>
      </w:r>
      <w:r w:rsidR="0087496F" w:rsidRPr="0048702D">
        <w:t>plénière.</w:t>
      </w:r>
    </w:p>
    <w:p w14:paraId="414C17F8" w14:textId="5904CA2D" w:rsidR="00CA3836" w:rsidRPr="0048702D" w:rsidRDefault="00CA3836" w:rsidP="00CA3836">
      <w:r w:rsidRPr="0048702D">
        <w:t>1.14</w:t>
      </w:r>
      <w:r w:rsidRPr="0048702D">
        <w:tab/>
        <w:t xml:space="preserve">Suite aux préoccupations exprimées à la séance plénière précédente concernant le fait que </w:t>
      </w:r>
      <w:r w:rsidR="007D5E0B" w:rsidRPr="0048702D">
        <w:t>diverses</w:t>
      </w:r>
      <w:r w:rsidR="00B07A68" w:rsidRPr="0048702D">
        <w:t xml:space="preserve"> </w:t>
      </w:r>
      <w:r w:rsidRPr="0048702D">
        <w:t>modifications apportées aux dispositions de l'Appendice 4 sont soumises dans différents documents bleus, l'intervenant précise qu'un nouveau mécanisme, destiné à tenir compte de deux cas possibles, est en cours de mise en place.</w:t>
      </w:r>
    </w:p>
    <w:p w14:paraId="1F405412" w14:textId="77777777" w:rsidR="00CA3836" w:rsidRPr="0048702D" w:rsidRDefault="00CA3836" w:rsidP="00CA3836">
      <w:r w:rsidRPr="0048702D">
        <w:t>1.15</w:t>
      </w:r>
      <w:r w:rsidRPr="0048702D">
        <w:tab/>
        <w:t>En ce qui concerne les modifications émanant de la même commission, le secrétariat de cette commission devra veiller à ce que toutes les modifications proposées soient regroupées dans un seul et même texte, qui sera soumis à la commission et, par la suite, dans un document blanc à la Commission 7. En conséquence, une commission pourra être amenée à mettre en attente les résultats des travaux d'un groupe de travail sur une disposition donnée et attendre qu'un autre groupe de travail achève ses travaux sur la même disposition avant d'élaborer un document de synthèse.</w:t>
      </w:r>
    </w:p>
    <w:p w14:paraId="01E5FB41" w14:textId="77777777" w:rsidR="00CA3836" w:rsidRPr="0048702D" w:rsidRDefault="00CA3836" w:rsidP="00CA3836">
      <w:r w:rsidRPr="0048702D">
        <w:t>1.16</w:t>
      </w:r>
      <w:r w:rsidRPr="0048702D">
        <w:tab/>
        <w:t>Pour ce qui est des modifications émanant de différentes commissions, les dispositions ayant donné lieu à des propositions de textes qui relèvent de la responsabilité de plusieurs commissions seront, dans la mesure du possible, identifiées dès que possible, et les commissions concernées se concerteront pour élaborer une proposition de texte de synthèse qui sera soumise à la plénière par l'intermédiaire de la Commission 7. Lorsqu'un tel chevauchement ne peut être identifié à l'avance et qu'une commission modifie un texte qui a déjà été approuvé en rose, cette commission devra ajouter des marques de révision dans la version propre «rose» du texte et la soumettre à la Commission 7, afin de savoir clairement quelles parties du texte ont déjà été adoptées et quelles parties sont nouvelles.</w:t>
      </w:r>
    </w:p>
    <w:p w14:paraId="6EE48F61" w14:textId="77777777" w:rsidR="00CA3836" w:rsidRPr="0048702D" w:rsidRDefault="00CA3836" w:rsidP="00CA3836">
      <w:r w:rsidRPr="0048702D">
        <w:t>1.17</w:t>
      </w:r>
      <w:r w:rsidRPr="0048702D">
        <w:tab/>
        <w:t xml:space="preserve">Il est </w:t>
      </w:r>
      <w:r w:rsidRPr="0048702D">
        <w:rPr>
          <w:b/>
        </w:rPr>
        <w:t xml:space="preserve">pris note </w:t>
      </w:r>
      <w:r w:rsidRPr="0048702D">
        <w:t>du rapport verbal du Président de la Commission 7.</w:t>
      </w:r>
    </w:p>
    <w:p w14:paraId="515D60DE" w14:textId="77777777" w:rsidR="00CA3836" w:rsidRPr="0048702D" w:rsidRDefault="00CA3836" w:rsidP="00CA3836">
      <w:pPr>
        <w:pStyle w:val="Heading1"/>
      </w:pPr>
      <w:r w:rsidRPr="0048702D">
        <w:t>2</w:t>
      </w:r>
      <w:r w:rsidRPr="0048702D">
        <w:tab/>
        <w:t>Neuvième série de textes soumis par la Commission de rédaction en première lecture (B9) (Document 288)</w:t>
      </w:r>
    </w:p>
    <w:p w14:paraId="065A1352" w14:textId="77777777" w:rsidR="00CA3836" w:rsidRPr="0048702D" w:rsidRDefault="00CA3836" w:rsidP="00CA3836">
      <w:r w:rsidRPr="0048702D">
        <w:t>2.1</w:t>
      </w:r>
      <w:r w:rsidRPr="0048702D">
        <w:tab/>
        <w:t xml:space="preserve">Le </w:t>
      </w:r>
      <w:r w:rsidRPr="0048702D">
        <w:rPr>
          <w:b/>
        </w:rPr>
        <w:t>Président de la Commission de rédaction</w:t>
      </w:r>
      <w:r w:rsidRPr="0048702D">
        <w:t xml:space="preserve"> présente le Document 288.</w:t>
      </w:r>
    </w:p>
    <w:p w14:paraId="48A3EF21" w14:textId="77777777" w:rsidR="00CA3836" w:rsidRPr="0048702D" w:rsidRDefault="00CA3836" w:rsidP="00CA3836">
      <w:r w:rsidRPr="0048702D">
        <w:t>2.2</w:t>
      </w:r>
      <w:r w:rsidRPr="0048702D">
        <w:tab/>
        <w:t xml:space="preserve">Le </w:t>
      </w:r>
      <w:r w:rsidRPr="0048702D">
        <w:rPr>
          <w:b/>
        </w:rPr>
        <w:t>Président</w:t>
      </w:r>
      <w:r w:rsidRPr="0048702D">
        <w:t xml:space="preserve"> invite les participants à examiner le Document 288.</w:t>
      </w:r>
    </w:p>
    <w:p w14:paraId="5419A39F" w14:textId="77777777" w:rsidR="00CA3836" w:rsidRPr="0048702D" w:rsidRDefault="00CA3836" w:rsidP="00CA3836">
      <w:pPr>
        <w:pStyle w:val="Headingb"/>
      </w:pPr>
      <w:r w:rsidRPr="0048702D">
        <w:t>MOD Résolution 804 (Rév.CMR-19); SUP Résolution 178 (CMR-19); SUP Résolution 250 (CMR-19)</w:t>
      </w:r>
    </w:p>
    <w:p w14:paraId="76A6F468" w14:textId="77777777" w:rsidR="00CA3836" w:rsidRPr="0048702D" w:rsidRDefault="00CA3836" w:rsidP="00CA3836">
      <w:r w:rsidRPr="0048702D">
        <w:t>2.3</w:t>
      </w:r>
      <w:r w:rsidRPr="0048702D">
        <w:tab/>
      </w:r>
      <w:r w:rsidRPr="0048702D">
        <w:rPr>
          <w:b/>
          <w:bCs/>
        </w:rPr>
        <w:t>Approuvés</w:t>
      </w:r>
      <w:r w:rsidRPr="0048702D">
        <w:t>.</w:t>
      </w:r>
    </w:p>
    <w:p w14:paraId="7DFB3E53" w14:textId="77777777" w:rsidR="00CA3836" w:rsidRPr="0048702D" w:rsidRDefault="00CA3836" w:rsidP="00CA3836">
      <w:r w:rsidRPr="0048702D">
        <w:t>2.4</w:t>
      </w:r>
      <w:r w:rsidRPr="0048702D">
        <w:tab/>
        <w:t xml:space="preserve">La neuvième série de textes soumis par la Commission de rédaction en première lecture (B9) (Document 288) est </w:t>
      </w:r>
      <w:r w:rsidRPr="0048702D">
        <w:rPr>
          <w:b/>
          <w:bCs/>
        </w:rPr>
        <w:t>approuvée</w:t>
      </w:r>
      <w:r w:rsidRPr="0048702D">
        <w:t>.</w:t>
      </w:r>
    </w:p>
    <w:p w14:paraId="2A9302CB" w14:textId="77777777" w:rsidR="00CA3836" w:rsidRPr="0048702D" w:rsidRDefault="00CA3836" w:rsidP="00CA3836">
      <w:pPr>
        <w:pStyle w:val="Heading1"/>
      </w:pPr>
      <w:r w:rsidRPr="0048702D">
        <w:t>3</w:t>
      </w:r>
      <w:r w:rsidRPr="0048702D">
        <w:tab/>
        <w:t>Neuvième série de textes soumis par la Commission de rédaction (B9) – deuxième lecture (Document 288)</w:t>
      </w:r>
    </w:p>
    <w:p w14:paraId="64DEFD56" w14:textId="77777777" w:rsidR="00CA3836" w:rsidRPr="0048702D" w:rsidRDefault="00CA3836" w:rsidP="00CA3836">
      <w:r w:rsidRPr="0048702D">
        <w:t>3.1</w:t>
      </w:r>
      <w:r w:rsidRPr="0048702D">
        <w:tab/>
        <w:t xml:space="preserve">La neuvième série de textes soumis par la Commission de rédaction (B9) (Document 288) est </w:t>
      </w:r>
      <w:r w:rsidRPr="0048702D">
        <w:rPr>
          <w:b/>
          <w:bCs/>
        </w:rPr>
        <w:t xml:space="preserve">approuvée </w:t>
      </w:r>
      <w:r w:rsidRPr="0048702D">
        <w:t>en deuxième lecture.</w:t>
      </w:r>
    </w:p>
    <w:p w14:paraId="59A9B30B" w14:textId="27CD0F3E" w:rsidR="00CA3836" w:rsidRPr="0048702D" w:rsidRDefault="00CA3836" w:rsidP="00CA3836">
      <w:r w:rsidRPr="0048702D">
        <w:lastRenderedPageBreak/>
        <w:t>3.2</w:t>
      </w:r>
      <w:r w:rsidRPr="0048702D">
        <w:tab/>
        <w:t xml:space="preserve">En réponse à une question du </w:t>
      </w:r>
      <w:r w:rsidRPr="0048702D">
        <w:rPr>
          <w:b/>
        </w:rPr>
        <w:t>Président de la Commission 6</w:t>
      </w:r>
      <w:r w:rsidRPr="0048702D">
        <w:t xml:space="preserve">, le </w:t>
      </w:r>
      <w:r w:rsidRPr="0048702D">
        <w:rPr>
          <w:b/>
        </w:rPr>
        <w:t>Président</w:t>
      </w:r>
      <w:r w:rsidRPr="0048702D">
        <w:t xml:space="preserve"> </w:t>
      </w:r>
      <w:r w:rsidR="00B07A68" w:rsidRPr="0048702D">
        <w:t xml:space="preserve">demande </w:t>
      </w:r>
      <w:r w:rsidRPr="0048702D">
        <w:t>que les participants à la plénière décident que la Résolution 804 (Rév.CMR-23) entrera en vigueur avec effet immédiat.</w:t>
      </w:r>
    </w:p>
    <w:p w14:paraId="5E468EED" w14:textId="77777777" w:rsidR="00CA3836" w:rsidRPr="0048702D" w:rsidRDefault="00CA3836" w:rsidP="00CA3836">
      <w:r w:rsidRPr="0048702D">
        <w:t>3.3</w:t>
      </w:r>
      <w:r w:rsidRPr="0048702D">
        <w:tab/>
        <w:t xml:space="preserve">Il en est ainsi </w:t>
      </w:r>
      <w:r w:rsidRPr="0048702D">
        <w:rPr>
          <w:b/>
        </w:rPr>
        <w:t>décidé</w:t>
      </w:r>
      <w:r w:rsidRPr="0048702D">
        <w:t>.</w:t>
      </w:r>
    </w:p>
    <w:p w14:paraId="53E60372" w14:textId="77777777" w:rsidR="00CA3836" w:rsidRPr="0048702D" w:rsidRDefault="00CA3836" w:rsidP="00CA3836">
      <w:pPr>
        <w:pStyle w:val="Heading1"/>
        <w:keepNext w:val="0"/>
        <w:keepLines w:val="0"/>
      </w:pPr>
      <w:r w:rsidRPr="0048702D">
        <w:t>4</w:t>
      </w:r>
      <w:r w:rsidRPr="0048702D">
        <w:tab/>
        <w:t>Dixième série de textes soumis par la Commission de rédaction en première lecture (B10) (Document 289)</w:t>
      </w:r>
    </w:p>
    <w:p w14:paraId="3A1F1517" w14:textId="77777777" w:rsidR="00CA3836" w:rsidRPr="0048702D" w:rsidRDefault="00CA3836" w:rsidP="00CA3836">
      <w:r w:rsidRPr="0048702D">
        <w:t>4.1</w:t>
      </w:r>
      <w:r w:rsidRPr="0048702D">
        <w:tab/>
        <w:t xml:space="preserve">Le </w:t>
      </w:r>
      <w:r w:rsidRPr="0048702D">
        <w:rPr>
          <w:b/>
        </w:rPr>
        <w:t>Président de la Commission de rédaction</w:t>
      </w:r>
      <w:r w:rsidRPr="0048702D">
        <w:t xml:space="preserve"> présente le Document 289.</w:t>
      </w:r>
    </w:p>
    <w:p w14:paraId="5578E3AD" w14:textId="77777777" w:rsidR="00CA3836" w:rsidRPr="0048702D" w:rsidRDefault="00CA3836" w:rsidP="00CA3836">
      <w:r w:rsidRPr="0048702D">
        <w:t>4.2</w:t>
      </w:r>
      <w:r w:rsidRPr="0048702D">
        <w:tab/>
        <w:t xml:space="preserve">Le </w:t>
      </w:r>
      <w:r w:rsidRPr="0048702D">
        <w:rPr>
          <w:b/>
        </w:rPr>
        <w:t>Président</w:t>
      </w:r>
      <w:r w:rsidRPr="0048702D">
        <w:t xml:space="preserve"> invite les participants à examiner le Document 289.</w:t>
      </w:r>
    </w:p>
    <w:p w14:paraId="19C35943" w14:textId="77777777" w:rsidR="00CA3836" w:rsidRPr="0048702D" w:rsidRDefault="00CA3836" w:rsidP="00CA3836">
      <w:pPr>
        <w:pStyle w:val="Headingb"/>
      </w:pPr>
      <w:r w:rsidRPr="0048702D">
        <w:t>Article 5 (MOD 5.527A); Article 22 (MOD 22.5CA); Appendice 4 (MOD Tableau A); MOD Résolution 25 (Rév.CMR-03); MOD Résolution 140 (Rév.CMR-15); MOD Résolution 156 (CMR-15)</w:t>
      </w:r>
    </w:p>
    <w:p w14:paraId="76442B04" w14:textId="77777777" w:rsidR="00CA3836" w:rsidRPr="0048702D" w:rsidRDefault="00CA3836" w:rsidP="00CA3836">
      <w:r w:rsidRPr="0048702D">
        <w:t>4.3</w:t>
      </w:r>
      <w:r w:rsidRPr="0048702D">
        <w:tab/>
      </w:r>
      <w:r w:rsidRPr="0048702D">
        <w:rPr>
          <w:b/>
          <w:bCs/>
        </w:rPr>
        <w:t>Approuvés</w:t>
      </w:r>
      <w:r w:rsidRPr="0048702D">
        <w:t>.</w:t>
      </w:r>
    </w:p>
    <w:p w14:paraId="303323D4" w14:textId="77777777" w:rsidR="00CA3836" w:rsidRPr="0048702D" w:rsidRDefault="00CA3836" w:rsidP="00CA3836">
      <w:r w:rsidRPr="0048702D">
        <w:t>4.4</w:t>
      </w:r>
      <w:r w:rsidRPr="0048702D">
        <w:tab/>
        <w:t xml:space="preserve">La dixième série de textes soumis par la Commission de rédaction en première lecture (B10) (Document 289) est </w:t>
      </w:r>
      <w:r w:rsidRPr="0048702D">
        <w:rPr>
          <w:b/>
          <w:bCs/>
        </w:rPr>
        <w:t>approuvée</w:t>
      </w:r>
      <w:r w:rsidRPr="0048702D">
        <w:t>.</w:t>
      </w:r>
    </w:p>
    <w:p w14:paraId="34F23ABB" w14:textId="77777777" w:rsidR="00CA3836" w:rsidRPr="0048702D" w:rsidRDefault="00CA3836" w:rsidP="00CA3836">
      <w:pPr>
        <w:pStyle w:val="Heading1"/>
      </w:pPr>
      <w:r w:rsidRPr="0048702D">
        <w:t>5</w:t>
      </w:r>
      <w:r w:rsidRPr="0048702D">
        <w:tab/>
        <w:t>Dixième série de textes soumis par la Commission de rédaction (B10) – deuxième lecture (Document 289)</w:t>
      </w:r>
    </w:p>
    <w:p w14:paraId="4BC3F30C" w14:textId="77777777" w:rsidR="00CA3836" w:rsidRPr="0048702D" w:rsidRDefault="00CA3836" w:rsidP="00CA3836">
      <w:r w:rsidRPr="0048702D">
        <w:t>5.1</w:t>
      </w:r>
      <w:r w:rsidRPr="0048702D">
        <w:tab/>
        <w:t xml:space="preserve">La dixième série de textes soumis par la Commission de rédaction (B10) (Document 289) est </w:t>
      </w:r>
      <w:r w:rsidRPr="0048702D">
        <w:rPr>
          <w:b/>
          <w:bCs/>
        </w:rPr>
        <w:t xml:space="preserve">approuvée </w:t>
      </w:r>
      <w:r w:rsidRPr="0048702D">
        <w:t>en deuxième lecture.</w:t>
      </w:r>
    </w:p>
    <w:p w14:paraId="374FE867" w14:textId="77777777" w:rsidR="00CA3836" w:rsidRPr="0048702D" w:rsidRDefault="00CA3836" w:rsidP="00CA3836">
      <w:pPr>
        <w:pStyle w:val="Heading1"/>
      </w:pPr>
      <w:r w:rsidRPr="0048702D">
        <w:t>6</w:t>
      </w:r>
      <w:r w:rsidRPr="0048702D">
        <w:tab/>
        <w:t>Approbation des procès-verbaux – première, deuxième et troisième séances plénières (Documents 236, 258 et 264)</w:t>
      </w:r>
    </w:p>
    <w:p w14:paraId="0F93977B" w14:textId="77777777" w:rsidR="00CA3836" w:rsidRPr="0048702D" w:rsidRDefault="00CA3836" w:rsidP="00CA3836">
      <w:r w:rsidRPr="0048702D">
        <w:t>6.1</w:t>
      </w:r>
      <w:r w:rsidRPr="0048702D">
        <w:tab/>
        <w:t xml:space="preserve">Les procès-verbaux des première, deuxième et troisième séances plénières (Documents 236, 258 et 264) sont </w:t>
      </w:r>
      <w:r w:rsidRPr="0048702D">
        <w:rPr>
          <w:b/>
        </w:rPr>
        <w:t>approuvés</w:t>
      </w:r>
      <w:r w:rsidRPr="0048702D">
        <w:t>, sous réserve d'une modification d'ordre rédactionnel apportée à l'intitulé du § 3.2 du Document 264.</w:t>
      </w:r>
    </w:p>
    <w:p w14:paraId="2C26F7EA" w14:textId="77777777" w:rsidR="00CA3836" w:rsidRPr="0048702D" w:rsidRDefault="00CA3836" w:rsidP="00CA3836">
      <w:pPr>
        <w:pStyle w:val="Heading1"/>
      </w:pPr>
      <w:r w:rsidRPr="0048702D">
        <w:t>7</w:t>
      </w:r>
      <w:r w:rsidRPr="0048702D">
        <w:tab/>
        <w:t>Déclaration de Mme Aarti Holla-Maini, Directrice du Bureau des affaires spatiales de l'ONU (UNOOSA)</w:t>
      </w:r>
    </w:p>
    <w:p w14:paraId="6E01A89E" w14:textId="77777777" w:rsidR="00CA3836" w:rsidRPr="0048702D" w:rsidRDefault="00CA3836" w:rsidP="00CA3836">
      <w:r w:rsidRPr="0048702D">
        <w:t>7.1</w:t>
      </w:r>
      <w:r w:rsidRPr="0048702D">
        <w:tab/>
      </w:r>
      <w:r w:rsidRPr="0048702D">
        <w:rPr>
          <w:b/>
        </w:rPr>
        <w:t>Mme</w:t>
      </w:r>
      <w:r w:rsidRPr="0048702D">
        <w:t xml:space="preserve"> </w:t>
      </w:r>
      <w:r w:rsidRPr="0048702D">
        <w:rPr>
          <w:b/>
          <w:bCs/>
        </w:rPr>
        <w:t>Holla-Maini, Directrice du Bureau des affaires spatiales de l'ONU</w:t>
      </w:r>
      <w:r w:rsidRPr="0048702D">
        <w:rPr>
          <w:bCs/>
        </w:rPr>
        <w:t xml:space="preserve">, </w:t>
      </w:r>
      <w:r w:rsidRPr="0048702D">
        <w:t>prononce l'allocution reproduite dans l'Annexe A.</w:t>
      </w:r>
    </w:p>
    <w:p w14:paraId="50AEA2B8" w14:textId="77777777" w:rsidR="00CA3836" w:rsidRPr="0048702D" w:rsidRDefault="00CA3836" w:rsidP="00CA3836">
      <w:pPr>
        <w:pStyle w:val="Heading1"/>
      </w:pPr>
      <w:r w:rsidRPr="0048702D">
        <w:t>8</w:t>
      </w:r>
      <w:r w:rsidRPr="0048702D">
        <w:tab/>
        <w:t>Fête nationale des Émirats arabes unis</w:t>
      </w:r>
    </w:p>
    <w:p w14:paraId="56A54748" w14:textId="77777777" w:rsidR="00CA3836" w:rsidRPr="0048702D" w:rsidRDefault="00CA3836" w:rsidP="00CA3836">
      <w:r w:rsidRPr="0048702D">
        <w:t>8.1</w:t>
      </w:r>
      <w:r w:rsidRPr="0048702D">
        <w:tab/>
        <w:t xml:space="preserve">Le </w:t>
      </w:r>
      <w:r w:rsidRPr="0048702D">
        <w:rPr>
          <w:b/>
        </w:rPr>
        <w:t>délégué de l'Arabie saoudite</w:t>
      </w:r>
      <w:r w:rsidRPr="0048702D">
        <w:t xml:space="preserve"> adresse ses félicitations aux Émirats arabes unis à l'occasion de la 52ème édition de leur Fête nationale, qui sera célébrée le samedi 2 décembre. Il souligne également que sa délégation ne ménagera aucun effort pour parvenir à un consensus sur tous les points de l'ordre du jour et appelle les autres délégations à faire de même.</w:t>
      </w:r>
    </w:p>
    <w:p w14:paraId="1DAC7837" w14:textId="77777777" w:rsidR="00CA3836" w:rsidRPr="0048702D" w:rsidRDefault="00CA3836" w:rsidP="00CA3836">
      <w:r w:rsidRPr="0048702D">
        <w:t>8.2</w:t>
      </w:r>
      <w:r w:rsidRPr="0048702D">
        <w:tab/>
        <w:t xml:space="preserve">Le </w:t>
      </w:r>
      <w:r w:rsidRPr="0048702D">
        <w:rPr>
          <w:b/>
        </w:rPr>
        <w:t>Président</w:t>
      </w:r>
      <w:r w:rsidRPr="0048702D">
        <w:t xml:space="preserve"> prie instamment les participants d'adopter le même esprit de collaboration.</w:t>
      </w:r>
    </w:p>
    <w:p w14:paraId="7C8C8E66" w14:textId="77777777" w:rsidR="00CA3836" w:rsidRPr="0048702D" w:rsidRDefault="00CA3836" w:rsidP="00E511AB">
      <w:pPr>
        <w:keepNext/>
        <w:keepLines/>
      </w:pPr>
      <w:r w:rsidRPr="0048702D">
        <w:lastRenderedPageBreak/>
        <w:t>8.3</w:t>
      </w:r>
      <w:r w:rsidRPr="0048702D">
        <w:tab/>
        <w:t xml:space="preserve">Le </w:t>
      </w:r>
      <w:r w:rsidRPr="0048702D">
        <w:rPr>
          <w:b/>
        </w:rPr>
        <w:t>délégué des Émirats arabes unis</w:t>
      </w:r>
      <w:r w:rsidRPr="0048702D">
        <w:t xml:space="preserve"> déclare que la Fête nationale tient à cœur à tous les Émiratis et que sa délégation attend avec intérêt de partager les célébrations de cette Fête avec les participants à la Conférence.</w:t>
      </w:r>
    </w:p>
    <w:p w14:paraId="373FD6A4" w14:textId="77777777" w:rsidR="00CA3836" w:rsidRPr="0048702D" w:rsidRDefault="00CA3836" w:rsidP="00E511AB">
      <w:pPr>
        <w:keepNext/>
        <w:keepLines/>
        <w:rPr>
          <w:rFonts w:eastAsia="MS Mincho"/>
          <w:b/>
          <w:bCs/>
          <w:szCs w:val="24"/>
        </w:rPr>
      </w:pPr>
      <w:r w:rsidRPr="0048702D">
        <w:rPr>
          <w:rFonts w:eastAsia="MS Mincho"/>
          <w:b/>
          <w:bCs/>
          <w:szCs w:val="24"/>
        </w:rPr>
        <w:t>La séance est levée à 17 heures.</w:t>
      </w:r>
    </w:p>
    <w:p w14:paraId="271A2786" w14:textId="77777777" w:rsidR="00CA3836" w:rsidRPr="0048702D" w:rsidRDefault="00CA3836" w:rsidP="00E511AB">
      <w:pPr>
        <w:keepNext/>
        <w:keepLines/>
        <w:tabs>
          <w:tab w:val="clear" w:pos="1134"/>
          <w:tab w:val="clear" w:pos="1871"/>
          <w:tab w:val="clear" w:pos="2268"/>
          <w:tab w:val="left" w:pos="6804"/>
        </w:tabs>
        <w:spacing w:before="840"/>
        <w:rPr>
          <w:bCs/>
        </w:rPr>
      </w:pPr>
      <w:r w:rsidRPr="0048702D">
        <w:rPr>
          <w:rFonts w:eastAsia="MS Mincho"/>
          <w:szCs w:val="24"/>
        </w:rPr>
        <w:t>La Secrétaire générale:</w:t>
      </w:r>
      <w:r w:rsidRPr="0048702D">
        <w:rPr>
          <w:rFonts w:eastAsia="MS Mincho"/>
          <w:szCs w:val="24"/>
        </w:rPr>
        <w:tab/>
        <w:t>Le Président:</w:t>
      </w:r>
      <w:r w:rsidRPr="0048702D">
        <w:rPr>
          <w:rFonts w:eastAsia="MS Mincho"/>
          <w:szCs w:val="24"/>
        </w:rPr>
        <w:br/>
        <w:t>D. BOGDAN-MARTIN</w:t>
      </w:r>
      <w:r w:rsidRPr="0048702D">
        <w:rPr>
          <w:rFonts w:eastAsia="MS Mincho"/>
          <w:szCs w:val="24"/>
        </w:rPr>
        <w:tab/>
        <w:t>M. AL RAMSI</w:t>
      </w:r>
    </w:p>
    <w:p w14:paraId="316B0045" w14:textId="77777777" w:rsidR="00CA3836" w:rsidRPr="0048702D" w:rsidRDefault="00CA3836" w:rsidP="00E511AB">
      <w:pPr>
        <w:keepNext/>
        <w:keepLines/>
        <w:spacing w:before="840"/>
        <w:rPr>
          <w:rFonts w:eastAsia="MS Mincho"/>
          <w:szCs w:val="24"/>
        </w:rPr>
      </w:pPr>
      <w:r w:rsidRPr="0048702D">
        <w:rPr>
          <w:rFonts w:eastAsia="MS Mincho"/>
          <w:b/>
          <w:bCs/>
          <w:szCs w:val="24"/>
        </w:rPr>
        <w:t>Annexe</w:t>
      </w:r>
      <w:r w:rsidRPr="0048702D">
        <w:rPr>
          <w:rFonts w:eastAsia="MS Mincho"/>
          <w:szCs w:val="24"/>
        </w:rPr>
        <w:t>: 1</w:t>
      </w:r>
    </w:p>
    <w:p w14:paraId="761E5ABC" w14:textId="60F38F4B" w:rsidR="0072469E" w:rsidRPr="0048702D" w:rsidRDefault="0072469E" w:rsidP="000B304E">
      <w:r w:rsidRPr="0048702D">
        <w:br w:type="page"/>
      </w:r>
    </w:p>
    <w:p w14:paraId="60778878" w14:textId="77777777" w:rsidR="0025481F" w:rsidRPr="0048702D" w:rsidRDefault="0025481F" w:rsidP="0025481F">
      <w:pPr>
        <w:spacing w:after="120"/>
        <w:jc w:val="right"/>
        <w:outlineLvl w:val="0"/>
        <w:rPr>
          <w:kern w:val="2"/>
        </w:rPr>
      </w:pPr>
      <w:bookmarkStart w:id="6" w:name="lt_pId161"/>
      <w:r w:rsidRPr="0048702D">
        <w:rPr>
          <w:kern w:val="2"/>
        </w:rPr>
        <w:lastRenderedPageBreak/>
        <w:t>Original:</w:t>
      </w:r>
      <w:bookmarkEnd w:id="6"/>
      <w:r w:rsidRPr="0048702D">
        <w:rPr>
          <w:kern w:val="2"/>
        </w:rPr>
        <w:t xml:space="preserve"> anglais</w:t>
      </w:r>
    </w:p>
    <w:p w14:paraId="64BB57A8" w14:textId="77777777" w:rsidR="0025481F" w:rsidRPr="0048702D" w:rsidRDefault="0025481F" w:rsidP="0025481F">
      <w:pPr>
        <w:pStyle w:val="AnnexNo"/>
      </w:pPr>
      <w:bookmarkStart w:id="7" w:name="lt_pId163"/>
      <w:r w:rsidRPr="0048702D">
        <w:t>ANNEXE A</w:t>
      </w:r>
      <w:bookmarkEnd w:id="7"/>
    </w:p>
    <w:p w14:paraId="021EAFBC" w14:textId="77777777" w:rsidR="0025481F" w:rsidRPr="0048702D" w:rsidRDefault="0025481F" w:rsidP="0025481F">
      <w:pPr>
        <w:pStyle w:val="Annextitle"/>
      </w:pPr>
      <w:bookmarkStart w:id="8" w:name="lt_pId164"/>
      <w:r w:rsidRPr="0048702D">
        <w:t>Déclaration de Mme Aarti Holla-Maini,</w:t>
      </w:r>
      <w:bookmarkEnd w:id="8"/>
      <w:r w:rsidRPr="0048702D">
        <w:br/>
        <w:t>Bureau des affaires spatiales de l'Organisation des Nations Unies</w:t>
      </w:r>
    </w:p>
    <w:p w14:paraId="6E4881C1" w14:textId="77777777" w:rsidR="0025481F" w:rsidRPr="0048702D" w:rsidRDefault="0025481F" w:rsidP="0025481F">
      <w:pPr>
        <w:pStyle w:val="Normalaftertitle"/>
      </w:pPr>
      <w:bookmarkStart w:id="9" w:name="lt_pId166"/>
      <w:r w:rsidRPr="0048702D">
        <w:t>Madame la Secrétaire générale de l'UIT, chère Doreen,</w:t>
      </w:r>
      <w:bookmarkEnd w:id="9"/>
    </w:p>
    <w:p w14:paraId="6EA6CDBC" w14:textId="77777777" w:rsidR="0025481F" w:rsidRPr="0048702D" w:rsidRDefault="0025481F" w:rsidP="0025481F">
      <w:bookmarkStart w:id="10" w:name="lt_pId167"/>
      <w:r w:rsidRPr="0048702D">
        <w:t>Monsieur le Directeur du Bureau des radiocommunications, cher Mario,</w:t>
      </w:r>
      <w:bookmarkEnd w:id="10"/>
    </w:p>
    <w:p w14:paraId="102FA98C" w14:textId="77777777" w:rsidR="0025481F" w:rsidRPr="0048702D" w:rsidRDefault="0025481F" w:rsidP="0025481F">
      <w:bookmarkStart w:id="11" w:name="lt_pId168"/>
      <w:r w:rsidRPr="0048702D">
        <w:t>Monsieur Mohammed Al Ramsi, Président de la CMR-23,</w:t>
      </w:r>
      <w:bookmarkEnd w:id="11"/>
    </w:p>
    <w:p w14:paraId="0F882A44" w14:textId="77777777" w:rsidR="0025481F" w:rsidRPr="0048702D" w:rsidRDefault="0025481F" w:rsidP="0025481F">
      <w:bookmarkStart w:id="12" w:name="lt_pId169"/>
      <w:r w:rsidRPr="0048702D">
        <w:t>Mesdames et messieurs les délégués,</w:t>
      </w:r>
      <w:bookmarkEnd w:id="12"/>
    </w:p>
    <w:p w14:paraId="75CA3456" w14:textId="77777777" w:rsidR="0025481F" w:rsidRPr="0048702D" w:rsidRDefault="0025481F" w:rsidP="0025481F">
      <w:r w:rsidRPr="0048702D">
        <w:t>Je vous remercie de me donner la parole. Après avoir collaboré pendant de nombreuses années avec l'UIT et d'éminents délégués en tant que représentante du secteur privé, j'ai l'immense honneur de m'adresser aujourd'hui à la Conférence mondiale des radiocommunications de l'UIT en ma qualité de Directrice du Bureau des affaires spatiales de l'Organisation des Nations Unies (ONU), également connu sous le sigle UNOOSA en anglais.</w:t>
      </w:r>
    </w:p>
    <w:p w14:paraId="6946CBF0" w14:textId="77777777" w:rsidR="0025481F" w:rsidRPr="0048702D" w:rsidRDefault="0025481F" w:rsidP="0025481F">
      <w:r w:rsidRPr="0048702D">
        <w:t>Je suis certaine que vous avez toutes et tous des connaissances sur les questions spatiales, mais je ne sais pas combien de délégués connaissent le Bureau des affaires spatiales, permettez-moi donc tout d'abord de le présenter. Le Bureau des affaires spatiales est le Bureau de l'ONU s'occupant exclusivement des questions spatiales. Il assure le secrétariat du Comité des utilisations pacifiques de l'espace extra-atmosphérique (COPUOS), qui a tout récemment été chargé d'adopter les Lignes directrices aux fins de la viabilité à long terme des activités spatiales, et veille à la bonne utilisation de l'espace au service des Objectifs de développement durable (ODD) au sein du système des Nations Unies.</w:t>
      </w:r>
    </w:p>
    <w:p w14:paraId="5C0AAA66" w14:textId="77777777" w:rsidR="0025481F" w:rsidRPr="0048702D" w:rsidRDefault="0025481F" w:rsidP="0025481F">
      <w:r w:rsidRPr="0048702D">
        <w:t>Le Bureau s'emploie essentiellement à renforcer les capacités des États Membres de l'ONU, par le biais de programmes thématiques tels que Space4Weather, Space4Climate et Space4Women, pour n'en citer que quelques-uns. À travers notre programme «Accès à l'espace pour tous», nous avons aidé des pays qui n'avaient pas d'activités spatiales comme le Kenya, le Guatemala, Moldova et Maurice à devenir des acteurs spatiaux avec le lancement de leurs tous premiers satellites, qui ont permis de renforcer l'enseignement des sciences, des technologies, de l'ingénierie et des mathématiques (STEM) et de lancer des activités économiques liées à l'espace dans ces pays. Nous aidons les pays à se conformer à la réglementation internationale en enregistrant, au sein du Bureau, les objets qu'ils lancent et à mettre en place une législation et des politiques spatiales.</w:t>
      </w:r>
    </w:p>
    <w:p w14:paraId="203800B2" w14:textId="77777777" w:rsidR="0025481F" w:rsidRPr="0048702D" w:rsidRDefault="0025481F" w:rsidP="0025481F">
      <w:pPr>
        <w:rPr>
          <w:bCs/>
        </w:rPr>
      </w:pPr>
      <w:r w:rsidRPr="0048702D">
        <w:rPr>
          <w:bCs/>
        </w:rPr>
        <w:t>Dans le cadre du Programme des Nations Unies pour l'exploitation de l'information d'origine spatiale aux fins de la gestion des catastrophes et des interventions d'urgence (UN-SPIDER), nous déjà mené 36 missions d'enquête afin de recenser les besoins des pays vulnérables sur le terrain, et près de 40 missions de renforcement institutionnel, dans le cadre desquelles nous avons assuré la coordination entre les ministères et formé les employés d'organismes de gestion des catastrophes à la façon d'accéder aux données spatiales en cas de catastrophe et d'utiliser ces données.</w:t>
      </w:r>
    </w:p>
    <w:p w14:paraId="6103E8D7" w14:textId="362E37E3" w:rsidR="0025481F" w:rsidRPr="0048702D" w:rsidRDefault="0025481F" w:rsidP="0025481F">
      <w:r w:rsidRPr="0048702D">
        <w:t xml:space="preserve">Nos travaux visent avant tout à aider tous les États Membres de l'ONU, en particulier les pays en développement, à accéder aux avantages qu'offre l'espace et à en tirer parti, en vue d'accélérer le développement durable. Néanmoins, ces avantages sont nombreux et nous ne pouvons pas à nous seuls nous acquitter de cette mission. Dans ce contexte, le Bureau des affaires spatiales dirige la </w:t>
      </w:r>
      <w:r w:rsidRPr="0048702D">
        <w:br w:type="page"/>
      </w:r>
    </w:p>
    <w:p w14:paraId="1F7F66E3" w14:textId="0F76F0E3" w:rsidR="0025481F" w:rsidRPr="0048702D" w:rsidRDefault="0025481F" w:rsidP="0025481F">
      <w:r w:rsidRPr="0048702D">
        <w:lastRenderedPageBreak/>
        <w:t>Réunion interorganisations sur les activités spatiales (ONU-Espace), mécanisme de coordination interorganisations rassemblant 33 autres entités et institutions spécialisées des Nations Unies qui travaillent toutes sur les questions spatiales, ou qui sont intéressées par l'utilisation de l'espace, au nombre desquelles figure l'UIT.</w:t>
      </w:r>
    </w:p>
    <w:p w14:paraId="759ACB1C" w14:textId="77777777" w:rsidR="0025481F" w:rsidRPr="0048702D" w:rsidRDefault="0025481F" w:rsidP="0025481F">
      <w:r w:rsidRPr="0048702D">
        <w:t>La mission de l'UIT est, entre autres choses, de veiller à la bonne utilisation des télécommunications au service du développement durable, et l'espace en est un aspect important qui ne cesse de prendre de l'ampleur. Si les travaux de l'UIT rassemblent d'éminents délégués représentant des régulateurs nationaux des télécommunications, ceux du Bureau des affaires spatiales et du COPUOS rassemblent, entre autres, des délégués distingués issus d'agences spatiales ainsi que des experts des questions spatiales des ministères des affaires étrangères de différents pays. Les participants aux travaux de l'UIT ont une parfaite connaissance des systèmes de télécommunication, tandis que ceux prenant part aux travaux du COPUOS ont une connaissance approfondie des systèmes spatiaux et de leur viabilité, comme en attestent les travaux intenses ayant abouti à l'élaboration des Lignes directrices aux fins de la viabilité à long terme des activités spatiales, qui ont été adoptées par consensus en 2019.</w:t>
      </w:r>
    </w:p>
    <w:p w14:paraId="4E6ED74C" w14:textId="21046CB4" w:rsidR="0025481F" w:rsidRPr="0048702D" w:rsidRDefault="0025481F" w:rsidP="0025481F">
      <w:r w:rsidRPr="0048702D">
        <w:t>Il est essentiel, pour que le Bureau des affaires spatiales et le COPUOS puissent s'acquitter de leur mission et de leur mandat, de préserver l'environnement spatial compte tenu des avantages qu'il offre aujourd'hui et qu'il continuera d'offrir aux générations futures. De ce fait, le Bureau des affaires spatiales considère qu'il faut d'urgence réduire les écarts et renforcer la coopération entre les participants aux travaux de l'UIT et du COPUOS qui, s'ils sont tous issus d'États Membres de l'ONU, travaillent sur un éventail de questions différentes, bien que liées.</w:t>
      </w:r>
    </w:p>
    <w:p w14:paraId="405CC25F" w14:textId="20C12F8A" w:rsidR="0080493A" w:rsidRPr="0048702D" w:rsidRDefault="0080493A" w:rsidP="0080493A">
      <w:r w:rsidRPr="0048702D">
        <w:t>Je tiens à remercier les délégués pour l'adoption, pendant l'Assemblée des radiocommunications, de la résolution sur les activités relatives à l'utilisation durable des ressources que constituent le spectre des fréquences radioélectriques et les orbites de satellites associées et qui sont utilisés par les services spatiaux. Les efforts déployés pour parvenir à cette résolution témoignent par eux-mêmes de la coopération internationale entre l'UIT et l'OOSA. Dans le futur, nous rechercherons de manière proactive des possibilités pour améliorer la compréhension et accroître les connaissances des délégués des deux parties, par exemple en invitant les régulateurs nationaux des télécommunication et les fonctionnaires de l'UIT à échanger avec le COPUOS et à faire des présentations. Nous collaborons déjà avec le BR, mais nous espérons mettre au point un accord OOSA-UIT de grande envergure pour garantir que l'OOSA tire le meilleur parti des technologies, des données et des services spatiaux en général, tout en garantissant, grâce à sa collaboration avec l'UIT, que les services de communication par satellite soient pleinement pris en compte dans mes travaux visant à atteindre les ODD définis par les Nations Unies à l'échelle mondiale et à répondre aux besoins des différents États Membres de l'ONU au niveau local.</w:t>
      </w:r>
    </w:p>
    <w:p w14:paraId="4199808B" w14:textId="2777545F" w:rsidR="0080493A" w:rsidRPr="0048702D" w:rsidRDefault="0080493A" w:rsidP="0080493A">
      <w:r w:rsidRPr="0048702D">
        <w:t xml:space="preserve">Permettez-moi de conclure en citant certains domaines de travail de la présente Conférence qui revêtent une importance fondamentale vis-à-vis du mandat de l'OOSA. En 2015, l'OOSA s'est associé au Bureau des Nations Unies pour la prévention des catastrophes, à l'Organisation météorologique mondiale (OMM) ainsi qu'à d'autres partenaires pour lancer le Réseau international des systèmes d'alerte précoce multidangers (IN-MHEWS). L'OOSA et l'OMM coprésident ce réseau depuis près de dix ans. Il s'appuie sur l'imagerie par satellite pour améliorer le fonctionnement des systèmes d'alerte avancée pour différents types de risques naturels. La CMR-15 a décidé d'étendre de 600 MHz à 1 200 MHz la largeur de bande d'acquisition des systèmes SAR dans la bande de fréquences des 10 GHz, ce qui a permis l'évolution des capacités de ces systèmes, qui ont ainsi pu offrir un service d'imagerie à haute résolution avec une précision de moins de 25 cm, ce qui n'est possible dans aucune autre bande de fréquences. Ces images par satellite utilisant des radars à ouverture synthétique sont essentielles non seulement pour le fonctionnement des réseaux d'alerte avancée, mais aussi pour un large éventail de domaines d'application tels que la surveillance de l'environnement (déforestation, gestion de l'eau, etc.), la surveillance de la pêche </w:t>
      </w:r>
      <w:r w:rsidRPr="0048702D">
        <w:lastRenderedPageBreak/>
        <w:t>illégale, l'agriculture durable, la lutte contre les changements climatiques et la gestion des catastrophes, autant de domaines que j'aborderai cette semaine dans le cadre de la COP-28, qui se tient également ici, à Dubaï. Si nous revenions maintenant sur la décision de la CMR-15, cela nous priverait tout simplement de la possibilité de tirer parti de cette imagerie à haute résolution, sans aucune solution de remplacement.</w:t>
      </w:r>
    </w:p>
    <w:p w14:paraId="38E519A8" w14:textId="3622DE25" w:rsidR="0080493A" w:rsidRPr="0048702D" w:rsidRDefault="0080493A" w:rsidP="0080493A">
      <w:r w:rsidRPr="0048702D">
        <w:t>En outre, l'OOSA gère un programme sur la santé mondiale, qui porte notamment sur les questions de sécurité alimentaire et d'immigration. Les systèmes à satellites sont essentiels pour faire en sorte que les millions de personnes qui vivent dans des zones isolées ou dans des zones côtières vulnérables puissent bénéficier de soins de santé, de vivres et d'autres ressources. Le Programme alimentaire mondial de l'ONU utilise la bande C pour connecter 270 sites dans 75 pays différents, en particulier pour desservir l'Afrique. Le Haut-Commissariat des Nations Unies pour les réfugiés (HCR) s'appuie sur des services de communication par satellite éprouvés et sûrs utilisant la bande C dans divers endroits du monde. La bande C demeure au cœur de ces systèmes d'aide alimentaire et de santé. J'espère que les délégués prendront une nouvelle fois dûment note du rôle que jouent ces systèmes pour les travaux de l'ensemble du système des Nations Unies.</w:t>
      </w:r>
    </w:p>
    <w:p w14:paraId="48160E9C" w14:textId="452B738E" w:rsidR="0080493A" w:rsidRPr="0048702D" w:rsidRDefault="0080493A" w:rsidP="0080493A">
      <w:pPr>
        <w:rPr>
          <w:color w:val="242424"/>
          <w:sz w:val="22"/>
          <w:szCs w:val="22"/>
          <w:bdr w:val="none" w:sz="0" w:space="0" w:color="auto" w:frame="1"/>
        </w:rPr>
      </w:pPr>
      <w:r w:rsidRPr="0048702D">
        <w:t>Ces exemples, qui entrent dans le cadre de l'ordre du jour de la CMR-23, concernent l'OOSA dans la mesure où son mandat consiste à tirer le meilleur parti possible des solutions spatiales en vue d'atteindre les ODD. J'espère que ce bref exposé sur nos travaux vous aura été utile pour vos délibérations et je remercie une fois de plus l'UIT de m'avoir donné l'occasion de prendre la parole devant cette éminente assemblée. Enfin, je voudrais également féliciter les Émirats arabes unis à l'occasion de leur fête nationale à venir.</w:t>
      </w:r>
    </w:p>
    <w:p w14:paraId="620EDF2B" w14:textId="77777777" w:rsidR="0025481F" w:rsidRPr="0048702D" w:rsidRDefault="0025481F" w:rsidP="0025481F">
      <w:pPr>
        <w:jc w:val="center"/>
      </w:pPr>
      <w:r w:rsidRPr="0048702D">
        <w:t>______________</w:t>
      </w:r>
    </w:p>
    <w:sectPr w:rsidR="0025481F" w:rsidRPr="0048702D">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7791F" w14:textId="77777777" w:rsidR="00F76F36" w:rsidRDefault="00F76F36">
      <w:r>
        <w:separator/>
      </w:r>
    </w:p>
  </w:endnote>
  <w:endnote w:type="continuationSeparator" w:id="0">
    <w:p w14:paraId="29E8DB1E" w14:textId="77777777" w:rsidR="00F76F36" w:rsidRDefault="00F7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2D85" w14:textId="04004AD3" w:rsidR="00936D25" w:rsidRDefault="00936D25">
    <w:pPr>
      <w:rPr>
        <w:lang w:val="en-US"/>
      </w:rPr>
    </w:pPr>
    <w:r>
      <w:fldChar w:fldCharType="begin"/>
    </w:r>
    <w:r>
      <w:rPr>
        <w:lang w:val="en-US"/>
      </w:rPr>
      <w:instrText xml:space="preserve"> FILENAME \p  \* MERGEFORMAT </w:instrText>
    </w:r>
    <w:r>
      <w:fldChar w:fldCharType="separate"/>
    </w:r>
    <w:r w:rsidR="0048702D">
      <w:rPr>
        <w:noProof/>
        <w:lang w:val="en-US"/>
      </w:rPr>
      <w:t>P:\FRA\ITU-R\CONF-R\CMR23\300\328F.docx</w:t>
    </w:r>
    <w:r>
      <w:fldChar w:fldCharType="end"/>
    </w:r>
    <w:r>
      <w:rPr>
        <w:lang w:val="en-US"/>
      </w:rPr>
      <w:tab/>
    </w:r>
    <w:r>
      <w:fldChar w:fldCharType="begin"/>
    </w:r>
    <w:r>
      <w:instrText xml:space="preserve"> SAVEDATE \@ DD.MM.YY </w:instrText>
    </w:r>
    <w:r>
      <w:fldChar w:fldCharType="separate"/>
    </w:r>
    <w:r w:rsidR="0048702D">
      <w:rPr>
        <w:noProof/>
      </w:rPr>
      <w:t>06.12.23</w:t>
    </w:r>
    <w:r>
      <w:fldChar w:fldCharType="end"/>
    </w:r>
    <w:r>
      <w:rPr>
        <w:lang w:val="en-US"/>
      </w:rPr>
      <w:tab/>
    </w:r>
    <w:r>
      <w:fldChar w:fldCharType="begin"/>
    </w:r>
    <w:r>
      <w:instrText xml:space="preserve"> PRINTDATE \@ DD.MM.YY </w:instrText>
    </w:r>
    <w:r>
      <w:fldChar w:fldCharType="separate"/>
    </w:r>
    <w:r w:rsidR="0048702D">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393B" w14:textId="1F44E6E3" w:rsidR="00936D25" w:rsidRPr="000B304E" w:rsidRDefault="003C6DF0" w:rsidP="003C6DF0">
    <w:pPr>
      <w:pStyle w:val="Footer"/>
      <w:rPr>
        <w:lang w:val="en-US"/>
      </w:rPr>
    </w:pPr>
    <w:r w:rsidRPr="003C6DF0">
      <w:rPr>
        <w:lang w:val="en-GB"/>
      </w:rPr>
      <w:fldChar w:fldCharType="begin"/>
    </w:r>
    <w:r w:rsidRPr="003C6DF0">
      <w:rPr>
        <w:lang w:val="en-GB"/>
      </w:rPr>
      <w:instrText xml:space="preserve"> FILENAME \p  \* MERGEFORMAT </w:instrText>
    </w:r>
    <w:r w:rsidRPr="003C6DF0">
      <w:rPr>
        <w:lang w:val="en-GB"/>
      </w:rPr>
      <w:fldChar w:fldCharType="separate"/>
    </w:r>
    <w:r w:rsidR="0048702D">
      <w:rPr>
        <w:lang w:val="en-GB"/>
      </w:rPr>
      <w:t>P:\FRA\ITU-R\CONF-R\CMR23\300\328F.docx</w:t>
    </w:r>
    <w:r w:rsidRPr="003C6DF0">
      <w:rPr>
        <w:lang w:val="en-GB"/>
      </w:rPr>
      <w:fldChar w:fldCharType="end"/>
    </w:r>
    <w:r w:rsidR="000B304E" w:rsidRPr="00803553">
      <w:rPr>
        <w:lang w:val="en-GB"/>
      </w:rPr>
      <w:t xml:space="preserve"> </w:t>
    </w:r>
    <w:r w:rsidR="000B304E">
      <w:rPr>
        <w:lang w:val="en-GB"/>
      </w:rPr>
      <w:t>(</w:t>
    </w:r>
    <w:r w:rsidR="000B304E" w:rsidRPr="00803553">
      <w:rPr>
        <w:lang w:val="en-GB"/>
      </w:rPr>
      <w:t>53225</w:t>
    </w:r>
    <w:r>
      <w:rPr>
        <w:lang w:val="en-GB"/>
      </w:rPr>
      <w:t>3</w:t>
    </w:r>
    <w:r w:rsidR="000B304E" w:rsidRPr="00803553">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3707" w14:textId="7133E975" w:rsidR="00936D25" w:rsidRDefault="003C6DF0" w:rsidP="003C6DF0">
    <w:pPr>
      <w:pStyle w:val="Footer"/>
      <w:rPr>
        <w:lang w:val="en-US"/>
      </w:rPr>
    </w:pPr>
    <w:r w:rsidRPr="003C6DF0">
      <w:rPr>
        <w:lang w:val="en-GB"/>
      </w:rPr>
      <w:fldChar w:fldCharType="begin"/>
    </w:r>
    <w:r w:rsidRPr="003C6DF0">
      <w:rPr>
        <w:lang w:val="en-GB"/>
      </w:rPr>
      <w:instrText xml:space="preserve"> FILENAME \p  \* MERGEFORMAT </w:instrText>
    </w:r>
    <w:r w:rsidRPr="003C6DF0">
      <w:rPr>
        <w:lang w:val="en-GB"/>
      </w:rPr>
      <w:fldChar w:fldCharType="separate"/>
    </w:r>
    <w:r w:rsidR="0048702D">
      <w:rPr>
        <w:lang w:val="en-GB"/>
      </w:rPr>
      <w:t>P:\FRA\ITU-R\CONF-R\CMR23\300\328F.docx</w:t>
    </w:r>
    <w:r w:rsidRPr="003C6DF0">
      <w:rPr>
        <w:lang w:val="en-GB"/>
      </w:rPr>
      <w:fldChar w:fldCharType="end"/>
    </w:r>
    <w:r w:rsidRPr="003C6DF0">
      <w:rPr>
        <w:lang w:val="en-GB"/>
      </w:rPr>
      <w:t xml:space="preserve"> </w:t>
    </w:r>
    <w:r w:rsidR="00803553">
      <w:rPr>
        <w:lang w:val="en-GB"/>
      </w:rPr>
      <w:t>(</w:t>
    </w:r>
    <w:r w:rsidR="00F96E10" w:rsidRPr="00803553">
      <w:rPr>
        <w:lang w:val="en-GB"/>
      </w:rPr>
      <w:t>5322</w:t>
    </w:r>
    <w:r>
      <w:rPr>
        <w:lang w:val="en-GB"/>
      </w:rPr>
      <w:t>53</w:t>
    </w:r>
    <w:r w:rsidR="00F96E10" w:rsidRPr="00803553">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700C" w14:textId="77777777" w:rsidR="00F76F36" w:rsidRDefault="00F76F36">
      <w:r>
        <w:rPr>
          <w:b/>
        </w:rPr>
        <w:t>_______________</w:t>
      </w:r>
    </w:p>
  </w:footnote>
  <w:footnote w:type="continuationSeparator" w:id="0">
    <w:p w14:paraId="43F8645D" w14:textId="77777777" w:rsidR="00F76F36" w:rsidRDefault="00F76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FDA" w14:textId="6B14DD9F" w:rsidR="004F1F8E" w:rsidRPr="00602866" w:rsidRDefault="004F1F8E" w:rsidP="00602866">
    <w:pPr>
      <w:pStyle w:val="Header"/>
    </w:pPr>
    <w:r w:rsidRPr="00602866">
      <w:fldChar w:fldCharType="begin"/>
    </w:r>
    <w:r w:rsidRPr="00602866">
      <w:instrText xml:space="preserve"> PAGE </w:instrText>
    </w:r>
    <w:r w:rsidRPr="00602866">
      <w:fldChar w:fldCharType="separate"/>
    </w:r>
    <w:r w:rsidR="00B07A68">
      <w:rPr>
        <w:noProof/>
      </w:rPr>
      <w:t>4</w:t>
    </w:r>
    <w:r w:rsidRPr="00602866">
      <w:fldChar w:fldCharType="end"/>
    </w:r>
  </w:p>
  <w:p w14:paraId="4F8461B5" w14:textId="064B9741" w:rsidR="004F1F8E" w:rsidRDefault="00F372DE" w:rsidP="00602866">
    <w:pPr>
      <w:pStyle w:val="Header"/>
    </w:pPr>
    <w:r w:rsidRPr="00602866">
      <w:t>WRC</w:t>
    </w:r>
    <w:r w:rsidR="00CD3928" w:rsidRPr="00602866">
      <w:t>23</w:t>
    </w:r>
    <w:r w:rsidR="004F1F8E" w:rsidRPr="00602866">
      <w:t>/</w:t>
    </w:r>
    <w:r w:rsidR="00602866">
      <w:t>328</w:t>
    </w:r>
    <w:r w:rsidR="004F1F8E" w:rsidRPr="00602866">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643077788">
    <w:abstractNumId w:val="0"/>
  </w:num>
  <w:num w:numId="2" w16cid:durableId="20385068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36"/>
    <w:rsid w:val="0000342C"/>
    <w:rsid w:val="00016648"/>
    <w:rsid w:val="00033E3F"/>
    <w:rsid w:val="0003522F"/>
    <w:rsid w:val="00080C57"/>
    <w:rsid w:val="00080E2C"/>
    <w:rsid w:val="000A4755"/>
    <w:rsid w:val="000A7974"/>
    <w:rsid w:val="000B2E0C"/>
    <w:rsid w:val="000B304E"/>
    <w:rsid w:val="000B3D0C"/>
    <w:rsid w:val="000B3F9D"/>
    <w:rsid w:val="000D308A"/>
    <w:rsid w:val="000D7059"/>
    <w:rsid w:val="000E718D"/>
    <w:rsid w:val="0011424B"/>
    <w:rsid w:val="001167B9"/>
    <w:rsid w:val="001267A0"/>
    <w:rsid w:val="00134655"/>
    <w:rsid w:val="00160C64"/>
    <w:rsid w:val="0019352B"/>
    <w:rsid w:val="001960D0"/>
    <w:rsid w:val="0019639A"/>
    <w:rsid w:val="001A6788"/>
    <w:rsid w:val="001E6170"/>
    <w:rsid w:val="00232FD2"/>
    <w:rsid w:val="002542DE"/>
    <w:rsid w:val="0025481F"/>
    <w:rsid w:val="00254D1A"/>
    <w:rsid w:val="00261FC9"/>
    <w:rsid w:val="0027619F"/>
    <w:rsid w:val="002A4622"/>
    <w:rsid w:val="002B17E5"/>
    <w:rsid w:val="002C0EBF"/>
    <w:rsid w:val="002C5FCD"/>
    <w:rsid w:val="002C740B"/>
    <w:rsid w:val="002F0BD7"/>
    <w:rsid w:val="002F2477"/>
    <w:rsid w:val="00315AFE"/>
    <w:rsid w:val="00327900"/>
    <w:rsid w:val="003416D3"/>
    <w:rsid w:val="0034206A"/>
    <w:rsid w:val="003536B6"/>
    <w:rsid w:val="003606A6"/>
    <w:rsid w:val="00363DC7"/>
    <w:rsid w:val="0036650C"/>
    <w:rsid w:val="00386926"/>
    <w:rsid w:val="003909AA"/>
    <w:rsid w:val="003A56E7"/>
    <w:rsid w:val="003A583E"/>
    <w:rsid w:val="003C6DF0"/>
    <w:rsid w:val="003E112B"/>
    <w:rsid w:val="003E5E3D"/>
    <w:rsid w:val="003F041A"/>
    <w:rsid w:val="00416F68"/>
    <w:rsid w:val="00453A3F"/>
    <w:rsid w:val="00457428"/>
    <w:rsid w:val="00466211"/>
    <w:rsid w:val="00476C9F"/>
    <w:rsid w:val="00485141"/>
    <w:rsid w:val="0048702D"/>
    <w:rsid w:val="004D01FC"/>
    <w:rsid w:val="004E28C3"/>
    <w:rsid w:val="004E45A6"/>
    <w:rsid w:val="004F1F8E"/>
    <w:rsid w:val="00514119"/>
    <w:rsid w:val="005262EF"/>
    <w:rsid w:val="00584FF8"/>
    <w:rsid w:val="00586CF2"/>
    <w:rsid w:val="00587A4E"/>
    <w:rsid w:val="00591C67"/>
    <w:rsid w:val="005950D7"/>
    <w:rsid w:val="005C3768"/>
    <w:rsid w:val="005C6C3F"/>
    <w:rsid w:val="005D0B87"/>
    <w:rsid w:val="005E7DD9"/>
    <w:rsid w:val="00602866"/>
    <w:rsid w:val="00613635"/>
    <w:rsid w:val="0062093D"/>
    <w:rsid w:val="00637ECF"/>
    <w:rsid w:val="0064139C"/>
    <w:rsid w:val="00647B59"/>
    <w:rsid w:val="00654E39"/>
    <w:rsid w:val="00671882"/>
    <w:rsid w:val="006C7391"/>
    <w:rsid w:val="006D43FF"/>
    <w:rsid w:val="006F7F9D"/>
    <w:rsid w:val="00701BAE"/>
    <w:rsid w:val="0070204B"/>
    <w:rsid w:val="007239B8"/>
    <w:rsid w:val="0072469E"/>
    <w:rsid w:val="00730E95"/>
    <w:rsid w:val="0073631A"/>
    <w:rsid w:val="00750CDA"/>
    <w:rsid w:val="00754245"/>
    <w:rsid w:val="00755590"/>
    <w:rsid w:val="00771E92"/>
    <w:rsid w:val="00774362"/>
    <w:rsid w:val="007A04E8"/>
    <w:rsid w:val="007B4BEA"/>
    <w:rsid w:val="007D5E0B"/>
    <w:rsid w:val="00803553"/>
    <w:rsid w:val="0080493A"/>
    <w:rsid w:val="0084145D"/>
    <w:rsid w:val="0084553F"/>
    <w:rsid w:val="00862B43"/>
    <w:rsid w:val="0087496F"/>
    <w:rsid w:val="008A3120"/>
    <w:rsid w:val="008A7A6C"/>
    <w:rsid w:val="008C000E"/>
    <w:rsid w:val="008C1F1C"/>
    <w:rsid w:val="008D41BE"/>
    <w:rsid w:val="008D58D3"/>
    <w:rsid w:val="008D6821"/>
    <w:rsid w:val="00902194"/>
    <w:rsid w:val="00907420"/>
    <w:rsid w:val="00923064"/>
    <w:rsid w:val="00936D25"/>
    <w:rsid w:val="00936EF3"/>
    <w:rsid w:val="00941EA5"/>
    <w:rsid w:val="009549B7"/>
    <w:rsid w:val="00966C16"/>
    <w:rsid w:val="00975903"/>
    <w:rsid w:val="009765A8"/>
    <w:rsid w:val="00981C7D"/>
    <w:rsid w:val="0098732F"/>
    <w:rsid w:val="00995A4E"/>
    <w:rsid w:val="009A5C24"/>
    <w:rsid w:val="009C7E7C"/>
    <w:rsid w:val="009D5DAD"/>
    <w:rsid w:val="00A00473"/>
    <w:rsid w:val="00A03C9B"/>
    <w:rsid w:val="00A14249"/>
    <w:rsid w:val="00A3335D"/>
    <w:rsid w:val="00A606C3"/>
    <w:rsid w:val="00A64F33"/>
    <w:rsid w:val="00A66F01"/>
    <w:rsid w:val="00A761AD"/>
    <w:rsid w:val="00A8339B"/>
    <w:rsid w:val="00A83B09"/>
    <w:rsid w:val="00A84541"/>
    <w:rsid w:val="00AA1A20"/>
    <w:rsid w:val="00AA2236"/>
    <w:rsid w:val="00AC4A5E"/>
    <w:rsid w:val="00AE2C3E"/>
    <w:rsid w:val="00AE36A0"/>
    <w:rsid w:val="00AE6499"/>
    <w:rsid w:val="00AF3B81"/>
    <w:rsid w:val="00B00294"/>
    <w:rsid w:val="00B01F2A"/>
    <w:rsid w:val="00B07A68"/>
    <w:rsid w:val="00B21DCB"/>
    <w:rsid w:val="00B23EDF"/>
    <w:rsid w:val="00B2604E"/>
    <w:rsid w:val="00B64FD0"/>
    <w:rsid w:val="00B679A4"/>
    <w:rsid w:val="00BC512B"/>
    <w:rsid w:val="00BC741F"/>
    <w:rsid w:val="00BF26E7"/>
    <w:rsid w:val="00BF2C80"/>
    <w:rsid w:val="00C01C69"/>
    <w:rsid w:val="00C13DED"/>
    <w:rsid w:val="00C2470C"/>
    <w:rsid w:val="00C26625"/>
    <w:rsid w:val="00C27623"/>
    <w:rsid w:val="00C814B9"/>
    <w:rsid w:val="00C87FE4"/>
    <w:rsid w:val="00CA081E"/>
    <w:rsid w:val="00CA3836"/>
    <w:rsid w:val="00CC1A89"/>
    <w:rsid w:val="00CD3928"/>
    <w:rsid w:val="00CD516F"/>
    <w:rsid w:val="00CE2C8D"/>
    <w:rsid w:val="00CE67B1"/>
    <w:rsid w:val="00CE6A1C"/>
    <w:rsid w:val="00D119A7"/>
    <w:rsid w:val="00D136A8"/>
    <w:rsid w:val="00D25FBA"/>
    <w:rsid w:val="00D267B7"/>
    <w:rsid w:val="00D3068F"/>
    <w:rsid w:val="00D51C29"/>
    <w:rsid w:val="00D539B7"/>
    <w:rsid w:val="00D55583"/>
    <w:rsid w:val="00D66EAC"/>
    <w:rsid w:val="00D730DF"/>
    <w:rsid w:val="00D772F0"/>
    <w:rsid w:val="00D77BDC"/>
    <w:rsid w:val="00D823E0"/>
    <w:rsid w:val="00D8241C"/>
    <w:rsid w:val="00DC402B"/>
    <w:rsid w:val="00DC439E"/>
    <w:rsid w:val="00DC5374"/>
    <w:rsid w:val="00DE0932"/>
    <w:rsid w:val="00E049F1"/>
    <w:rsid w:val="00E1259E"/>
    <w:rsid w:val="00E37A25"/>
    <w:rsid w:val="00E4182A"/>
    <w:rsid w:val="00E41AB7"/>
    <w:rsid w:val="00E511AB"/>
    <w:rsid w:val="00E70A31"/>
    <w:rsid w:val="00E932C8"/>
    <w:rsid w:val="00E977A2"/>
    <w:rsid w:val="00EA02AD"/>
    <w:rsid w:val="00EA3F38"/>
    <w:rsid w:val="00EA5AB6"/>
    <w:rsid w:val="00EC7615"/>
    <w:rsid w:val="00ED16AA"/>
    <w:rsid w:val="00EF662E"/>
    <w:rsid w:val="00F148F1"/>
    <w:rsid w:val="00F2677C"/>
    <w:rsid w:val="00F27967"/>
    <w:rsid w:val="00F30D9A"/>
    <w:rsid w:val="00F372DE"/>
    <w:rsid w:val="00F57AC0"/>
    <w:rsid w:val="00F765BF"/>
    <w:rsid w:val="00F76F36"/>
    <w:rsid w:val="00F96E10"/>
    <w:rsid w:val="00F9722E"/>
    <w:rsid w:val="00FA01AB"/>
    <w:rsid w:val="00FA3BBF"/>
    <w:rsid w:val="00FC0101"/>
    <w:rsid w:val="00FC41F8"/>
    <w:rsid w:val="00FC4AD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AFEC4"/>
  <w15:docId w15:val="{E5754B48-16BE-49D9-A130-F75872AD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qFormat/>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paragraph" w:styleId="Revision">
    <w:name w:val="Revision"/>
    <w:hidden/>
    <w:uiPriority w:val="99"/>
    <w:semiHidden/>
    <w:rsid w:val="005E7DD9"/>
    <w:rPr>
      <w:rFonts w:ascii="Times New Roman" w:hAnsi="Times New Roman"/>
      <w:sz w:val="24"/>
      <w:lang w:val="fr-FR" w:eastAsia="en-US"/>
    </w:rPr>
  </w:style>
  <w:style w:type="character" w:styleId="CommentReference">
    <w:name w:val="annotation reference"/>
    <w:basedOn w:val="DefaultParagraphFont"/>
    <w:uiPriority w:val="99"/>
    <w:semiHidden/>
    <w:unhideWhenUsed/>
    <w:rsid w:val="00E41AB7"/>
    <w:rPr>
      <w:sz w:val="16"/>
      <w:szCs w:val="16"/>
    </w:rPr>
  </w:style>
  <w:style w:type="paragraph" w:styleId="CommentText">
    <w:name w:val="annotation text"/>
    <w:basedOn w:val="Normal"/>
    <w:link w:val="CommentTextChar"/>
    <w:uiPriority w:val="99"/>
    <w:unhideWhenUsed/>
    <w:rsid w:val="00E41AB7"/>
    <w:rPr>
      <w:sz w:val="20"/>
    </w:rPr>
  </w:style>
  <w:style w:type="character" w:customStyle="1" w:styleId="CommentTextChar">
    <w:name w:val="Comment Text Char"/>
    <w:basedOn w:val="DefaultParagraphFont"/>
    <w:link w:val="CommentText"/>
    <w:uiPriority w:val="99"/>
    <w:rsid w:val="00E41AB7"/>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E41AB7"/>
    <w:rPr>
      <w:b/>
      <w:bCs/>
    </w:rPr>
  </w:style>
  <w:style w:type="character" w:customStyle="1" w:styleId="CommentSubjectChar">
    <w:name w:val="Comment Subject Char"/>
    <w:basedOn w:val="CommentTextChar"/>
    <w:link w:val="CommentSubject"/>
    <w:semiHidden/>
    <w:rsid w:val="00E41AB7"/>
    <w:rPr>
      <w:rFonts w:ascii="Times New Roman" w:hAnsi="Times New Roman"/>
      <w:b/>
      <w:bCs/>
      <w:lang w:val="fr-FR" w:eastAsia="en-US"/>
    </w:rPr>
  </w:style>
  <w:style w:type="paragraph" w:customStyle="1" w:styleId="xmsonormal">
    <w:name w:val="x_msonormal"/>
    <w:basedOn w:val="Normal"/>
    <w:rsid w:val="0080493A"/>
    <w:pPr>
      <w:tabs>
        <w:tab w:val="clear" w:pos="1134"/>
        <w:tab w:val="clear" w:pos="1871"/>
        <w:tab w:val="clear" w:pos="2268"/>
      </w:tabs>
      <w:overflowPunct/>
      <w:autoSpaceDE/>
      <w:autoSpaceDN/>
      <w:adjustRightInd/>
      <w:spacing w:before="100" w:beforeAutospacing="1" w:after="100" w:afterAutospacing="1"/>
      <w:textAlignment w:val="auto"/>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PF_WRC23.dotx</Template>
  <TotalTime>15</TotalTime>
  <Pages>8</Pages>
  <Words>3112</Words>
  <Characters>16882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19955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- 2023</dc:subject>
  <dc:creator>French</dc:creator>
  <cp:keywords>WRC-23</cp:keywords>
  <cp:lastModifiedBy>French</cp:lastModifiedBy>
  <cp:revision>5</cp:revision>
  <cp:lastPrinted>2003-06-05T19:34:00Z</cp:lastPrinted>
  <dcterms:created xsi:type="dcterms:W3CDTF">2023-12-06T08:47:00Z</dcterms:created>
  <dcterms:modified xsi:type="dcterms:W3CDTF">2023-12-06T09:08:00Z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