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027"/>
        <w:gridCol w:w="2093"/>
      </w:tblGrid>
      <w:tr w:rsidR="0043444A" w:rsidRPr="00EF0EF7" w14:paraId="12075D0C" w14:textId="77777777" w:rsidTr="007935CE">
        <w:trPr>
          <w:cantSplit/>
        </w:trPr>
        <w:tc>
          <w:tcPr>
            <w:tcW w:w="1418" w:type="dxa"/>
            <w:vAlign w:val="center"/>
          </w:tcPr>
          <w:p w14:paraId="0C73F763" w14:textId="77777777" w:rsidR="0043444A" w:rsidRPr="00EF0EF7" w:rsidRDefault="0043444A" w:rsidP="00915398">
            <w:pPr>
              <w:spacing w:before="0"/>
              <w:rPr>
                <w:rFonts w:ascii="Verdana" w:hAnsi="Verdana"/>
                <w:position w:val="6"/>
              </w:rPr>
            </w:pPr>
            <w:bookmarkStart w:id="0" w:name="_Hlk131597142"/>
            <w:r w:rsidRPr="00EF0EF7">
              <w:drawing>
                <wp:inline distT="0" distB="0" distL="0" distR="0" wp14:anchorId="248A90F0" wp14:editId="72E71FD3">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57E6366E" w14:textId="77777777" w:rsidR="0043444A" w:rsidRPr="00EF0EF7" w:rsidRDefault="0043444A" w:rsidP="00915398">
            <w:pPr>
              <w:spacing w:before="400" w:after="48" w:line="240" w:lineRule="atLeast"/>
              <w:rPr>
                <w:rFonts w:ascii="Verdana" w:hAnsi="Verdana"/>
                <w:position w:val="6"/>
              </w:rPr>
            </w:pPr>
            <w:r w:rsidRPr="00EF0EF7">
              <w:rPr>
                <w:rFonts w:ascii="Verdana" w:hAnsi="Verdana" w:cs="Times"/>
                <w:b/>
                <w:position w:val="6"/>
                <w:sz w:val="22"/>
                <w:szCs w:val="22"/>
              </w:rPr>
              <w:t>World Radiocommunication Conference (WRC-23)</w:t>
            </w:r>
            <w:r w:rsidRPr="00EF0EF7">
              <w:rPr>
                <w:rFonts w:ascii="Verdana" w:hAnsi="Verdana" w:cs="Times"/>
                <w:b/>
                <w:position w:val="6"/>
                <w:sz w:val="26"/>
                <w:szCs w:val="26"/>
              </w:rPr>
              <w:br/>
            </w:r>
            <w:r w:rsidRPr="00EF0EF7">
              <w:rPr>
                <w:rFonts w:ascii="Verdana" w:hAnsi="Verdana"/>
                <w:b/>
                <w:bCs/>
                <w:position w:val="6"/>
                <w:sz w:val="18"/>
                <w:szCs w:val="18"/>
              </w:rPr>
              <w:t>Dubai, 20 November - 15 December 2023</w:t>
            </w:r>
          </w:p>
        </w:tc>
        <w:tc>
          <w:tcPr>
            <w:tcW w:w="2093" w:type="dxa"/>
            <w:vAlign w:val="center"/>
          </w:tcPr>
          <w:p w14:paraId="35C2ECE8" w14:textId="77777777" w:rsidR="0043444A" w:rsidRPr="00EF0EF7" w:rsidRDefault="00EA505C" w:rsidP="00915398">
            <w:pPr>
              <w:spacing w:before="0" w:line="240" w:lineRule="atLeast"/>
            </w:pPr>
            <w:bookmarkStart w:id="1" w:name="ditulogo"/>
            <w:bookmarkEnd w:id="1"/>
            <w:r w:rsidRPr="00EF0EF7">
              <w:drawing>
                <wp:inline distT="0" distB="0" distL="0" distR="0" wp14:anchorId="27BCDD49" wp14:editId="13820846">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43444A" w:rsidRPr="00EF0EF7" w14:paraId="2AE76E1D" w14:textId="77777777" w:rsidTr="0043444A">
        <w:trPr>
          <w:cantSplit/>
        </w:trPr>
        <w:tc>
          <w:tcPr>
            <w:tcW w:w="6911" w:type="dxa"/>
            <w:gridSpan w:val="2"/>
            <w:tcBorders>
              <w:bottom w:val="single" w:sz="12" w:space="0" w:color="auto"/>
            </w:tcBorders>
          </w:tcPr>
          <w:p w14:paraId="3F8943E4" w14:textId="77777777" w:rsidR="0043444A" w:rsidRPr="00EF0EF7" w:rsidRDefault="0043444A" w:rsidP="00D91769">
            <w:pPr>
              <w:spacing w:before="0" w:after="48" w:line="240" w:lineRule="atLeast"/>
              <w:rPr>
                <w:rFonts w:ascii="Verdana" w:hAnsi="Verdana"/>
                <w:b/>
                <w:bCs/>
                <w:position w:val="6"/>
                <w:sz w:val="20"/>
              </w:rPr>
            </w:pPr>
            <w:bookmarkStart w:id="2" w:name="dhead"/>
            <w:bookmarkEnd w:id="0"/>
          </w:p>
        </w:tc>
        <w:tc>
          <w:tcPr>
            <w:tcW w:w="3120" w:type="dxa"/>
            <w:gridSpan w:val="2"/>
            <w:tcBorders>
              <w:bottom w:val="single" w:sz="12" w:space="0" w:color="auto"/>
            </w:tcBorders>
          </w:tcPr>
          <w:p w14:paraId="0FFE53F4" w14:textId="77777777" w:rsidR="0043444A" w:rsidRPr="00EF0EF7" w:rsidRDefault="0043444A" w:rsidP="00D91769">
            <w:pPr>
              <w:spacing w:before="0" w:after="48" w:line="240" w:lineRule="atLeast"/>
              <w:rPr>
                <w:rFonts w:ascii="Verdana" w:hAnsi="Verdana"/>
                <w:b/>
                <w:bCs/>
                <w:position w:val="6"/>
                <w:sz w:val="20"/>
              </w:rPr>
            </w:pPr>
          </w:p>
        </w:tc>
      </w:tr>
      <w:tr w:rsidR="0043444A" w:rsidRPr="00EF0EF7" w14:paraId="2E084B4C" w14:textId="77777777" w:rsidTr="0043444A">
        <w:trPr>
          <w:cantSplit/>
        </w:trPr>
        <w:tc>
          <w:tcPr>
            <w:tcW w:w="6911" w:type="dxa"/>
            <w:gridSpan w:val="2"/>
            <w:tcBorders>
              <w:top w:val="single" w:sz="12" w:space="0" w:color="auto"/>
            </w:tcBorders>
          </w:tcPr>
          <w:p w14:paraId="0B782A67" w14:textId="77777777" w:rsidR="0043444A" w:rsidRPr="00EF0EF7" w:rsidRDefault="0043444A" w:rsidP="00D91769">
            <w:pPr>
              <w:spacing w:before="0" w:after="48" w:line="240" w:lineRule="atLeast"/>
              <w:rPr>
                <w:rFonts w:ascii="Verdana" w:hAnsi="Verdana"/>
                <w:b/>
                <w:smallCaps/>
                <w:sz w:val="20"/>
              </w:rPr>
            </w:pPr>
          </w:p>
        </w:tc>
        <w:tc>
          <w:tcPr>
            <w:tcW w:w="3120" w:type="dxa"/>
            <w:gridSpan w:val="2"/>
            <w:tcBorders>
              <w:top w:val="single" w:sz="12" w:space="0" w:color="auto"/>
            </w:tcBorders>
          </w:tcPr>
          <w:p w14:paraId="1BFF590F" w14:textId="77777777" w:rsidR="0043444A" w:rsidRPr="00EF0EF7" w:rsidRDefault="0043444A" w:rsidP="00D91769">
            <w:pPr>
              <w:spacing w:before="0" w:line="240" w:lineRule="atLeast"/>
              <w:rPr>
                <w:rFonts w:ascii="Verdana" w:hAnsi="Verdana"/>
                <w:sz w:val="20"/>
              </w:rPr>
            </w:pPr>
          </w:p>
        </w:tc>
      </w:tr>
      <w:tr w:rsidR="0043444A" w:rsidRPr="00EF0EF7" w14:paraId="2D48E45B" w14:textId="77777777" w:rsidTr="0043444A">
        <w:trPr>
          <w:cantSplit/>
          <w:trHeight w:val="23"/>
        </w:trPr>
        <w:tc>
          <w:tcPr>
            <w:tcW w:w="6911" w:type="dxa"/>
            <w:gridSpan w:val="2"/>
            <w:vMerge w:val="restart"/>
          </w:tcPr>
          <w:p w14:paraId="0F3D7AF4" w14:textId="77777777" w:rsidR="0043444A" w:rsidRPr="00EF0EF7" w:rsidRDefault="0043444A" w:rsidP="00D91769">
            <w:pPr>
              <w:tabs>
                <w:tab w:val="left" w:pos="851"/>
              </w:tabs>
              <w:spacing w:before="0" w:line="240" w:lineRule="atLeast"/>
              <w:rPr>
                <w:rFonts w:ascii="Verdana" w:hAnsi="Verdana"/>
                <w:sz w:val="20"/>
              </w:rPr>
            </w:pPr>
            <w:bookmarkStart w:id="3" w:name="dnum" w:colFirst="1" w:colLast="1"/>
            <w:bookmarkStart w:id="4" w:name="dmeeting" w:colFirst="0" w:colLast="0"/>
            <w:bookmarkEnd w:id="2"/>
            <w:r w:rsidRPr="00EF0EF7">
              <w:rPr>
                <w:rFonts w:ascii="Verdana" w:hAnsi="Verdana"/>
                <w:b/>
                <w:sz w:val="20"/>
              </w:rPr>
              <w:t>PLENARY MEETING</w:t>
            </w:r>
          </w:p>
        </w:tc>
        <w:tc>
          <w:tcPr>
            <w:tcW w:w="3120" w:type="dxa"/>
            <w:gridSpan w:val="2"/>
          </w:tcPr>
          <w:p w14:paraId="44A29C09" w14:textId="60B5C3BB" w:rsidR="0043444A" w:rsidRPr="00EF0EF7" w:rsidRDefault="0043444A" w:rsidP="00D91769">
            <w:pPr>
              <w:tabs>
                <w:tab w:val="left" w:pos="851"/>
              </w:tabs>
              <w:spacing w:before="0" w:line="240" w:lineRule="atLeast"/>
              <w:rPr>
                <w:rFonts w:ascii="Verdana" w:hAnsi="Verdana"/>
                <w:sz w:val="20"/>
              </w:rPr>
            </w:pPr>
            <w:r w:rsidRPr="00EF0EF7">
              <w:rPr>
                <w:rFonts w:ascii="Verdana" w:hAnsi="Verdana"/>
                <w:b/>
                <w:sz w:val="20"/>
              </w:rPr>
              <w:t xml:space="preserve">Document </w:t>
            </w:r>
            <w:r w:rsidR="008F06CA" w:rsidRPr="00EF0EF7">
              <w:rPr>
                <w:rFonts w:ascii="Verdana" w:hAnsi="Verdana"/>
                <w:b/>
                <w:sz w:val="20"/>
              </w:rPr>
              <w:t>328</w:t>
            </w:r>
            <w:r w:rsidRPr="00EF0EF7">
              <w:rPr>
                <w:rFonts w:ascii="Verdana" w:hAnsi="Verdana"/>
                <w:b/>
                <w:sz w:val="20"/>
              </w:rPr>
              <w:t>-E</w:t>
            </w:r>
          </w:p>
        </w:tc>
      </w:tr>
      <w:tr w:rsidR="0043444A" w:rsidRPr="00EF0EF7" w14:paraId="41D96557" w14:textId="77777777" w:rsidTr="0043444A">
        <w:trPr>
          <w:cantSplit/>
          <w:trHeight w:val="23"/>
        </w:trPr>
        <w:tc>
          <w:tcPr>
            <w:tcW w:w="6911" w:type="dxa"/>
            <w:gridSpan w:val="2"/>
            <w:vMerge/>
          </w:tcPr>
          <w:p w14:paraId="606D3DCA" w14:textId="77777777" w:rsidR="0043444A" w:rsidRPr="00EF0EF7" w:rsidRDefault="0043444A" w:rsidP="00517B78">
            <w:pPr>
              <w:tabs>
                <w:tab w:val="left" w:pos="851"/>
              </w:tabs>
              <w:spacing w:line="240" w:lineRule="atLeast"/>
              <w:rPr>
                <w:rFonts w:ascii="Verdana" w:hAnsi="Verdana"/>
                <w:b/>
                <w:sz w:val="20"/>
              </w:rPr>
            </w:pPr>
            <w:bookmarkStart w:id="5" w:name="ddate" w:colFirst="1" w:colLast="1"/>
            <w:bookmarkEnd w:id="3"/>
            <w:bookmarkEnd w:id="4"/>
          </w:p>
        </w:tc>
        <w:tc>
          <w:tcPr>
            <w:tcW w:w="3120" w:type="dxa"/>
            <w:gridSpan w:val="2"/>
          </w:tcPr>
          <w:p w14:paraId="59E85A34" w14:textId="742A0600" w:rsidR="0043444A" w:rsidRPr="00EF0EF7" w:rsidRDefault="00311015" w:rsidP="00A2048C">
            <w:pPr>
              <w:tabs>
                <w:tab w:val="left" w:pos="993"/>
              </w:tabs>
              <w:spacing w:before="0"/>
              <w:rPr>
                <w:rFonts w:ascii="Verdana" w:hAnsi="Verdana"/>
                <w:sz w:val="20"/>
              </w:rPr>
            </w:pPr>
            <w:r>
              <w:rPr>
                <w:rFonts w:ascii="Verdana" w:hAnsi="Verdana"/>
                <w:b/>
                <w:sz w:val="20"/>
              </w:rPr>
              <w:t>5</w:t>
            </w:r>
            <w:r w:rsidR="008F06CA" w:rsidRPr="00EF0EF7">
              <w:rPr>
                <w:rFonts w:ascii="Verdana" w:hAnsi="Verdana"/>
                <w:b/>
                <w:sz w:val="20"/>
              </w:rPr>
              <w:t xml:space="preserve"> December</w:t>
            </w:r>
            <w:r w:rsidR="0043444A" w:rsidRPr="00EF0EF7">
              <w:rPr>
                <w:rFonts w:ascii="Verdana" w:hAnsi="Verdana"/>
                <w:b/>
                <w:sz w:val="20"/>
              </w:rPr>
              <w:t xml:space="preserve"> 20</w:t>
            </w:r>
            <w:r w:rsidR="00B5785C" w:rsidRPr="00EF0EF7">
              <w:rPr>
                <w:rFonts w:ascii="Verdana" w:hAnsi="Verdana"/>
                <w:b/>
                <w:sz w:val="20"/>
              </w:rPr>
              <w:t>23</w:t>
            </w:r>
          </w:p>
        </w:tc>
      </w:tr>
      <w:tr w:rsidR="0043444A" w:rsidRPr="00EF0EF7" w14:paraId="2E701CCB" w14:textId="77777777" w:rsidTr="0043444A">
        <w:trPr>
          <w:cantSplit/>
          <w:trHeight w:val="23"/>
        </w:trPr>
        <w:tc>
          <w:tcPr>
            <w:tcW w:w="6911" w:type="dxa"/>
            <w:gridSpan w:val="2"/>
            <w:vMerge/>
          </w:tcPr>
          <w:p w14:paraId="4C119C63" w14:textId="77777777" w:rsidR="0043444A" w:rsidRPr="00EF0EF7" w:rsidRDefault="0043444A" w:rsidP="00517B78">
            <w:pPr>
              <w:tabs>
                <w:tab w:val="left" w:pos="851"/>
              </w:tabs>
              <w:spacing w:line="240" w:lineRule="atLeast"/>
              <w:rPr>
                <w:rFonts w:ascii="Verdana" w:hAnsi="Verdana"/>
                <w:b/>
                <w:sz w:val="20"/>
              </w:rPr>
            </w:pPr>
            <w:bookmarkStart w:id="6" w:name="dorlang" w:colFirst="1" w:colLast="1"/>
            <w:bookmarkEnd w:id="5"/>
          </w:p>
        </w:tc>
        <w:tc>
          <w:tcPr>
            <w:tcW w:w="3120" w:type="dxa"/>
            <w:gridSpan w:val="2"/>
          </w:tcPr>
          <w:p w14:paraId="5AA95D60" w14:textId="77777777" w:rsidR="0043444A" w:rsidRPr="00EF0EF7" w:rsidRDefault="0043444A" w:rsidP="00D91769">
            <w:pPr>
              <w:tabs>
                <w:tab w:val="left" w:pos="993"/>
              </w:tabs>
              <w:spacing w:before="0" w:after="120"/>
              <w:rPr>
                <w:rFonts w:ascii="Verdana" w:hAnsi="Verdana"/>
                <w:sz w:val="20"/>
              </w:rPr>
            </w:pPr>
            <w:r w:rsidRPr="00EF0EF7">
              <w:rPr>
                <w:rFonts w:ascii="Verdana" w:hAnsi="Verdana"/>
                <w:b/>
                <w:sz w:val="20"/>
              </w:rPr>
              <w:t>Original: English</w:t>
            </w:r>
          </w:p>
        </w:tc>
      </w:tr>
      <w:tr w:rsidR="0043444A" w:rsidRPr="00EF0EF7" w14:paraId="03418AE3" w14:textId="77777777" w:rsidTr="0043444A">
        <w:trPr>
          <w:cantSplit/>
        </w:trPr>
        <w:tc>
          <w:tcPr>
            <w:tcW w:w="10031" w:type="dxa"/>
            <w:gridSpan w:val="4"/>
          </w:tcPr>
          <w:p w14:paraId="1E0D6753" w14:textId="77777777" w:rsidR="0043444A" w:rsidRPr="00EF0EF7" w:rsidRDefault="0043444A" w:rsidP="00EF0EF7">
            <w:pPr>
              <w:pStyle w:val="Source"/>
              <w:spacing w:before="360"/>
            </w:pPr>
            <w:bookmarkStart w:id="7" w:name="dsource" w:colFirst="0" w:colLast="0"/>
            <w:bookmarkEnd w:id="6"/>
          </w:p>
        </w:tc>
      </w:tr>
      <w:tr w:rsidR="0043444A" w:rsidRPr="00EF0EF7" w14:paraId="4FF8B7C1" w14:textId="77777777" w:rsidTr="0043444A">
        <w:trPr>
          <w:cantSplit/>
        </w:trPr>
        <w:tc>
          <w:tcPr>
            <w:tcW w:w="10031" w:type="dxa"/>
            <w:gridSpan w:val="4"/>
          </w:tcPr>
          <w:p w14:paraId="654195B3" w14:textId="77777777" w:rsidR="008F06CA" w:rsidRPr="00EF0EF7" w:rsidRDefault="008F06CA" w:rsidP="008F06CA">
            <w:pPr>
              <w:pStyle w:val="Title1"/>
            </w:pPr>
            <w:bookmarkStart w:id="8" w:name="dtitle1" w:colFirst="0" w:colLast="0"/>
            <w:bookmarkEnd w:id="7"/>
            <w:r w:rsidRPr="00EF0EF7">
              <w:t>MINUTES</w:t>
            </w:r>
          </w:p>
          <w:p w14:paraId="2018E40C" w14:textId="77777777" w:rsidR="008F06CA" w:rsidRPr="00EF0EF7" w:rsidRDefault="008F06CA" w:rsidP="008F06CA">
            <w:pPr>
              <w:pStyle w:val="Title1"/>
            </w:pPr>
            <w:r w:rsidRPr="00EF0EF7">
              <w:t>OF THE</w:t>
            </w:r>
          </w:p>
          <w:p w14:paraId="0479CEA1" w14:textId="75F16909" w:rsidR="0043444A" w:rsidRPr="00EF0EF7" w:rsidRDefault="008F06CA" w:rsidP="008F06CA">
            <w:pPr>
              <w:pStyle w:val="Title1"/>
            </w:pPr>
            <w:r w:rsidRPr="00EF0EF7">
              <w:t>FIFTH PLENARY MEETING</w:t>
            </w:r>
          </w:p>
        </w:tc>
      </w:tr>
      <w:tr w:rsidR="0043444A" w:rsidRPr="00EF0EF7" w14:paraId="1DE492FA" w14:textId="77777777" w:rsidTr="0043444A">
        <w:trPr>
          <w:cantSplit/>
        </w:trPr>
        <w:tc>
          <w:tcPr>
            <w:tcW w:w="10031" w:type="dxa"/>
            <w:gridSpan w:val="4"/>
          </w:tcPr>
          <w:p w14:paraId="13AE399A" w14:textId="11BD0EFD" w:rsidR="0043444A" w:rsidRPr="00EF0EF7" w:rsidRDefault="008F06CA" w:rsidP="008F06CA">
            <w:pPr>
              <w:pStyle w:val="Normalaftertitle"/>
              <w:jc w:val="center"/>
            </w:pPr>
            <w:bookmarkStart w:id="9" w:name="dtitle2" w:colFirst="0" w:colLast="0"/>
            <w:bookmarkEnd w:id="8"/>
            <w:r w:rsidRPr="00EF0EF7">
              <w:t>Friday, 1 December 2023, at 1620 hours</w:t>
            </w:r>
          </w:p>
        </w:tc>
      </w:tr>
      <w:tr w:rsidR="0043444A" w:rsidRPr="00EF0EF7" w14:paraId="17747AC3" w14:textId="77777777" w:rsidTr="0043444A">
        <w:trPr>
          <w:cantSplit/>
        </w:trPr>
        <w:tc>
          <w:tcPr>
            <w:tcW w:w="10031" w:type="dxa"/>
            <w:gridSpan w:val="4"/>
          </w:tcPr>
          <w:p w14:paraId="64E745FA" w14:textId="4F003EE8" w:rsidR="0043444A" w:rsidRPr="00EF0EF7" w:rsidRDefault="008F06CA" w:rsidP="00517B78">
            <w:pPr>
              <w:pStyle w:val="Title3"/>
            </w:pPr>
            <w:bookmarkStart w:id="10" w:name="dtitle3" w:colFirst="0" w:colLast="0"/>
            <w:bookmarkEnd w:id="9"/>
            <w:r w:rsidRPr="00EF0EF7">
              <w:rPr>
                <w:b/>
                <w:bCs/>
                <w:sz w:val="24"/>
              </w:rPr>
              <w:t>Chair:</w:t>
            </w:r>
            <w:r w:rsidRPr="00EF0EF7">
              <w:rPr>
                <w:sz w:val="24"/>
              </w:rPr>
              <w:t xml:space="preserve"> H.E. Mr M. AL RAMSI (United Arab Emirates)</w:t>
            </w:r>
          </w:p>
        </w:tc>
      </w:tr>
      <w:bookmarkEnd w:id="10"/>
    </w:tbl>
    <w:p w14:paraId="2F6A8330" w14:textId="77777777" w:rsidR="008F06CA" w:rsidRPr="00EF0EF7" w:rsidRDefault="008F06CA" w:rsidP="008F06CA">
      <w:pPr>
        <w:spacing w:after="120"/>
        <w:rPr>
          <w:szCs w:val="24"/>
        </w:rPr>
      </w:pPr>
    </w:p>
    <w:tbl>
      <w:tblPr>
        <w:tblW w:w="10031" w:type="dxa"/>
        <w:tblLook w:val="0000" w:firstRow="0" w:lastRow="0" w:firstColumn="0" w:lastColumn="0" w:noHBand="0" w:noVBand="0"/>
      </w:tblPr>
      <w:tblGrid>
        <w:gridCol w:w="534"/>
        <w:gridCol w:w="7159"/>
        <w:gridCol w:w="2338"/>
      </w:tblGrid>
      <w:tr w:rsidR="008F06CA" w:rsidRPr="00EF0EF7" w14:paraId="3EC3D954" w14:textId="77777777" w:rsidTr="009766B5">
        <w:tc>
          <w:tcPr>
            <w:tcW w:w="534" w:type="dxa"/>
          </w:tcPr>
          <w:p w14:paraId="2437A61A" w14:textId="77777777" w:rsidR="008F06CA" w:rsidRPr="00EF0EF7" w:rsidRDefault="008F06CA" w:rsidP="009766B5">
            <w:pPr>
              <w:spacing w:after="120"/>
              <w:rPr>
                <w:b/>
                <w:bCs/>
              </w:rPr>
            </w:pPr>
          </w:p>
        </w:tc>
        <w:tc>
          <w:tcPr>
            <w:tcW w:w="7159" w:type="dxa"/>
            <w:vAlign w:val="center"/>
          </w:tcPr>
          <w:p w14:paraId="05EBE8E0" w14:textId="77777777" w:rsidR="008F06CA" w:rsidRPr="00EF0EF7" w:rsidRDefault="008F06CA" w:rsidP="009766B5">
            <w:pPr>
              <w:spacing w:after="120"/>
              <w:rPr>
                <w:b/>
                <w:bCs/>
              </w:rPr>
            </w:pPr>
            <w:r w:rsidRPr="00EF0EF7">
              <w:rPr>
                <w:b/>
                <w:bCs/>
              </w:rPr>
              <w:t>Subjects discussed</w:t>
            </w:r>
          </w:p>
        </w:tc>
        <w:tc>
          <w:tcPr>
            <w:tcW w:w="2338" w:type="dxa"/>
            <w:vAlign w:val="center"/>
          </w:tcPr>
          <w:p w14:paraId="46517A0B" w14:textId="77777777" w:rsidR="008F06CA" w:rsidRPr="00EF0EF7" w:rsidRDefault="008F06CA" w:rsidP="009766B5">
            <w:pPr>
              <w:spacing w:after="120"/>
              <w:jc w:val="center"/>
              <w:rPr>
                <w:b/>
                <w:bCs/>
              </w:rPr>
            </w:pPr>
            <w:r w:rsidRPr="00EF0EF7">
              <w:rPr>
                <w:b/>
                <w:bCs/>
              </w:rPr>
              <w:t>Documents</w:t>
            </w:r>
          </w:p>
        </w:tc>
      </w:tr>
      <w:tr w:rsidR="008F06CA" w:rsidRPr="00EF0EF7" w14:paraId="7436B940" w14:textId="77777777" w:rsidTr="009766B5">
        <w:tc>
          <w:tcPr>
            <w:tcW w:w="534" w:type="dxa"/>
            <w:vAlign w:val="center"/>
          </w:tcPr>
          <w:p w14:paraId="7A75437A" w14:textId="77777777" w:rsidR="008F06CA" w:rsidRPr="00EF0EF7" w:rsidRDefault="008F06CA" w:rsidP="009766B5">
            <w:pPr>
              <w:spacing w:after="120"/>
            </w:pPr>
            <w:r w:rsidRPr="00EF0EF7">
              <w:t>1</w:t>
            </w:r>
          </w:p>
        </w:tc>
        <w:tc>
          <w:tcPr>
            <w:tcW w:w="7159" w:type="dxa"/>
            <w:vAlign w:val="center"/>
          </w:tcPr>
          <w:p w14:paraId="7FAAA8F6" w14:textId="77777777" w:rsidR="008F06CA" w:rsidRPr="00EF0EF7" w:rsidRDefault="008F06CA" w:rsidP="009766B5">
            <w:pPr>
              <w:spacing w:after="120"/>
              <w:rPr>
                <w:highlight w:val="yellow"/>
              </w:rPr>
            </w:pPr>
            <w:r w:rsidRPr="00EF0EF7">
              <w:t>Oral reports by the committee chairs</w:t>
            </w:r>
          </w:p>
        </w:tc>
        <w:tc>
          <w:tcPr>
            <w:tcW w:w="2338" w:type="dxa"/>
            <w:vAlign w:val="center"/>
          </w:tcPr>
          <w:p w14:paraId="5120D921" w14:textId="77777777" w:rsidR="008F06CA" w:rsidRPr="00EF0EF7" w:rsidRDefault="008F06CA" w:rsidP="009766B5">
            <w:pPr>
              <w:spacing w:after="120"/>
              <w:jc w:val="center"/>
            </w:pPr>
            <w:r w:rsidRPr="00EF0EF7">
              <w:t>–</w:t>
            </w:r>
          </w:p>
        </w:tc>
      </w:tr>
      <w:tr w:rsidR="008F06CA" w:rsidRPr="00EF0EF7" w14:paraId="50F80A03" w14:textId="77777777" w:rsidTr="009766B5">
        <w:tc>
          <w:tcPr>
            <w:tcW w:w="534" w:type="dxa"/>
            <w:vAlign w:val="center"/>
          </w:tcPr>
          <w:p w14:paraId="726DCC86" w14:textId="77777777" w:rsidR="008F06CA" w:rsidRPr="00EF0EF7" w:rsidRDefault="008F06CA" w:rsidP="009766B5">
            <w:pPr>
              <w:spacing w:after="120"/>
            </w:pPr>
            <w:r w:rsidRPr="00EF0EF7">
              <w:t>2</w:t>
            </w:r>
          </w:p>
        </w:tc>
        <w:tc>
          <w:tcPr>
            <w:tcW w:w="7159" w:type="dxa"/>
            <w:vAlign w:val="center"/>
          </w:tcPr>
          <w:p w14:paraId="794C2FAE" w14:textId="77777777" w:rsidR="008F06CA" w:rsidRPr="00EF0EF7" w:rsidRDefault="008F06CA" w:rsidP="009766B5">
            <w:pPr>
              <w:spacing w:after="120"/>
              <w:rPr>
                <w:highlight w:val="yellow"/>
              </w:rPr>
            </w:pPr>
            <w:r w:rsidRPr="00EF0EF7">
              <w:t>Ninth series of texts submitted by the Editorial Committee for first reading (B9)</w:t>
            </w:r>
          </w:p>
        </w:tc>
        <w:tc>
          <w:tcPr>
            <w:tcW w:w="2338" w:type="dxa"/>
            <w:vAlign w:val="center"/>
          </w:tcPr>
          <w:p w14:paraId="7ACE21EA" w14:textId="77777777" w:rsidR="008F06CA" w:rsidRPr="00EF0EF7" w:rsidRDefault="008F06CA" w:rsidP="009766B5">
            <w:pPr>
              <w:spacing w:after="120"/>
              <w:jc w:val="center"/>
            </w:pPr>
            <w:r w:rsidRPr="00EF0EF7">
              <w:t>288</w:t>
            </w:r>
          </w:p>
        </w:tc>
      </w:tr>
      <w:tr w:rsidR="008F06CA" w:rsidRPr="00EF0EF7" w14:paraId="0A6CD654" w14:textId="77777777" w:rsidTr="009766B5">
        <w:tc>
          <w:tcPr>
            <w:tcW w:w="534" w:type="dxa"/>
            <w:vAlign w:val="center"/>
          </w:tcPr>
          <w:p w14:paraId="56A5069B" w14:textId="77777777" w:rsidR="008F06CA" w:rsidRPr="00EF0EF7" w:rsidRDefault="008F06CA" w:rsidP="009766B5">
            <w:pPr>
              <w:spacing w:after="120"/>
            </w:pPr>
            <w:r w:rsidRPr="00EF0EF7">
              <w:t>3</w:t>
            </w:r>
          </w:p>
        </w:tc>
        <w:tc>
          <w:tcPr>
            <w:tcW w:w="7159" w:type="dxa"/>
            <w:vAlign w:val="center"/>
          </w:tcPr>
          <w:p w14:paraId="13FB4945" w14:textId="77777777" w:rsidR="008F06CA" w:rsidRPr="00EF0EF7" w:rsidRDefault="008F06CA" w:rsidP="009766B5">
            <w:pPr>
              <w:spacing w:after="120"/>
            </w:pPr>
            <w:r w:rsidRPr="00EF0EF7">
              <w:t>Ninth series of texts submitted by the Editorial Committee (B9) – second reading</w:t>
            </w:r>
          </w:p>
        </w:tc>
        <w:tc>
          <w:tcPr>
            <w:tcW w:w="2338" w:type="dxa"/>
            <w:vAlign w:val="center"/>
          </w:tcPr>
          <w:p w14:paraId="2A369131" w14:textId="77777777" w:rsidR="008F06CA" w:rsidRPr="00EF0EF7" w:rsidRDefault="008F06CA" w:rsidP="009766B5">
            <w:pPr>
              <w:spacing w:after="120"/>
              <w:jc w:val="center"/>
            </w:pPr>
            <w:r w:rsidRPr="00EF0EF7">
              <w:t>288</w:t>
            </w:r>
          </w:p>
        </w:tc>
      </w:tr>
      <w:tr w:rsidR="008F06CA" w:rsidRPr="00EF0EF7" w14:paraId="178CACA2" w14:textId="77777777" w:rsidTr="009766B5">
        <w:tc>
          <w:tcPr>
            <w:tcW w:w="534" w:type="dxa"/>
            <w:vAlign w:val="center"/>
          </w:tcPr>
          <w:p w14:paraId="0C66F99C" w14:textId="77777777" w:rsidR="008F06CA" w:rsidRPr="00EF0EF7" w:rsidRDefault="008F06CA" w:rsidP="009766B5">
            <w:pPr>
              <w:spacing w:after="120"/>
            </w:pPr>
            <w:r w:rsidRPr="00EF0EF7">
              <w:t>4</w:t>
            </w:r>
          </w:p>
        </w:tc>
        <w:tc>
          <w:tcPr>
            <w:tcW w:w="7159" w:type="dxa"/>
            <w:vAlign w:val="center"/>
          </w:tcPr>
          <w:p w14:paraId="658285C6" w14:textId="77777777" w:rsidR="008F06CA" w:rsidRPr="00EF0EF7" w:rsidRDefault="008F06CA" w:rsidP="009766B5">
            <w:pPr>
              <w:spacing w:after="120"/>
              <w:rPr>
                <w:highlight w:val="yellow"/>
              </w:rPr>
            </w:pPr>
            <w:r w:rsidRPr="00EF0EF7">
              <w:t>Tenth series of texts submitted by the Editorial Committee for first reading (B10)</w:t>
            </w:r>
          </w:p>
        </w:tc>
        <w:tc>
          <w:tcPr>
            <w:tcW w:w="2338" w:type="dxa"/>
            <w:vAlign w:val="center"/>
          </w:tcPr>
          <w:p w14:paraId="5B52EE4B" w14:textId="77777777" w:rsidR="008F06CA" w:rsidRPr="00EF0EF7" w:rsidRDefault="008F06CA" w:rsidP="009766B5">
            <w:pPr>
              <w:spacing w:after="120"/>
              <w:jc w:val="center"/>
            </w:pPr>
            <w:r w:rsidRPr="00EF0EF7">
              <w:t>289</w:t>
            </w:r>
          </w:p>
        </w:tc>
      </w:tr>
      <w:tr w:rsidR="008F06CA" w:rsidRPr="00EF0EF7" w14:paraId="0B198602" w14:textId="77777777" w:rsidTr="009766B5">
        <w:tc>
          <w:tcPr>
            <w:tcW w:w="534" w:type="dxa"/>
            <w:vAlign w:val="center"/>
          </w:tcPr>
          <w:p w14:paraId="0AC78039" w14:textId="77777777" w:rsidR="008F06CA" w:rsidRPr="00EF0EF7" w:rsidRDefault="008F06CA" w:rsidP="009766B5">
            <w:pPr>
              <w:spacing w:after="120"/>
            </w:pPr>
            <w:r w:rsidRPr="00EF0EF7">
              <w:t>5</w:t>
            </w:r>
          </w:p>
        </w:tc>
        <w:tc>
          <w:tcPr>
            <w:tcW w:w="7159" w:type="dxa"/>
            <w:vAlign w:val="center"/>
          </w:tcPr>
          <w:p w14:paraId="228EB51E" w14:textId="77777777" w:rsidR="008F06CA" w:rsidRPr="00EF0EF7" w:rsidRDefault="008F06CA" w:rsidP="009766B5">
            <w:pPr>
              <w:spacing w:after="120"/>
            </w:pPr>
            <w:r w:rsidRPr="00EF0EF7">
              <w:t>Tenth series of texts submitted by the Editorial Committee (B10) – second reading</w:t>
            </w:r>
          </w:p>
        </w:tc>
        <w:tc>
          <w:tcPr>
            <w:tcW w:w="2338" w:type="dxa"/>
            <w:vAlign w:val="center"/>
          </w:tcPr>
          <w:p w14:paraId="57C71265" w14:textId="77777777" w:rsidR="008F06CA" w:rsidRPr="00EF0EF7" w:rsidRDefault="008F06CA" w:rsidP="009766B5">
            <w:pPr>
              <w:spacing w:after="120"/>
              <w:jc w:val="center"/>
            </w:pPr>
            <w:r w:rsidRPr="00EF0EF7">
              <w:t>289</w:t>
            </w:r>
          </w:p>
        </w:tc>
      </w:tr>
      <w:tr w:rsidR="008F06CA" w:rsidRPr="00EF0EF7" w14:paraId="1BEBB7E4" w14:textId="77777777" w:rsidTr="009766B5">
        <w:tc>
          <w:tcPr>
            <w:tcW w:w="534" w:type="dxa"/>
            <w:vAlign w:val="center"/>
          </w:tcPr>
          <w:p w14:paraId="6D36C1FB" w14:textId="77777777" w:rsidR="008F06CA" w:rsidRPr="00EF0EF7" w:rsidRDefault="008F06CA" w:rsidP="009766B5">
            <w:pPr>
              <w:spacing w:after="120"/>
            </w:pPr>
            <w:r w:rsidRPr="00EF0EF7">
              <w:t>6</w:t>
            </w:r>
          </w:p>
        </w:tc>
        <w:tc>
          <w:tcPr>
            <w:tcW w:w="7159" w:type="dxa"/>
            <w:vAlign w:val="center"/>
          </w:tcPr>
          <w:p w14:paraId="68BCB06B" w14:textId="77777777" w:rsidR="008F06CA" w:rsidRPr="00EF0EF7" w:rsidRDefault="008F06CA" w:rsidP="009766B5">
            <w:pPr>
              <w:spacing w:after="120"/>
              <w:rPr>
                <w:highlight w:val="yellow"/>
              </w:rPr>
            </w:pPr>
            <w:r w:rsidRPr="00EF0EF7">
              <w:t>Approval of minutes – first, second and third plenary meetings</w:t>
            </w:r>
          </w:p>
        </w:tc>
        <w:tc>
          <w:tcPr>
            <w:tcW w:w="2338" w:type="dxa"/>
            <w:vAlign w:val="center"/>
          </w:tcPr>
          <w:p w14:paraId="29C8EAFD" w14:textId="77777777" w:rsidR="008F06CA" w:rsidRPr="00EF0EF7" w:rsidRDefault="008F06CA" w:rsidP="009766B5">
            <w:pPr>
              <w:spacing w:after="120"/>
              <w:jc w:val="center"/>
            </w:pPr>
            <w:r w:rsidRPr="00EF0EF7">
              <w:t xml:space="preserve">236, 258, 264 </w:t>
            </w:r>
          </w:p>
        </w:tc>
      </w:tr>
      <w:tr w:rsidR="008F06CA" w:rsidRPr="00EF0EF7" w14:paraId="16255D43" w14:textId="77777777" w:rsidTr="009766B5">
        <w:tc>
          <w:tcPr>
            <w:tcW w:w="534" w:type="dxa"/>
            <w:vAlign w:val="center"/>
          </w:tcPr>
          <w:p w14:paraId="3CFA6059" w14:textId="77777777" w:rsidR="008F06CA" w:rsidRPr="00EF0EF7" w:rsidRDefault="008F06CA" w:rsidP="009766B5">
            <w:pPr>
              <w:spacing w:after="120"/>
            </w:pPr>
            <w:r w:rsidRPr="00EF0EF7">
              <w:t>7</w:t>
            </w:r>
          </w:p>
        </w:tc>
        <w:tc>
          <w:tcPr>
            <w:tcW w:w="7159" w:type="dxa"/>
            <w:vAlign w:val="center"/>
          </w:tcPr>
          <w:p w14:paraId="6C4F0AD9" w14:textId="77777777" w:rsidR="008F06CA" w:rsidRPr="00EF0EF7" w:rsidRDefault="008F06CA" w:rsidP="009766B5">
            <w:pPr>
              <w:spacing w:after="120"/>
              <w:rPr>
                <w:highlight w:val="yellow"/>
              </w:rPr>
            </w:pPr>
            <w:r w:rsidRPr="00EF0EF7">
              <w:t>Statement by Ms Aarti Holla-Maini, Director, United Nations Office for Outer Space Affairs (UNOOSA)</w:t>
            </w:r>
          </w:p>
        </w:tc>
        <w:tc>
          <w:tcPr>
            <w:tcW w:w="2338" w:type="dxa"/>
            <w:vAlign w:val="center"/>
          </w:tcPr>
          <w:p w14:paraId="2F6022D7" w14:textId="77777777" w:rsidR="008F06CA" w:rsidRPr="00EF0EF7" w:rsidRDefault="008F06CA" w:rsidP="009766B5">
            <w:pPr>
              <w:spacing w:after="120"/>
              <w:jc w:val="center"/>
            </w:pPr>
            <w:r w:rsidRPr="00EF0EF7">
              <w:t>–</w:t>
            </w:r>
          </w:p>
        </w:tc>
      </w:tr>
      <w:tr w:rsidR="008F06CA" w:rsidRPr="00EF0EF7" w14:paraId="576AE8F2" w14:textId="77777777" w:rsidTr="009766B5">
        <w:tc>
          <w:tcPr>
            <w:tcW w:w="534" w:type="dxa"/>
            <w:vAlign w:val="center"/>
          </w:tcPr>
          <w:p w14:paraId="32778DEF" w14:textId="77777777" w:rsidR="008F06CA" w:rsidRPr="00EF0EF7" w:rsidRDefault="008F06CA" w:rsidP="009766B5">
            <w:pPr>
              <w:spacing w:after="120"/>
            </w:pPr>
            <w:r w:rsidRPr="00EF0EF7">
              <w:t>8</w:t>
            </w:r>
          </w:p>
        </w:tc>
        <w:tc>
          <w:tcPr>
            <w:tcW w:w="7159" w:type="dxa"/>
            <w:vAlign w:val="center"/>
          </w:tcPr>
          <w:p w14:paraId="2F8CE550" w14:textId="77777777" w:rsidR="008F06CA" w:rsidRPr="00EF0EF7" w:rsidRDefault="008F06CA" w:rsidP="009766B5">
            <w:pPr>
              <w:spacing w:after="120"/>
              <w:rPr>
                <w:highlight w:val="yellow"/>
              </w:rPr>
            </w:pPr>
            <w:r w:rsidRPr="00EF0EF7">
              <w:t>National Day of the United Arab Emirates</w:t>
            </w:r>
          </w:p>
        </w:tc>
        <w:tc>
          <w:tcPr>
            <w:tcW w:w="2338" w:type="dxa"/>
            <w:vAlign w:val="center"/>
          </w:tcPr>
          <w:p w14:paraId="4B45FF96" w14:textId="77777777" w:rsidR="008F06CA" w:rsidRPr="00EF0EF7" w:rsidRDefault="008F06CA" w:rsidP="009766B5">
            <w:pPr>
              <w:spacing w:after="120"/>
              <w:jc w:val="center"/>
            </w:pPr>
            <w:r w:rsidRPr="00EF0EF7">
              <w:t>–</w:t>
            </w:r>
          </w:p>
        </w:tc>
      </w:tr>
    </w:tbl>
    <w:p w14:paraId="3B776262" w14:textId="77777777" w:rsidR="008F06CA" w:rsidRPr="00EF0EF7" w:rsidRDefault="008F06CA" w:rsidP="008F06CA">
      <w:pPr>
        <w:spacing w:after="120"/>
      </w:pPr>
      <w:r w:rsidRPr="00EF0EF7">
        <w:br w:type="page"/>
      </w:r>
    </w:p>
    <w:p w14:paraId="6E06149A" w14:textId="77777777" w:rsidR="008F06CA" w:rsidRPr="00EF0EF7" w:rsidRDefault="008F06CA" w:rsidP="008F06CA">
      <w:pPr>
        <w:pStyle w:val="Heading1"/>
      </w:pPr>
      <w:r w:rsidRPr="00EF0EF7">
        <w:lastRenderedPageBreak/>
        <w:t>1</w:t>
      </w:r>
      <w:r w:rsidRPr="00EF0EF7">
        <w:tab/>
        <w:t>Oral reports by the committee chairs</w:t>
      </w:r>
    </w:p>
    <w:p w14:paraId="7A515153" w14:textId="77777777" w:rsidR="008F06CA" w:rsidRPr="00EF0EF7" w:rsidRDefault="008F06CA" w:rsidP="00EF0EF7">
      <w:pPr>
        <w:rPr>
          <w:bdr w:val="none" w:sz="0" w:space="0" w:color="auto" w:frame="1"/>
        </w:rPr>
      </w:pPr>
      <w:r w:rsidRPr="00EF0EF7">
        <w:rPr>
          <w:bdr w:val="none" w:sz="0" w:space="0" w:color="auto" w:frame="1"/>
        </w:rPr>
        <w:t>1.1</w:t>
      </w:r>
      <w:r w:rsidRPr="00EF0EF7">
        <w:rPr>
          <w:bdr w:val="none" w:sz="0" w:space="0" w:color="auto" w:frame="1"/>
        </w:rPr>
        <w:tab/>
        <w:t xml:space="preserve">The </w:t>
      </w:r>
      <w:r w:rsidRPr="00EF0EF7">
        <w:rPr>
          <w:b/>
          <w:bCs/>
          <w:bdr w:val="none" w:sz="0" w:space="0" w:color="auto" w:frame="1"/>
        </w:rPr>
        <w:t>Chair of Committee 2</w:t>
      </w:r>
      <w:r w:rsidRPr="00EF0EF7">
        <w:rPr>
          <w:bdr w:val="none" w:sz="0" w:space="0" w:color="auto" w:frame="1"/>
        </w:rPr>
        <w:t xml:space="preserve"> reported that progress had been made in the work of her committee, which was awaiting a further 25 credentials instruments. It would hold its final meeting on 5 December 2023 and would submit its report for approval the following day. Drawing attention to Document 204(Rev.4) on loss of the right to vote, she noted that 12 Member States were currently not entitled to vote.</w:t>
      </w:r>
    </w:p>
    <w:p w14:paraId="1CA9E73F" w14:textId="77777777" w:rsidR="008F06CA" w:rsidRPr="00EF0EF7" w:rsidRDefault="008F06CA" w:rsidP="00EF0EF7">
      <w:pPr>
        <w:rPr>
          <w:bdr w:val="none" w:sz="0" w:space="0" w:color="auto" w:frame="1"/>
        </w:rPr>
      </w:pPr>
      <w:r w:rsidRPr="00EF0EF7">
        <w:rPr>
          <w:bdr w:val="none" w:sz="0" w:space="0" w:color="auto" w:frame="1"/>
        </w:rPr>
        <w:t>1.2</w:t>
      </w:r>
      <w:r w:rsidRPr="00EF0EF7">
        <w:rPr>
          <w:bdr w:val="none" w:sz="0" w:space="0" w:color="auto" w:frame="1"/>
        </w:rPr>
        <w:tab/>
        <w:t xml:space="preserve">The oral report by the Chair of Committee 2 was </w:t>
      </w:r>
      <w:r w:rsidRPr="00EF0EF7">
        <w:rPr>
          <w:b/>
          <w:bCs/>
          <w:bdr w:val="none" w:sz="0" w:space="0" w:color="auto" w:frame="1"/>
        </w:rPr>
        <w:t>noted</w:t>
      </w:r>
      <w:r w:rsidRPr="00EF0EF7">
        <w:rPr>
          <w:bdr w:val="none" w:sz="0" w:space="0" w:color="auto" w:frame="1"/>
        </w:rPr>
        <w:t>.</w:t>
      </w:r>
    </w:p>
    <w:p w14:paraId="3D192CBC" w14:textId="77777777" w:rsidR="008F06CA" w:rsidRPr="00EF0EF7" w:rsidRDefault="008F06CA" w:rsidP="00EF0EF7">
      <w:pPr>
        <w:rPr>
          <w:bdr w:val="none" w:sz="0" w:space="0" w:color="auto" w:frame="1"/>
        </w:rPr>
      </w:pPr>
      <w:r w:rsidRPr="00EF0EF7">
        <w:rPr>
          <w:bdr w:val="none" w:sz="0" w:space="0" w:color="auto" w:frame="1"/>
        </w:rPr>
        <w:t>1.3</w:t>
      </w:r>
      <w:r w:rsidRPr="00EF0EF7">
        <w:rPr>
          <w:bdr w:val="none" w:sz="0" w:space="0" w:color="auto" w:frame="1"/>
        </w:rPr>
        <w:tab/>
        <w:t xml:space="preserve">The </w:t>
      </w:r>
      <w:r w:rsidRPr="00EF0EF7">
        <w:rPr>
          <w:b/>
          <w:bCs/>
          <w:bdr w:val="none" w:sz="0" w:space="0" w:color="auto" w:frame="1"/>
        </w:rPr>
        <w:t>Chair of Committee 3</w:t>
      </w:r>
      <w:r w:rsidRPr="00EF0EF7">
        <w:rPr>
          <w:bdr w:val="none" w:sz="0" w:space="0" w:color="auto" w:frame="1"/>
        </w:rPr>
        <w:t xml:space="preserve"> reported that her committee had held its second meeting, at which it had examined the updated financial statement of the conference as of 27 November 2023 (Document 270), and the report of its first meeting. Expenditure for WRC-23 was expected to remain within budget, with the possibility of a final positive balance owing to savings on certain expenses, notably staff costs. The committee would hold its final meeting in the last week of the conference.</w:t>
      </w:r>
    </w:p>
    <w:p w14:paraId="09D601C4" w14:textId="77777777" w:rsidR="008F06CA" w:rsidRPr="00EF0EF7" w:rsidRDefault="008F06CA" w:rsidP="00EF0EF7">
      <w:pPr>
        <w:rPr>
          <w:bdr w:val="none" w:sz="0" w:space="0" w:color="auto" w:frame="1"/>
        </w:rPr>
      </w:pPr>
      <w:r w:rsidRPr="00EF0EF7">
        <w:rPr>
          <w:bdr w:val="none" w:sz="0" w:space="0" w:color="auto" w:frame="1"/>
        </w:rPr>
        <w:t>1.4</w:t>
      </w:r>
      <w:r w:rsidRPr="00EF0EF7">
        <w:rPr>
          <w:bdr w:val="none" w:sz="0" w:space="0" w:color="auto" w:frame="1"/>
        </w:rPr>
        <w:tab/>
        <w:t xml:space="preserve">The oral report by the Chair of Committee 3 was </w:t>
      </w:r>
      <w:r w:rsidRPr="00EF0EF7">
        <w:rPr>
          <w:b/>
          <w:bCs/>
          <w:bdr w:val="none" w:sz="0" w:space="0" w:color="auto" w:frame="1"/>
        </w:rPr>
        <w:t>noted</w:t>
      </w:r>
      <w:r w:rsidRPr="00EF0EF7">
        <w:rPr>
          <w:bdr w:val="none" w:sz="0" w:space="0" w:color="auto" w:frame="1"/>
        </w:rPr>
        <w:t>.</w:t>
      </w:r>
    </w:p>
    <w:p w14:paraId="720E6B08" w14:textId="3CFDD104" w:rsidR="008F06CA" w:rsidRPr="00EF0EF7" w:rsidRDefault="008F06CA" w:rsidP="00EF0EF7">
      <w:pPr>
        <w:rPr>
          <w:bdr w:val="none" w:sz="0" w:space="0" w:color="auto" w:frame="1"/>
        </w:rPr>
      </w:pPr>
      <w:r w:rsidRPr="00EF0EF7">
        <w:rPr>
          <w:bdr w:val="none" w:sz="0" w:space="0" w:color="auto" w:frame="1"/>
        </w:rPr>
        <w:t>1.5</w:t>
      </w:r>
      <w:r w:rsidRPr="00EF0EF7">
        <w:rPr>
          <w:bdr w:val="none" w:sz="0" w:space="0" w:color="auto" w:frame="1"/>
        </w:rPr>
        <w:tab/>
        <w:t xml:space="preserve">The </w:t>
      </w:r>
      <w:r w:rsidRPr="00EF0EF7">
        <w:rPr>
          <w:b/>
          <w:bCs/>
          <w:bdr w:val="none" w:sz="0" w:space="0" w:color="auto" w:frame="1"/>
        </w:rPr>
        <w:t>Chair of Committee 4</w:t>
      </w:r>
      <w:r w:rsidRPr="00EF0EF7">
        <w:rPr>
          <w:bdr w:val="none" w:sz="0" w:space="0" w:color="auto" w:frame="1"/>
        </w:rPr>
        <w:t xml:space="preserve"> said that his committee had made only limited progress since the previous plenary meeting. However, work on </w:t>
      </w:r>
      <w:r w:rsidR="00EF0EF7">
        <w:rPr>
          <w:bdr w:val="none" w:sz="0" w:space="0" w:color="auto" w:frame="1"/>
        </w:rPr>
        <w:t>agenda item</w:t>
      </w:r>
      <w:r w:rsidRPr="00EF0EF7">
        <w:rPr>
          <w:bdr w:val="none" w:sz="0" w:space="0" w:color="auto" w:frame="1"/>
        </w:rPr>
        <w:t>s 1.11 (Issue A) and 9.1 (Topic B) had been completed at working group level, and the committee would review the working groups’ outputs on 5 December 2023. Given that much remained to be done, meetings had been scheduled for the weekend. He encouraged all delegates to work collaboratively and demonstrate flexibility to avoid unnecessary delays.</w:t>
      </w:r>
    </w:p>
    <w:p w14:paraId="2E2CFFE7" w14:textId="77777777" w:rsidR="008F06CA" w:rsidRPr="00EF0EF7" w:rsidRDefault="008F06CA" w:rsidP="00EF0EF7">
      <w:pPr>
        <w:rPr>
          <w:bdr w:val="none" w:sz="0" w:space="0" w:color="auto" w:frame="1"/>
        </w:rPr>
      </w:pPr>
      <w:r w:rsidRPr="00EF0EF7">
        <w:rPr>
          <w:bdr w:val="none" w:sz="0" w:space="0" w:color="auto" w:frame="1"/>
        </w:rPr>
        <w:t>1.6</w:t>
      </w:r>
      <w:r w:rsidRPr="00EF0EF7">
        <w:rPr>
          <w:bdr w:val="none" w:sz="0" w:space="0" w:color="auto" w:frame="1"/>
        </w:rPr>
        <w:tab/>
        <w:t xml:space="preserve">The oral report by the Chair of Committee 4 was </w:t>
      </w:r>
      <w:r w:rsidRPr="00EF0EF7">
        <w:rPr>
          <w:b/>
          <w:bCs/>
          <w:bdr w:val="none" w:sz="0" w:space="0" w:color="auto" w:frame="1"/>
        </w:rPr>
        <w:t>noted</w:t>
      </w:r>
      <w:r w:rsidRPr="00EF0EF7">
        <w:rPr>
          <w:bdr w:val="none" w:sz="0" w:space="0" w:color="auto" w:frame="1"/>
        </w:rPr>
        <w:t>.</w:t>
      </w:r>
    </w:p>
    <w:p w14:paraId="0F620D46" w14:textId="22751C80" w:rsidR="008F06CA" w:rsidRPr="00EF0EF7" w:rsidRDefault="008F06CA" w:rsidP="00EF0EF7">
      <w:pPr>
        <w:rPr>
          <w:bdr w:val="none" w:sz="0" w:space="0" w:color="auto" w:frame="1"/>
        </w:rPr>
      </w:pPr>
      <w:r w:rsidRPr="00EF0EF7">
        <w:rPr>
          <w:bdr w:val="none" w:sz="0" w:space="0" w:color="auto" w:frame="1"/>
        </w:rPr>
        <w:t>1.7</w:t>
      </w:r>
      <w:r w:rsidRPr="00EF0EF7">
        <w:rPr>
          <w:bdr w:val="none" w:sz="0" w:space="0" w:color="auto" w:frame="1"/>
        </w:rPr>
        <w:tab/>
        <w:t xml:space="preserve">The </w:t>
      </w:r>
      <w:r w:rsidRPr="00EF0EF7">
        <w:rPr>
          <w:b/>
          <w:bCs/>
          <w:bdr w:val="none" w:sz="0" w:space="0" w:color="auto" w:frame="1"/>
        </w:rPr>
        <w:t>Chair of Committee 5</w:t>
      </w:r>
      <w:r w:rsidRPr="00EF0EF7">
        <w:rPr>
          <w:bdr w:val="none" w:sz="0" w:space="0" w:color="auto" w:frame="1"/>
        </w:rPr>
        <w:t xml:space="preserve"> said that her committee had met once since the previous plenary meeting and had approved the outcomes under </w:t>
      </w:r>
      <w:r w:rsidR="00EF0EF7">
        <w:rPr>
          <w:bdr w:val="none" w:sz="0" w:space="0" w:color="auto" w:frame="1"/>
        </w:rPr>
        <w:t>agenda item</w:t>
      </w:r>
      <w:r w:rsidRPr="00EF0EF7">
        <w:rPr>
          <w:bdr w:val="none" w:sz="0" w:space="0" w:color="auto" w:frame="1"/>
        </w:rPr>
        <w:t>s 1.14 and 7 (Topic G). It would submit a document on those items to Committee 7 for presentation at the next plenary meeting. Meetings would be held over the weekend, as much remained to be done.</w:t>
      </w:r>
    </w:p>
    <w:p w14:paraId="3FA3ED6D" w14:textId="77777777" w:rsidR="008F06CA" w:rsidRPr="00EF0EF7" w:rsidRDefault="008F06CA" w:rsidP="00EF0EF7">
      <w:pPr>
        <w:rPr>
          <w:bdr w:val="none" w:sz="0" w:space="0" w:color="auto" w:frame="1"/>
        </w:rPr>
      </w:pPr>
      <w:r w:rsidRPr="00EF0EF7">
        <w:rPr>
          <w:bdr w:val="none" w:sz="0" w:space="0" w:color="auto" w:frame="1"/>
        </w:rPr>
        <w:t>1.8</w:t>
      </w:r>
      <w:r w:rsidRPr="00EF0EF7">
        <w:rPr>
          <w:bdr w:val="none" w:sz="0" w:space="0" w:color="auto" w:frame="1"/>
        </w:rPr>
        <w:tab/>
        <w:t xml:space="preserve">The oral report by the Chair of Committee 5 was </w:t>
      </w:r>
      <w:r w:rsidRPr="00EF0EF7">
        <w:rPr>
          <w:b/>
          <w:bCs/>
          <w:bdr w:val="none" w:sz="0" w:space="0" w:color="auto" w:frame="1"/>
        </w:rPr>
        <w:t>noted</w:t>
      </w:r>
      <w:r w:rsidRPr="00EF0EF7">
        <w:rPr>
          <w:bdr w:val="none" w:sz="0" w:space="0" w:color="auto" w:frame="1"/>
        </w:rPr>
        <w:t>.</w:t>
      </w:r>
    </w:p>
    <w:p w14:paraId="0ED854E1" w14:textId="1A58AFA6" w:rsidR="008F06CA" w:rsidRPr="00EF0EF7" w:rsidRDefault="008F06CA" w:rsidP="00EF0EF7">
      <w:pPr>
        <w:rPr>
          <w:bdr w:val="none" w:sz="0" w:space="0" w:color="auto" w:frame="1"/>
        </w:rPr>
      </w:pPr>
      <w:r w:rsidRPr="00EF0EF7">
        <w:rPr>
          <w:bdr w:val="none" w:sz="0" w:space="0" w:color="auto" w:frame="1"/>
        </w:rPr>
        <w:t>1.9</w:t>
      </w:r>
      <w:r w:rsidRPr="00EF0EF7">
        <w:rPr>
          <w:bdr w:val="none" w:sz="0" w:space="0" w:color="auto" w:frame="1"/>
        </w:rPr>
        <w:tab/>
        <w:t xml:space="preserve">The </w:t>
      </w:r>
      <w:r w:rsidRPr="00EF0EF7">
        <w:rPr>
          <w:b/>
          <w:bCs/>
          <w:bdr w:val="none" w:sz="0" w:space="0" w:color="auto" w:frame="1"/>
        </w:rPr>
        <w:t>Chair of Committee 6</w:t>
      </w:r>
      <w:r w:rsidRPr="00EF0EF7">
        <w:rPr>
          <w:bdr w:val="none" w:sz="0" w:space="0" w:color="auto" w:frame="1"/>
        </w:rPr>
        <w:t xml:space="preserve"> said that his committee had held its fifth meeting that morning. Thanks to progress made under </w:t>
      </w:r>
      <w:r w:rsidR="00EF0EF7">
        <w:rPr>
          <w:bdr w:val="none" w:sz="0" w:space="0" w:color="auto" w:frame="1"/>
        </w:rPr>
        <w:t>agenda item</w:t>
      </w:r>
      <w:r w:rsidRPr="00EF0EF7">
        <w:rPr>
          <w:bdr w:val="none" w:sz="0" w:space="0" w:color="auto" w:frame="1"/>
        </w:rPr>
        <w:t>s 2, 4, 8, 9.1 and 9.2, the committee had been able to complete its examination of revised ITU</w:t>
      </w:r>
      <w:r w:rsidRPr="00EF0EF7">
        <w:rPr>
          <w:bdr w:val="none" w:sz="0" w:space="0" w:color="auto" w:frame="1"/>
        </w:rPr>
        <w:noBreakHyphen/>
        <w:t>R Recommendations incorporated by reference in the Radio Regulations. It had also established a consolidated list of Recommendations incorporated by reference, taking into account the information provided by RA-23. The list had been transmitted to the Chairs of Committees 4 and 5 in Document 282, with a request to keep Committee 6 informed of any necessary additions.</w:t>
      </w:r>
    </w:p>
    <w:p w14:paraId="1C3CECE5" w14:textId="56D1B033" w:rsidR="008F06CA" w:rsidRPr="00EF0EF7" w:rsidRDefault="008F06CA" w:rsidP="00EF0EF7">
      <w:pPr>
        <w:rPr>
          <w:bdr w:val="none" w:sz="0" w:space="0" w:color="auto" w:frame="1"/>
        </w:rPr>
      </w:pPr>
      <w:r w:rsidRPr="00EF0EF7">
        <w:rPr>
          <w:bdr w:val="none" w:sz="0" w:space="0" w:color="auto" w:frame="1"/>
        </w:rPr>
        <w:t>1.10</w:t>
      </w:r>
      <w:r w:rsidRPr="00EF0EF7">
        <w:rPr>
          <w:bdr w:val="none" w:sz="0" w:space="0" w:color="auto" w:frame="1"/>
        </w:rPr>
        <w:tab/>
        <w:t xml:space="preserve">The committee had approved a number of proposals for the addition or deletion of country names in footnotes (Document 294(Rev.1)). Under </w:t>
      </w:r>
      <w:r w:rsidR="00EF0EF7">
        <w:rPr>
          <w:bdr w:val="none" w:sz="0" w:space="0" w:color="auto" w:frame="1"/>
        </w:rPr>
        <w:t>agenda item</w:t>
      </w:r>
      <w:r w:rsidRPr="00EF0EF7">
        <w:rPr>
          <w:bdr w:val="none" w:sz="0" w:space="0" w:color="auto" w:frame="1"/>
        </w:rPr>
        <w:t xml:space="preserve"> 4, it had continued its consideration of proposals to update resolutions and recommendations adopted at previous conferences. A number of proposals had been approved at the working group level (Document 291); and some by the committee already, which were submitted for consideration by the Plenary at its current meeting (Document 289). Under </w:t>
      </w:r>
      <w:r w:rsidR="00EF0EF7">
        <w:rPr>
          <w:bdr w:val="none" w:sz="0" w:space="0" w:color="auto" w:frame="1"/>
        </w:rPr>
        <w:t>agenda item</w:t>
      </w:r>
      <w:r w:rsidRPr="00EF0EF7">
        <w:rPr>
          <w:bdr w:val="none" w:sz="0" w:space="0" w:color="auto" w:frame="1"/>
        </w:rPr>
        <w:t> 10, the committee had finished its revision of Resolution 804 (</w:t>
      </w:r>
      <w:r w:rsidR="00311015">
        <w:rPr>
          <w:bdr w:val="none" w:sz="0" w:space="0" w:color="auto" w:frame="1"/>
        </w:rPr>
        <w:t>Rev.</w:t>
      </w:r>
      <w:r w:rsidRPr="00EF0EF7">
        <w:rPr>
          <w:bdr w:val="none" w:sz="0" w:space="0" w:color="auto" w:frame="1"/>
        </w:rPr>
        <w:t>WRC-19), which would also be considered at the current plenary meeting (Document 288).</w:t>
      </w:r>
    </w:p>
    <w:p w14:paraId="6858C6A9" w14:textId="77777777" w:rsidR="008F06CA" w:rsidRPr="00EF0EF7" w:rsidRDefault="008F06CA" w:rsidP="00EF0EF7">
      <w:pPr>
        <w:rPr>
          <w:bdr w:val="none" w:sz="0" w:space="0" w:color="auto" w:frame="1"/>
        </w:rPr>
      </w:pPr>
      <w:r w:rsidRPr="00EF0EF7">
        <w:rPr>
          <w:bdr w:val="none" w:sz="0" w:space="0" w:color="auto" w:frame="1"/>
        </w:rPr>
        <w:t>1.11</w:t>
      </w:r>
      <w:r w:rsidRPr="00EF0EF7">
        <w:rPr>
          <w:bdr w:val="none" w:sz="0" w:space="0" w:color="auto" w:frame="1"/>
        </w:rPr>
        <w:tab/>
        <w:t>Lastly, the committee’s subgroups had begun drafting texts on possible topics to be included on the agenda of future WRCs. Given the volume of work still to be completed, the committee expected to hold meetings over the weekend.</w:t>
      </w:r>
    </w:p>
    <w:p w14:paraId="30CA2773" w14:textId="77777777" w:rsidR="008F06CA" w:rsidRPr="00EF0EF7" w:rsidRDefault="008F06CA" w:rsidP="00EF0EF7">
      <w:pPr>
        <w:rPr>
          <w:bdr w:val="none" w:sz="0" w:space="0" w:color="auto" w:frame="1"/>
        </w:rPr>
      </w:pPr>
      <w:r w:rsidRPr="00EF0EF7">
        <w:rPr>
          <w:bdr w:val="none" w:sz="0" w:space="0" w:color="auto" w:frame="1"/>
        </w:rPr>
        <w:t>1.12</w:t>
      </w:r>
      <w:r w:rsidRPr="00EF0EF7">
        <w:rPr>
          <w:bdr w:val="none" w:sz="0" w:space="0" w:color="auto" w:frame="1"/>
        </w:rPr>
        <w:tab/>
        <w:t xml:space="preserve">The oral report by the Chair of Committee 6 was </w:t>
      </w:r>
      <w:r w:rsidRPr="00EF0EF7">
        <w:rPr>
          <w:b/>
          <w:bCs/>
          <w:bdr w:val="none" w:sz="0" w:space="0" w:color="auto" w:frame="1"/>
        </w:rPr>
        <w:t>noted</w:t>
      </w:r>
      <w:r w:rsidRPr="00EF0EF7">
        <w:rPr>
          <w:bdr w:val="none" w:sz="0" w:space="0" w:color="auto" w:frame="1"/>
        </w:rPr>
        <w:t>.</w:t>
      </w:r>
    </w:p>
    <w:p w14:paraId="56582963" w14:textId="77777777" w:rsidR="008F06CA" w:rsidRPr="00EF0EF7" w:rsidRDefault="008F06CA" w:rsidP="00EF0EF7">
      <w:pPr>
        <w:rPr>
          <w:bdr w:val="none" w:sz="0" w:space="0" w:color="auto" w:frame="1"/>
        </w:rPr>
      </w:pPr>
      <w:r w:rsidRPr="00EF0EF7">
        <w:rPr>
          <w:bdr w:val="none" w:sz="0" w:space="0" w:color="auto" w:frame="1"/>
        </w:rPr>
        <w:lastRenderedPageBreak/>
        <w:t>1.13</w:t>
      </w:r>
      <w:r w:rsidRPr="00EF0EF7">
        <w:rPr>
          <w:bdr w:val="none" w:sz="0" w:space="0" w:color="auto" w:frame="1"/>
        </w:rPr>
        <w:tab/>
        <w:t xml:space="preserve">The </w:t>
      </w:r>
      <w:r w:rsidRPr="00EF0EF7">
        <w:rPr>
          <w:b/>
          <w:bCs/>
          <w:bdr w:val="none" w:sz="0" w:space="0" w:color="auto" w:frame="1"/>
        </w:rPr>
        <w:t>Chair of Committee 7</w:t>
      </w:r>
      <w:r w:rsidRPr="00EF0EF7">
        <w:rPr>
          <w:bdr w:val="none" w:sz="0" w:space="0" w:color="auto" w:frame="1"/>
        </w:rPr>
        <w:t xml:space="preserve"> said that his committee had prepared two series of texts for first reading at the current plenary meeting.</w:t>
      </w:r>
    </w:p>
    <w:p w14:paraId="0F38A72A" w14:textId="77777777" w:rsidR="008F06CA" w:rsidRPr="00EF0EF7" w:rsidRDefault="008F06CA" w:rsidP="00EF0EF7">
      <w:pPr>
        <w:rPr>
          <w:bdr w:val="none" w:sz="0" w:space="0" w:color="auto" w:frame="1"/>
        </w:rPr>
      </w:pPr>
      <w:r w:rsidRPr="00EF0EF7">
        <w:rPr>
          <w:bdr w:val="none" w:sz="0" w:space="0" w:color="auto" w:frame="1"/>
        </w:rPr>
        <w:t>1.14</w:t>
      </w:r>
      <w:r w:rsidRPr="00EF0EF7">
        <w:rPr>
          <w:bdr w:val="none" w:sz="0" w:space="0" w:color="auto" w:frame="1"/>
        </w:rPr>
        <w:tab/>
        <w:t>In response to the concerns expressed at the previous plenary meeting regarding the fact that various modifications to Appendix 4 provisions were being submitted in different blue documents, he said that a new mechanism was being implemented, covering two possible cases.</w:t>
      </w:r>
    </w:p>
    <w:p w14:paraId="0B71B4D4" w14:textId="77777777" w:rsidR="008F06CA" w:rsidRPr="00EF0EF7" w:rsidRDefault="008F06CA" w:rsidP="00EF0EF7">
      <w:pPr>
        <w:rPr>
          <w:bdr w:val="none" w:sz="0" w:space="0" w:color="auto" w:frame="1"/>
        </w:rPr>
      </w:pPr>
      <w:r w:rsidRPr="00EF0EF7">
        <w:rPr>
          <w:bdr w:val="none" w:sz="0" w:space="0" w:color="auto" w:frame="1"/>
        </w:rPr>
        <w:t>1.15</w:t>
      </w:r>
      <w:r w:rsidRPr="00EF0EF7">
        <w:rPr>
          <w:bdr w:val="none" w:sz="0" w:space="0" w:color="auto" w:frame="1"/>
        </w:rPr>
        <w:tab/>
        <w:t xml:space="preserve">For modifications emanating from the same committee, the secretariat of that committee would be required to ensure that all proposed changes were consolidated into a single text, to be submitted to the committee and subsequently in a white series to Committee 7. A committee might therefore need to put one working group’s outcome on a given provision on hold and wait for another working group to finalize its work on the same provision before compiling a consolidated document. </w:t>
      </w:r>
    </w:p>
    <w:p w14:paraId="2432CFD5" w14:textId="77777777" w:rsidR="008F06CA" w:rsidRPr="00EF0EF7" w:rsidRDefault="008F06CA" w:rsidP="00EF0EF7">
      <w:pPr>
        <w:rPr>
          <w:bdr w:val="none" w:sz="0" w:space="0" w:color="auto" w:frame="1"/>
        </w:rPr>
      </w:pPr>
      <w:r w:rsidRPr="00EF0EF7">
        <w:rPr>
          <w:bdr w:val="none" w:sz="0" w:space="0" w:color="auto" w:frame="1"/>
        </w:rPr>
        <w:t>1.16</w:t>
      </w:r>
      <w:r w:rsidRPr="00EF0EF7">
        <w:rPr>
          <w:bdr w:val="none" w:sz="0" w:space="0" w:color="auto" w:frame="1"/>
        </w:rPr>
        <w:tab/>
        <w:t>For modifications emanating from different committees, any provisions with proposed texts that fell within the responsibility of more than one committee would, to the extent possible, be identified as early as possible, and the relevant committees would coordinate with one another to produce a consolidated proposed text to be submitted to the Plenary via Committee 7. Where such an overlap could not be identified in advance, and a committee modified a text that had already been approved in pink, that committee would be required to add revision marks to the clean, pink version of the text and submit it to Committee 7, so that it would be clear which parts of the text had already been adopted and which were new.</w:t>
      </w:r>
    </w:p>
    <w:p w14:paraId="4C5BD54D" w14:textId="77777777" w:rsidR="008F06CA" w:rsidRPr="00EF0EF7" w:rsidRDefault="008F06CA" w:rsidP="00EF0EF7">
      <w:pPr>
        <w:rPr>
          <w:bdr w:val="none" w:sz="0" w:space="0" w:color="auto" w:frame="1"/>
        </w:rPr>
      </w:pPr>
      <w:r w:rsidRPr="00EF0EF7">
        <w:rPr>
          <w:bdr w:val="none" w:sz="0" w:space="0" w:color="auto" w:frame="1"/>
        </w:rPr>
        <w:t>1.17</w:t>
      </w:r>
      <w:r w:rsidRPr="00EF0EF7">
        <w:rPr>
          <w:bdr w:val="none" w:sz="0" w:space="0" w:color="auto" w:frame="1"/>
        </w:rPr>
        <w:tab/>
        <w:t xml:space="preserve">The oral report by the Chair of Committee 7 was </w:t>
      </w:r>
      <w:r w:rsidRPr="00EF0EF7">
        <w:rPr>
          <w:b/>
          <w:bCs/>
          <w:bdr w:val="none" w:sz="0" w:space="0" w:color="auto" w:frame="1"/>
        </w:rPr>
        <w:t>noted</w:t>
      </w:r>
      <w:r w:rsidRPr="00EF0EF7">
        <w:rPr>
          <w:bdr w:val="none" w:sz="0" w:space="0" w:color="auto" w:frame="1"/>
        </w:rPr>
        <w:t>.</w:t>
      </w:r>
    </w:p>
    <w:p w14:paraId="7A12CA47" w14:textId="77777777" w:rsidR="008F06CA" w:rsidRPr="00EF0EF7" w:rsidRDefault="008F06CA" w:rsidP="00EF0EF7">
      <w:pPr>
        <w:pStyle w:val="Heading1"/>
      </w:pPr>
      <w:r w:rsidRPr="00EF0EF7">
        <w:t>2</w:t>
      </w:r>
      <w:r w:rsidRPr="00EF0EF7">
        <w:tab/>
        <w:t>Ninth series of texts submitted by the Editorial Committee for first reading (B9) (Document 288)</w:t>
      </w:r>
    </w:p>
    <w:p w14:paraId="3DE707CB" w14:textId="77777777" w:rsidR="008F06CA" w:rsidRPr="00EF0EF7" w:rsidRDefault="008F06CA" w:rsidP="00EF0EF7">
      <w:r w:rsidRPr="00EF0EF7">
        <w:t>2.1</w:t>
      </w:r>
      <w:r w:rsidRPr="00EF0EF7">
        <w:tab/>
        <w:t xml:space="preserve">The </w:t>
      </w:r>
      <w:r w:rsidRPr="00EF0EF7">
        <w:rPr>
          <w:b/>
          <w:bCs/>
        </w:rPr>
        <w:t>Chair of the Editorial Committee</w:t>
      </w:r>
      <w:r w:rsidRPr="00EF0EF7">
        <w:t xml:space="preserve"> introduced Document 288.</w:t>
      </w:r>
    </w:p>
    <w:p w14:paraId="6322D647" w14:textId="77777777" w:rsidR="008F06CA" w:rsidRPr="00EF0EF7" w:rsidRDefault="008F06CA" w:rsidP="00EF0EF7">
      <w:r w:rsidRPr="00EF0EF7">
        <w:t>2.2</w:t>
      </w:r>
      <w:r w:rsidRPr="00EF0EF7">
        <w:tab/>
        <w:t xml:space="preserve">The </w:t>
      </w:r>
      <w:r w:rsidRPr="00EF0EF7">
        <w:rPr>
          <w:b/>
          <w:bCs/>
        </w:rPr>
        <w:t>Chair</w:t>
      </w:r>
      <w:r w:rsidRPr="00EF0EF7">
        <w:t xml:space="preserve"> invited the meeting to consider Document 288.</w:t>
      </w:r>
    </w:p>
    <w:p w14:paraId="4A835256" w14:textId="46DF31CB" w:rsidR="008F06CA" w:rsidRPr="00EF0EF7" w:rsidRDefault="008F06CA" w:rsidP="00EF0EF7">
      <w:pPr>
        <w:pStyle w:val="Headingb"/>
        <w:rPr>
          <w:lang w:val="en-GB"/>
        </w:rPr>
      </w:pPr>
      <w:r w:rsidRPr="00EF0EF7">
        <w:rPr>
          <w:lang w:val="en-GB"/>
        </w:rPr>
        <w:t>MOD Resolution 804 (</w:t>
      </w:r>
      <w:r w:rsidR="00311015">
        <w:rPr>
          <w:lang w:val="en-GB"/>
        </w:rPr>
        <w:t>Rev.</w:t>
      </w:r>
      <w:r w:rsidRPr="00EF0EF7">
        <w:rPr>
          <w:lang w:val="en-GB"/>
        </w:rPr>
        <w:t>WRC-19); SUP Resolution 178 (WRC-19); SUP Resolution 250 (WRC-19)</w:t>
      </w:r>
    </w:p>
    <w:p w14:paraId="2AFA8057" w14:textId="77777777" w:rsidR="008F06CA" w:rsidRPr="00EF0EF7" w:rsidRDefault="008F06CA" w:rsidP="008F06CA">
      <w:pPr>
        <w:spacing w:after="120"/>
      </w:pPr>
      <w:r w:rsidRPr="00EF0EF7">
        <w:t>2.3</w:t>
      </w:r>
      <w:r w:rsidRPr="00EF0EF7">
        <w:tab/>
      </w:r>
      <w:r w:rsidRPr="00EF0EF7">
        <w:rPr>
          <w:b/>
        </w:rPr>
        <w:t>Approved</w:t>
      </w:r>
      <w:r w:rsidRPr="00EF0EF7">
        <w:t>.</w:t>
      </w:r>
    </w:p>
    <w:p w14:paraId="671A4DF0" w14:textId="77777777" w:rsidR="008F06CA" w:rsidRPr="00EF0EF7" w:rsidRDefault="008F06CA" w:rsidP="00EF0EF7">
      <w:pPr>
        <w:rPr>
          <w:bCs/>
        </w:rPr>
      </w:pPr>
      <w:r w:rsidRPr="00EF0EF7">
        <w:t>2.4</w:t>
      </w:r>
      <w:r w:rsidRPr="00EF0EF7">
        <w:tab/>
        <w:t xml:space="preserve">The ninth series of texts submitted by the Editorial Committee for first reading (B9) (Document 288) was </w:t>
      </w:r>
      <w:r w:rsidRPr="00EF0EF7">
        <w:rPr>
          <w:b/>
          <w:bCs/>
        </w:rPr>
        <w:t>approved</w:t>
      </w:r>
      <w:r w:rsidRPr="00EF0EF7">
        <w:rPr>
          <w:bCs/>
        </w:rPr>
        <w:t>.</w:t>
      </w:r>
    </w:p>
    <w:p w14:paraId="772CE333" w14:textId="77777777" w:rsidR="008F06CA" w:rsidRPr="00EF0EF7" w:rsidRDefault="008F06CA" w:rsidP="00EF0EF7">
      <w:pPr>
        <w:pStyle w:val="Heading1"/>
      </w:pPr>
      <w:r w:rsidRPr="00EF0EF7">
        <w:t>3</w:t>
      </w:r>
      <w:r w:rsidRPr="00EF0EF7">
        <w:tab/>
        <w:t>Ninth series of texts submitted by the Editorial Committee (B9) – second reading (Document 288)</w:t>
      </w:r>
    </w:p>
    <w:p w14:paraId="101514C4" w14:textId="77777777" w:rsidR="008F06CA" w:rsidRPr="00EF0EF7" w:rsidRDefault="008F06CA" w:rsidP="00EF0EF7">
      <w:r w:rsidRPr="00EF0EF7">
        <w:t>3.1</w:t>
      </w:r>
      <w:r w:rsidRPr="00EF0EF7">
        <w:tab/>
        <w:t xml:space="preserve">The ninth series of texts submitted by the Editorial Committee (B9) (Document 288) was </w:t>
      </w:r>
      <w:r w:rsidRPr="00EF0EF7">
        <w:rPr>
          <w:b/>
          <w:bCs/>
        </w:rPr>
        <w:t>approved</w:t>
      </w:r>
      <w:r w:rsidRPr="00EF0EF7">
        <w:t xml:space="preserve"> on second reading.</w:t>
      </w:r>
    </w:p>
    <w:p w14:paraId="13CA52C9" w14:textId="6180F64B" w:rsidR="008F06CA" w:rsidRPr="00EF0EF7" w:rsidRDefault="008F06CA" w:rsidP="00EF0EF7">
      <w:r w:rsidRPr="00EF0EF7">
        <w:t>3.2</w:t>
      </w:r>
      <w:r w:rsidRPr="00EF0EF7">
        <w:tab/>
        <w:t xml:space="preserve">In response to a question from the </w:t>
      </w:r>
      <w:r w:rsidRPr="00EF0EF7">
        <w:rPr>
          <w:b/>
        </w:rPr>
        <w:t>Chair of Committee 6</w:t>
      </w:r>
      <w:r w:rsidRPr="00EF0EF7">
        <w:t xml:space="preserve">, the </w:t>
      </w:r>
      <w:r w:rsidRPr="00EF0EF7">
        <w:rPr>
          <w:b/>
        </w:rPr>
        <w:t>Chair</w:t>
      </w:r>
      <w:r w:rsidRPr="00EF0EF7">
        <w:t xml:space="preserve"> requested that the Plenary agree that Resolution 804 (</w:t>
      </w:r>
      <w:r w:rsidR="00311015">
        <w:t>Rev.</w:t>
      </w:r>
      <w:r w:rsidRPr="00EF0EF7">
        <w:t>WRC-23) would enter into force with immediate effect.</w:t>
      </w:r>
    </w:p>
    <w:p w14:paraId="53D6A99B" w14:textId="77777777" w:rsidR="008F06CA" w:rsidRPr="00EF0EF7" w:rsidRDefault="008F06CA" w:rsidP="008F06CA">
      <w:pPr>
        <w:spacing w:after="120"/>
      </w:pPr>
      <w:r w:rsidRPr="00EF0EF7">
        <w:t>3.3</w:t>
      </w:r>
      <w:r w:rsidRPr="00EF0EF7">
        <w:tab/>
        <w:t xml:space="preserve">It was so </w:t>
      </w:r>
      <w:r w:rsidRPr="00EF0EF7">
        <w:rPr>
          <w:b/>
        </w:rPr>
        <w:t>agreed</w:t>
      </w:r>
      <w:r w:rsidRPr="00EF0EF7">
        <w:t>.</w:t>
      </w:r>
    </w:p>
    <w:p w14:paraId="6D358F2D" w14:textId="77777777" w:rsidR="008F06CA" w:rsidRPr="00EF0EF7" w:rsidRDefault="008F06CA" w:rsidP="00EF0EF7">
      <w:pPr>
        <w:pStyle w:val="Heading1"/>
      </w:pPr>
      <w:r w:rsidRPr="00EF0EF7">
        <w:t xml:space="preserve">4 </w:t>
      </w:r>
      <w:r w:rsidRPr="00EF0EF7">
        <w:tab/>
        <w:t>Tenth series of texts submitted by the Editorial Committee for first reading (B10) (Document 289)</w:t>
      </w:r>
    </w:p>
    <w:p w14:paraId="3AC29275" w14:textId="77777777" w:rsidR="008F06CA" w:rsidRPr="00EF0EF7" w:rsidRDefault="008F06CA" w:rsidP="008F06CA">
      <w:pPr>
        <w:spacing w:after="120"/>
      </w:pPr>
      <w:r w:rsidRPr="00EF0EF7">
        <w:t>4.1</w:t>
      </w:r>
      <w:r w:rsidRPr="00EF0EF7">
        <w:tab/>
        <w:t xml:space="preserve">The </w:t>
      </w:r>
      <w:r w:rsidRPr="00EF0EF7">
        <w:rPr>
          <w:b/>
          <w:bCs/>
        </w:rPr>
        <w:t>Chair of the Editorial Committee</w:t>
      </w:r>
      <w:r w:rsidRPr="00EF0EF7">
        <w:t xml:space="preserve"> introduced Document 289.</w:t>
      </w:r>
    </w:p>
    <w:p w14:paraId="55795590" w14:textId="77777777" w:rsidR="008F06CA" w:rsidRPr="00EF0EF7" w:rsidRDefault="008F06CA" w:rsidP="008F06CA">
      <w:pPr>
        <w:spacing w:after="120"/>
      </w:pPr>
      <w:r w:rsidRPr="00EF0EF7">
        <w:t>4.2</w:t>
      </w:r>
      <w:r w:rsidRPr="00EF0EF7">
        <w:tab/>
        <w:t xml:space="preserve">The </w:t>
      </w:r>
      <w:r w:rsidRPr="00EF0EF7">
        <w:rPr>
          <w:b/>
          <w:bCs/>
        </w:rPr>
        <w:t>Chair</w:t>
      </w:r>
      <w:r w:rsidRPr="00EF0EF7">
        <w:t xml:space="preserve"> invited the meeting to consider Document 289.</w:t>
      </w:r>
    </w:p>
    <w:p w14:paraId="2AD464F5" w14:textId="54A95832" w:rsidR="008F06CA" w:rsidRPr="00EF0EF7" w:rsidRDefault="008F06CA" w:rsidP="00EF0EF7">
      <w:pPr>
        <w:pStyle w:val="Headingb"/>
        <w:rPr>
          <w:lang w:val="en-GB"/>
        </w:rPr>
      </w:pPr>
      <w:r w:rsidRPr="00EF0EF7">
        <w:rPr>
          <w:lang w:val="en-GB"/>
        </w:rPr>
        <w:lastRenderedPageBreak/>
        <w:t>Article 5 (MOD 5.527A); Article 22 (MOD 22.5CA); Appendix 4 (MOD Table A); MOD Resolution 25 (Rev.WRC-03); MOD Resolution 140 (</w:t>
      </w:r>
      <w:r w:rsidR="00311015">
        <w:rPr>
          <w:lang w:val="en-GB"/>
        </w:rPr>
        <w:t>Rev.</w:t>
      </w:r>
      <w:r w:rsidRPr="00EF0EF7">
        <w:rPr>
          <w:lang w:val="en-GB"/>
        </w:rPr>
        <w:t>WRC-15); MOD Resolution 156 (WRC-15)</w:t>
      </w:r>
    </w:p>
    <w:p w14:paraId="3131D735" w14:textId="77777777" w:rsidR="008F06CA" w:rsidRPr="00EF0EF7" w:rsidRDefault="008F06CA" w:rsidP="008F06CA">
      <w:pPr>
        <w:spacing w:after="120"/>
      </w:pPr>
      <w:r w:rsidRPr="00EF0EF7">
        <w:t>4.3</w:t>
      </w:r>
      <w:r w:rsidRPr="00EF0EF7">
        <w:tab/>
      </w:r>
      <w:r w:rsidRPr="00EF0EF7">
        <w:rPr>
          <w:b/>
        </w:rPr>
        <w:t>Approved</w:t>
      </w:r>
      <w:r w:rsidRPr="00EF0EF7">
        <w:t>.</w:t>
      </w:r>
    </w:p>
    <w:p w14:paraId="6019DBAD" w14:textId="77777777" w:rsidR="008F06CA" w:rsidRPr="00EF0EF7" w:rsidRDefault="008F06CA" w:rsidP="008F06CA">
      <w:pPr>
        <w:spacing w:after="120"/>
        <w:rPr>
          <w:bCs/>
        </w:rPr>
      </w:pPr>
      <w:r w:rsidRPr="00EF0EF7">
        <w:t>4.4</w:t>
      </w:r>
      <w:r w:rsidRPr="00EF0EF7">
        <w:tab/>
        <w:t xml:space="preserve">The tenth series of texts submitted by the Editorial Committee for first reading (B10) (Document 289) was </w:t>
      </w:r>
      <w:r w:rsidRPr="00EF0EF7">
        <w:rPr>
          <w:b/>
          <w:bCs/>
        </w:rPr>
        <w:t>approved</w:t>
      </w:r>
      <w:r w:rsidRPr="00EF0EF7">
        <w:rPr>
          <w:bCs/>
        </w:rPr>
        <w:t>.</w:t>
      </w:r>
    </w:p>
    <w:p w14:paraId="5B0D6A5E" w14:textId="77777777" w:rsidR="008F06CA" w:rsidRPr="00EF0EF7" w:rsidRDefault="008F06CA" w:rsidP="00EF0EF7">
      <w:pPr>
        <w:pStyle w:val="Heading1"/>
      </w:pPr>
      <w:r w:rsidRPr="00EF0EF7">
        <w:t>5</w:t>
      </w:r>
      <w:r w:rsidRPr="00EF0EF7">
        <w:tab/>
        <w:t>Tenth series of texts submitted by the Editorial Committee (B10) – second reading (Document 289)</w:t>
      </w:r>
    </w:p>
    <w:p w14:paraId="2CB66EEB" w14:textId="77777777" w:rsidR="008F06CA" w:rsidRPr="00EF0EF7" w:rsidRDefault="008F06CA" w:rsidP="008F06CA">
      <w:pPr>
        <w:spacing w:after="120"/>
      </w:pPr>
      <w:r w:rsidRPr="00EF0EF7">
        <w:t>5.1</w:t>
      </w:r>
      <w:r w:rsidRPr="00EF0EF7">
        <w:tab/>
        <w:t xml:space="preserve">The tenth series of texts submitted by the Editorial Committee (B10) (Document 289) was </w:t>
      </w:r>
      <w:r w:rsidRPr="00EF0EF7">
        <w:rPr>
          <w:b/>
          <w:bCs/>
        </w:rPr>
        <w:t>approved</w:t>
      </w:r>
      <w:r w:rsidRPr="00EF0EF7">
        <w:t xml:space="preserve"> on second reading.</w:t>
      </w:r>
    </w:p>
    <w:p w14:paraId="6DC9EDE2" w14:textId="77777777" w:rsidR="008F06CA" w:rsidRPr="00EF0EF7" w:rsidRDefault="008F06CA" w:rsidP="00EF0EF7">
      <w:pPr>
        <w:pStyle w:val="Heading1"/>
      </w:pPr>
      <w:r w:rsidRPr="00EF0EF7">
        <w:t>6</w:t>
      </w:r>
      <w:r w:rsidRPr="00EF0EF7">
        <w:tab/>
        <w:t>Approval of minutes – first, second and third plenary meetings (Documents 236, 258 and 264)</w:t>
      </w:r>
    </w:p>
    <w:p w14:paraId="76B7E000" w14:textId="77777777" w:rsidR="008F06CA" w:rsidRPr="00EF0EF7" w:rsidRDefault="008F06CA" w:rsidP="008F06CA">
      <w:pPr>
        <w:spacing w:after="120"/>
      </w:pPr>
      <w:r w:rsidRPr="00EF0EF7">
        <w:t>6.1</w:t>
      </w:r>
      <w:r w:rsidRPr="00EF0EF7">
        <w:tab/>
        <w:t xml:space="preserve">The minutes of the first, second and third plenary meetings (Documents 236, 258 and 264) were </w:t>
      </w:r>
      <w:r w:rsidRPr="00EF0EF7">
        <w:rPr>
          <w:b/>
        </w:rPr>
        <w:t>approved</w:t>
      </w:r>
      <w:r w:rsidRPr="00EF0EF7">
        <w:t>, subject to an editorial correction in the heading under §3.2 of Document 264.</w:t>
      </w:r>
    </w:p>
    <w:p w14:paraId="0719453B" w14:textId="77777777" w:rsidR="008F06CA" w:rsidRPr="00EF0EF7" w:rsidRDefault="008F06CA" w:rsidP="00EF0EF7">
      <w:pPr>
        <w:pStyle w:val="Heading1"/>
      </w:pPr>
      <w:r w:rsidRPr="00EF0EF7">
        <w:t>7</w:t>
      </w:r>
      <w:r w:rsidRPr="00EF0EF7">
        <w:tab/>
        <w:t>Statement by Ms Aarti Holla-Maini, Director, United Nations Office for Outer Space Affairs (UNOOSA)</w:t>
      </w:r>
    </w:p>
    <w:p w14:paraId="6F81AB31" w14:textId="77777777" w:rsidR="008F06CA" w:rsidRPr="00EF0EF7" w:rsidRDefault="008F06CA" w:rsidP="008F06CA">
      <w:pPr>
        <w:spacing w:after="120"/>
      </w:pPr>
      <w:r w:rsidRPr="00EF0EF7">
        <w:t>7.1</w:t>
      </w:r>
      <w:r w:rsidRPr="00EF0EF7">
        <w:tab/>
      </w:r>
      <w:r w:rsidRPr="00EF0EF7">
        <w:rPr>
          <w:b/>
          <w:bCs/>
        </w:rPr>
        <w:t>Ms Holla-Maini, Director of UNOOSA,</w:t>
      </w:r>
      <w:r w:rsidRPr="00EF0EF7">
        <w:t xml:space="preserve"> delivered the address reproduced in Annex A.</w:t>
      </w:r>
    </w:p>
    <w:p w14:paraId="5C9170EF" w14:textId="77777777" w:rsidR="008F06CA" w:rsidRPr="00EF0EF7" w:rsidRDefault="008F06CA" w:rsidP="00EF0EF7">
      <w:pPr>
        <w:pStyle w:val="Heading1"/>
      </w:pPr>
      <w:r w:rsidRPr="00EF0EF7">
        <w:t>8</w:t>
      </w:r>
      <w:r w:rsidRPr="00EF0EF7">
        <w:tab/>
        <w:t>National Day of the United Arab Emirates</w:t>
      </w:r>
    </w:p>
    <w:p w14:paraId="52A65DA9" w14:textId="77777777" w:rsidR="008F06CA" w:rsidRPr="00EF0EF7" w:rsidRDefault="008F06CA" w:rsidP="008F06CA">
      <w:pPr>
        <w:spacing w:after="120"/>
        <w:rPr>
          <w:bCs/>
        </w:rPr>
      </w:pPr>
      <w:r w:rsidRPr="00EF0EF7">
        <w:rPr>
          <w:bCs/>
        </w:rPr>
        <w:t>8.1</w:t>
      </w:r>
      <w:r w:rsidRPr="00EF0EF7">
        <w:rPr>
          <w:bCs/>
        </w:rPr>
        <w:tab/>
        <w:t>The</w:t>
      </w:r>
      <w:r w:rsidRPr="00EF0EF7">
        <w:rPr>
          <w:b/>
          <w:bCs/>
        </w:rPr>
        <w:t xml:space="preserve"> delegate of Saudi Arabia </w:t>
      </w:r>
      <w:r w:rsidRPr="00EF0EF7">
        <w:rPr>
          <w:bCs/>
        </w:rPr>
        <w:t>congratulated the United Arab Emirates on its 52</w:t>
      </w:r>
      <w:r w:rsidRPr="00EF0EF7">
        <w:rPr>
          <w:bCs/>
          <w:vertAlign w:val="superscript"/>
        </w:rPr>
        <w:t>nd</w:t>
      </w:r>
      <w:r w:rsidRPr="00EF0EF7">
        <w:rPr>
          <w:bCs/>
        </w:rPr>
        <w:t xml:space="preserve"> National Day, which would fall on Saturday, 2 December. He also emphasized that his delegation would make every effort to achieve consensus on all agenda items and called on others to do likewise.</w:t>
      </w:r>
    </w:p>
    <w:p w14:paraId="5363F841" w14:textId="77777777" w:rsidR="008F06CA" w:rsidRPr="00EF0EF7" w:rsidRDefault="008F06CA" w:rsidP="008F06CA">
      <w:pPr>
        <w:spacing w:after="120"/>
        <w:rPr>
          <w:bCs/>
        </w:rPr>
      </w:pPr>
      <w:r w:rsidRPr="00EF0EF7">
        <w:rPr>
          <w:bCs/>
        </w:rPr>
        <w:t>8.2</w:t>
      </w:r>
      <w:r w:rsidRPr="00EF0EF7">
        <w:rPr>
          <w:bCs/>
        </w:rPr>
        <w:tab/>
        <w:t xml:space="preserve">The </w:t>
      </w:r>
      <w:r w:rsidRPr="00EF0EF7">
        <w:rPr>
          <w:b/>
          <w:bCs/>
        </w:rPr>
        <w:t>Chair</w:t>
      </w:r>
      <w:r w:rsidRPr="00EF0EF7">
        <w:rPr>
          <w:bCs/>
        </w:rPr>
        <w:t xml:space="preserve"> urged participants to adopt the same spirit of collaboration. </w:t>
      </w:r>
    </w:p>
    <w:p w14:paraId="3D37C9FA" w14:textId="77777777" w:rsidR="008F06CA" w:rsidRPr="00EF0EF7" w:rsidRDefault="008F06CA" w:rsidP="008F06CA">
      <w:pPr>
        <w:spacing w:after="120"/>
        <w:rPr>
          <w:bCs/>
        </w:rPr>
      </w:pPr>
      <w:r w:rsidRPr="00EF0EF7">
        <w:rPr>
          <w:bCs/>
        </w:rPr>
        <w:t>8.3</w:t>
      </w:r>
      <w:r w:rsidRPr="00EF0EF7">
        <w:rPr>
          <w:bCs/>
        </w:rPr>
        <w:tab/>
        <w:t>The</w:t>
      </w:r>
      <w:r w:rsidRPr="00EF0EF7">
        <w:rPr>
          <w:b/>
          <w:bCs/>
        </w:rPr>
        <w:t xml:space="preserve"> delegate of the United Arab Emirates</w:t>
      </w:r>
      <w:r w:rsidRPr="00EF0EF7">
        <w:rPr>
          <w:bCs/>
        </w:rPr>
        <w:t xml:space="preserve"> said that the National Day was dear to all Emiratis, and his delegation looked forward to sharing that joyful occasion with conference participants. </w:t>
      </w:r>
    </w:p>
    <w:p w14:paraId="2C006040" w14:textId="77777777" w:rsidR="008F06CA" w:rsidRPr="00EF0EF7" w:rsidRDefault="008F06CA" w:rsidP="008F06CA">
      <w:pPr>
        <w:spacing w:after="120"/>
        <w:rPr>
          <w:b/>
          <w:bCs/>
        </w:rPr>
      </w:pPr>
      <w:r w:rsidRPr="00EF0EF7">
        <w:rPr>
          <w:b/>
          <w:bCs/>
        </w:rPr>
        <w:t>The meeting rose at 1700 hours.</w:t>
      </w:r>
    </w:p>
    <w:p w14:paraId="257930A6" w14:textId="77777777" w:rsidR="008F06CA" w:rsidRPr="00EF0EF7" w:rsidRDefault="008F06CA" w:rsidP="008F06CA">
      <w:pPr>
        <w:spacing w:after="120"/>
        <w:rPr>
          <w:bCs/>
        </w:rPr>
      </w:pPr>
    </w:p>
    <w:p w14:paraId="354C0907" w14:textId="77777777" w:rsidR="008F06CA" w:rsidRPr="00EF0EF7" w:rsidRDefault="008F06CA" w:rsidP="008F06CA">
      <w:pPr>
        <w:spacing w:after="120"/>
      </w:pPr>
    </w:p>
    <w:p w14:paraId="41031847" w14:textId="77777777" w:rsidR="008F06CA" w:rsidRPr="00EF0EF7" w:rsidRDefault="008F06CA" w:rsidP="008F06CA">
      <w:pPr>
        <w:spacing w:after="120"/>
      </w:pPr>
      <w:r w:rsidRPr="00EF0EF7">
        <w:t>The Secretary-General:</w:t>
      </w:r>
      <w:r w:rsidRPr="00EF0EF7">
        <w:tab/>
      </w:r>
      <w:r w:rsidRPr="00EF0EF7">
        <w:tab/>
      </w:r>
      <w:r w:rsidRPr="00EF0EF7">
        <w:tab/>
      </w:r>
      <w:r w:rsidRPr="00EF0EF7">
        <w:tab/>
      </w:r>
      <w:r w:rsidRPr="00EF0EF7">
        <w:tab/>
      </w:r>
      <w:r w:rsidRPr="00EF0EF7">
        <w:tab/>
      </w:r>
      <w:r w:rsidRPr="00EF0EF7">
        <w:tab/>
        <w:t>The Chair:</w:t>
      </w:r>
    </w:p>
    <w:p w14:paraId="2EC72141" w14:textId="77777777" w:rsidR="008F06CA" w:rsidRPr="00EF0EF7" w:rsidRDefault="008F06CA" w:rsidP="008F06CA">
      <w:pPr>
        <w:spacing w:after="120"/>
      </w:pPr>
      <w:r w:rsidRPr="00EF0EF7">
        <w:t>D. BOGDAN-MARTIN</w:t>
      </w:r>
      <w:r w:rsidRPr="00EF0EF7">
        <w:tab/>
      </w:r>
      <w:r w:rsidRPr="00EF0EF7">
        <w:tab/>
      </w:r>
      <w:r w:rsidRPr="00EF0EF7">
        <w:tab/>
      </w:r>
      <w:r w:rsidRPr="00EF0EF7">
        <w:tab/>
      </w:r>
      <w:r w:rsidRPr="00EF0EF7">
        <w:tab/>
      </w:r>
      <w:r w:rsidRPr="00EF0EF7">
        <w:tab/>
      </w:r>
      <w:r w:rsidRPr="00EF0EF7">
        <w:tab/>
        <w:t>M. AL RAMSI</w:t>
      </w:r>
    </w:p>
    <w:p w14:paraId="28537CB4" w14:textId="77777777" w:rsidR="008F06CA" w:rsidRPr="00EF0EF7" w:rsidRDefault="008F06CA" w:rsidP="008F06CA">
      <w:pPr>
        <w:spacing w:after="120"/>
      </w:pPr>
    </w:p>
    <w:p w14:paraId="25E3C0D0" w14:textId="77777777" w:rsidR="008F06CA" w:rsidRPr="00EF0EF7" w:rsidRDefault="008F06CA" w:rsidP="008F06CA">
      <w:pPr>
        <w:spacing w:after="120"/>
      </w:pPr>
    </w:p>
    <w:p w14:paraId="2D68A09D" w14:textId="77777777" w:rsidR="008F06CA" w:rsidRPr="00EF0EF7" w:rsidRDefault="008F06CA" w:rsidP="008F06CA">
      <w:pPr>
        <w:spacing w:after="120"/>
        <w:rPr>
          <w:b/>
        </w:rPr>
      </w:pPr>
    </w:p>
    <w:p w14:paraId="21E67197" w14:textId="77777777" w:rsidR="008F06CA" w:rsidRPr="00EF0EF7" w:rsidRDefault="008F06CA" w:rsidP="008F06CA">
      <w:pPr>
        <w:spacing w:after="120"/>
      </w:pPr>
      <w:r w:rsidRPr="00EF0EF7">
        <w:rPr>
          <w:b/>
        </w:rPr>
        <w:t>Annex</w:t>
      </w:r>
      <w:r w:rsidRPr="00EF0EF7">
        <w:t>: 1</w:t>
      </w:r>
    </w:p>
    <w:p w14:paraId="20A07D6E" w14:textId="77777777" w:rsidR="008F06CA" w:rsidRPr="00EF0EF7" w:rsidRDefault="008F06CA" w:rsidP="008F06CA">
      <w:r w:rsidRPr="00EF0EF7">
        <w:br w:type="page"/>
      </w:r>
    </w:p>
    <w:p w14:paraId="47F8BB0E" w14:textId="77777777" w:rsidR="008F06CA" w:rsidRPr="00EF0EF7" w:rsidRDefault="008F06CA" w:rsidP="008F06CA">
      <w:pPr>
        <w:spacing w:after="120"/>
        <w:jc w:val="right"/>
        <w:outlineLvl w:val="0"/>
      </w:pPr>
      <w:r w:rsidRPr="00EF0EF7">
        <w:lastRenderedPageBreak/>
        <w:t>Original: English</w:t>
      </w:r>
    </w:p>
    <w:p w14:paraId="2C2CD69D" w14:textId="77777777" w:rsidR="008F06CA" w:rsidRPr="00EF0EF7" w:rsidRDefault="008F06CA" w:rsidP="008F06CA">
      <w:pPr>
        <w:pStyle w:val="AnnexNo"/>
        <w:spacing w:after="120"/>
      </w:pPr>
      <w:r w:rsidRPr="00EF0EF7">
        <w:t>ANNEX A</w:t>
      </w:r>
    </w:p>
    <w:p w14:paraId="4F32064C" w14:textId="77777777" w:rsidR="008F06CA" w:rsidRPr="00EF0EF7" w:rsidRDefault="008F06CA" w:rsidP="008F06CA">
      <w:pPr>
        <w:pStyle w:val="Annextitle"/>
        <w:spacing w:after="120"/>
        <w:rPr>
          <w:rFonts w:ascii="Times New Roman" w:hAnsi="Times New Roman"/>
          <w:b w:val="0"/>
          <w:bCs/>
        </w:rPr>
      </w:pPr>
      <w:r w:rsidRPr="00EF0EF7">
        <w:rPr>
          <w:rFonts w:ascii="Times New Roman" w:hAnsi="Times New Roman"/>
        </w:rPr>
        <w:t>Statement by Ms Aarti Holla-Maini,</w:t>
      </w:r>
      <w:r w:rsidRPr="00EF0EF7">
        <w:rPr>
          <w:rFonts w:ascii="Times New Roman" w:hAnsi="Times New Roman"/>
        </w:rPr>
        <w:br/>
      </w:r>
      <w:r w:rsidRPr="00EF0EF7">
        <w:rPr>
          <w:rFonts w:ascii="Times New Roman" w:hAnsi="Times New Roman"/>
          <w:bCs/>
        </w:rPr>
        <w:t>United Nations Office for Outer Space Affairs</w:t>
      </w:r>
    </w:p>
    <w:p w14:paraId="23E27E9D" w14:textId="77777777" w:rsidR="008F06CA" w:rsidRPr="00EF0EF7" w:rsidRDefault="008F06CA" w:rsidP="008F06CA">
      <w:pPr>
        <w:spacing w:after="120"/>
        <w:jc w:val="both"/>
      </w:pPr>
    </w:p>
    <w:p w14:paraId="43201378" w14:textId="77777777" w:rsidR="008F06CA" w:rsidRPr="00EF0EF7" w:rsidRDefault="008F06CA" w:rsidP="00EF0EF7">
      <w:r w:rsidRPr="00EF0EF7">
        <w:t>Madam Secretary-General of ITU, Dear Doreen,</w:t>
      </w:r>
    </w:p>
    <w:p w14:paraId="4097B28B" w14:textId="77777777" w:rsidR="008F06CA" w:rsidRPr="00EF0EF7" w:rsidRDefault="008F06CA" w:rsidP="00EF0EF7">
      <w:r w:rsidRPr="00EF0EF7">
        <w:t>Director of the Radiocommunication Bureau, Dear Mario,</w:t>
      </w:r>
    </w:p>
    <w:p w14:paraId="16A95112" w14:textId="77777777" w:rsidR="008F06CA" w:rsidRPr="00EF0EF7" w:rsidRDefault="008F06CA" w:rsidP="00EF0EF7">
      <w:r w:rsidRPr="00EF0EF7">
        <w:t>Mr Mohammed Al Ramsi, Chair of WRC-23,</w:t>
      </w:r>
    </w:p>
    <w:p w14:paraId="7897D975" w14:textId="77777777" w:rsidR="008F06CA" w:rsidRPr="00EF0EF7" w:rsidRDefault="008F06CA" w:rsidP="00EF0EF7">
      <w:r w:rsidRPr="00EF0EF7">
        <w:t xml:space="preserve">Distinguished delegates, </w:t>
      </w:r>
    </w:p>
    <w:p w14:paraId="2B76C19D" w14:textId="77777777" w:rsidR="008F06CA" w:rsidRPr="00EF0EF7" w:rsidRDefault="008F06CA" w:rsidP="00EF0EF7">
      <w:r w:rsidRPr="00EF0EF7">
        <w:t>Thank you for giving me the floor. After many years of engaging with ITU and distinguished delegates as a representative of industry, it is truly my pleasure to address the ITU World Radiocommunication Conference now in my capacity as Director of the United Nations Office for Outer Space Affairs, better known as UNOOSA.</w:t>
      </w:r>
    </w:p>
    <w:p w14:paraId="05EE6C32" w14:textId="77777777" w:rsidR="008F06CA" w:rsidRPr="00EF0EF7" w:rsidRDefault="008F06CA" w:rsidP="00EF0EF7">
      <w:r w:rsidRPr="00EF0EF7">
        <w:t xml:space="preserve">While I am sure you all know something about space, I am unsure how many delegates know about OOSA, so allow me to start there. OOSA is the United Nations office entirely dedicated to space matters. It acts as the secretariat to the Committee on the Peaceful Uses of Outer Space (COPUOS), which was most recently responsible for the adoption of the Guidelines for the long-term sustainability of outer space activities, </w:t>
      </w:r>
      <w:r w:rsidRPr="00EF0EF7">
        <w:rPr>
          <w:bCs/>
          <w:iCs/>
        </w:rPr>
        <w:t>and</w:t>
      </w:r>
      <w:r w:rsidRPr="00EF0EF7">
        <w:t xml:space="preserve"> it is the custodian of space for the Sustainable Development Goals (SDGs) for the United Nations system. </w:t>
      </w:r>
    </w:p>
    <w:p w14:paraId="26B96A92" w14:textId="77777777" w:rsidR="008F06CA" w:rsidRPr="00EF0EF7" w:rsidRDefault="008F06CA" w:rsidP="00EF0EF7">
      <w:r w:rsidRPr="00EF0EF7">
        <w:t>The office focuses on capacity building for United Nations Member States, running thematic programmes such as Space4Water, Space4Climate and Space4Women to name a few. Through our Access to Space for All programme, we have helped non-spacefaring nations such as Kenya, Guatemala, Moldova and Mauritius become spacefaring by launching their very first satellites, so driving education in science, technology, engineering and math (STEM) nationally and triggering their space economies. We help nations comply with international regulations by registering their launched objects with us and we help them put space law and policy into place.</w:t>
      </w:r>
    </w:p>
    <w:p w14:paraId="323A238E" w14:textId="77777777" w:rsidR="008F06CA" w:rsidRPr="00EF0EF7" w:rsidRDefault="008F06CA" w:rsidP="00EF0EF7">
      <w:r w:rsidRPr="00EF0EF7">
        <w:t xml:space="preserve">Through our United Nations Platform for Space-based Information for Disaster Management and Emergency Response (UN-SPIDER), we have so far run 36 fact-finding missions to explore the needs on the ground in vulnerable nations and around 40 </w:t>
      </w:r>
      <w:r w:rsidRPr="00EF0EF7">
        <w:rPr>
          <w:bCs/>
        </w:rPr>
        <w:t xml:space="preserve">institutional strengthening missions where we coordinate between ministries and train professionals from disaster management agencies on how to access  and use space data in times of disaster. </w:t>
      </w:r>
    </w:p>
    <w:p w14:paraId="7B72C11E" w14:textId="77777777" w:rsidR="008F06CA" w:rsidRPr="00EF0EF7" w:rsidRDefault="008F06CA" w:rsidP="00EF0EF7">
      <w:r w:rsidRPr="00EF0EF7">
        <w:t>Our work is designed first and foremost to help all United Nations Member States, especially developing nations, access and leverage the benefits of space to accelerate sustainable development. But those benefits are many and we cannot do this alone. In recognition of this, OOSA leads the Inter-Agency Meeting on Outer Space Activities (UN-SPACE), the inter-agency coordination mechanism, through which we convene 33 other United Nations entities and specialized agencies that all work with or have an interest in using space — and that includes the ITU.</w:t>
      </w:r>
    </w:p>
    <w:p w14:paraId="7C67A77D" w14:textId="77777777" w:rsidR="008F06CA" w:rsidRPr="00EF0EF7" w:rsidRDefault="008F06CA" w:rsidP="00EF0EF7">
      <w:r w:rsidRPr="00EF0EF7">
        <w:t xml:space="preserve">Among other things, ITU is the custodian of telecommunications for sustainable development, and space is one important and fast-growing part of that mission. While ITU convenes respected delegates from national telecommunication regulators, OOSA and COPUOS convene respected delegates from space agencies and space experts from within national ministries of foreign affairs, etc.  While ITU delegates have a deep understanding around </w:t>
      </w:r>
      <w:r w:rsidRPr="00EF0EF7">
        <w:rPr>
          <w:iCs/>
        </w:rPr>
        <w:t>telecommunication</w:t>
      </w:r>
      <w:r w:rsidRPr="00EF0EF7">
        <w:t xml:space="preserve"> systems, COPUOS </w:t>
      </w:r>
      <w:r w:rsidRPr="00EF0EF7">
        <w:lastRenderedPageBreak/>
        <w:t xml:space="preserve">delegates have a deep understanding around </w:t>
      </w:r>
      <w:r w:rsidRPr="00EF0EF7">
        <w:rPr>
          <w:iCs/>
        </w:rPr>
        <w:t>space</w:t>
      </w:r>
      <w:r w:rsidRPr="00EF0EF7">
        <w:t xml:space="preserve"> systems and their sustainability, as demonstrated by the extensive work that went into delivering the Guidelines for the long-term sustainability of outer space activities that they adopted by consensus in 2019.</w:t>
      </w:r>
    </w:p>
    <w:p w14:paraId="2F914F89" w14:textId="77777777" w:rsidR="008F06CA" w:rsidRPr="00EF0EF7" w:rsidRDefault="008F06CA" w:rsidP="00EF0EF7">
      <w:r w:rsidRPr="00EF0EF7">
        <w:t>It is imperative to the mission and mandates of OOSA and COPUOS that the space environment be preserved for the benefits it brings today and will continue to bring to future generations. In this respect, OOSA sees the urgent need to bridge the gap and drive greater cooperation between ITU and COPUOS delegates, who, while both being from United Nations Member States, work on different, albeit related, portfolios.</w:t>
      </w:r>
    </w:p>
    <w:p w14:paraId="74A50E9D" w14:textId="77777777" w:rsidR="008F06CA" w:rsidRPr="00EF0EF7" w:rsidRDefault="008F06CA" w:rsidP="00EF0EF7">
      <w:r w:rsidRPr="00EF0EF7">
        <w:t xml:space="preserve">I thank respected delegates for the resolution adopted during the Radiocommunication Assembly on </w:t>
      </w:r>
      <w:r w:rsidRPr="00EF0EF7">
        <w:rPr>
          <w:iCs/>
        </w:rPr>
        <w:t>activities related to the sustainable use of radio-frequency spectrum and associated satellite-orbit resources used by space services</w:t>
      </w:r>
      <w:r w:rsidRPr="00EF0EF7">
        <w:t>. The effort to arrive at this resolution already demonstrates international cooperation between ITU and OOSA. Going forward, we will proactively seek out opportunities that enhance the understanding and knowledge of respected delegates on both sides, for example by inviting national telecommunication regulators and ITU officials to exchange with and present to COPUOS. While our collaboration has started with BR, we hope to scope a broader OOSA-ITU agreement to ensure that, while OOSA seeks to extract a maximum of benefits from space technology, data and services more generally, we also ensure, by engagement with ITU, that satellite communication services are an integral part of our work in service of the United Nations SDGs globally and of the needs of individual United Nations Member States locally too.</w:t>
      </w:r>
    </w:p>
    <w:p w14:paraId="7B2E80B0" w14:textId="77777777" w:rsidR="008F06CA" w:rsidRPr="00EF0EF7" w:rsidRDefault="008F06CA" w:rsidP="00EF0EF7">
      <w:r w:rsidRPr="00EF0EF7">
        <w:t xml:space="preserve">Allow me to close by noting a few areas of your work at this WRC that are of fundamental importance to the mandate of OOSA. In 2015, OOSA joined forces with the United Nations Office for Disaster Risk Reduction, the World Meteorological Organization (WMO) and other partners to launch the International Network for Multi-Hazard Early Warning Systems (IN-MHEWS). OOSA and WMO have been co-chairing this network for almost a decade. It relies on satellite imagery to improve the operation of early-warning systems addressing different types of natural hazards. It was a WRC-15 decision to extend the 10GHz-SAR acquisition bandwidth from 600 MHz to 1200 MHz that allowed these capabilities to evolve to become </w:t>
      </w:r>
      <w:r w:rsidRPr="00EF0EF7">
        <w:rPr>
          <w:bCs/>
          <w:iCs/>
        </w:rPr>
        <w:t>high-resolution</w:t>
      </w:r>
      <w:r w:rsidRPr="00EF0EF7">
        <w:t xml:space="preserve"> imaging capabilities of less than 25cm, which cannot be achieved in any other frequency band. These synthetic aperture radar satellite images are instrumental in supporting not only early-warning networks but a broad range of application areas such as environmental monitoring (deforestation, water management, etc.), monitoring illegal fishing, sustainable agriculture, climate action and disaster management: all areas that I will discuss this week at COP-28, also taking place here in Dubai. A reversal of the WRC-15 decision now would simply remove our ability to access this high-resolution imagery, leaving us with no alternative whatsoever.</w:t>
      </w:r>
    </w:p>
    <w:p w14:paraId="420BD041" w14:textId="77777777" w:rsidR="008F06CA" w:rsidRPr="00EF0EF7" w:rsidRDefault="008F06CA" w:rsidP="00EF0EF7">
      <w:r w:rsidRPr="00EF0EF7">
        <w:t xml:space="preserve">Furthermore, OOSA runs a programme on global health, which </w:t>
      </w:r>
      <w:r w:rsidRPr="00EF0EF7">
        <w:rPr>
          <w:i/>
        </w:rPr>
        <w:t>inter alia</w:t>
      </w:r>
      <w:r w:rsidRPr="00EF0EF7">
        <w:t xml:space="preserve">, touches on matters of food security and immigration. Satellite systems are instrumental in ensuring that health-care, food and other supplies reach the millions of people living remotely or in vulnerable coastal areas. The United Nations World Food Programme uses the C-band to connect 270 locations across 75 countries, particularly to serve Africa. UNHCR relies on tried and trusted satellite communication services using the C-band in multiple locations all around the world. The C-band remains an important mainstay for such food relief and health-care systems. I hope that respected delegates will again take due note of such systems for the work of the broader United Nations system.  </w:t>
      </w:r>
    </w:p>
    <w:p w14:paraId="6A9656BD" w14:textId="5A41323E" w:rsidR="008A7CB7" w:rsidRPr="00EF0EF7" w:rsidRDefault="008F06CA" w:rsidP="00EF0EF7">
      <w:r w:rsidRPr="00EF0EF7">
        <w:t>These examples that fall within the agenda of WRC-23 concern OOSA as it seeks to carry out its mandate on maximizing the use of space solutions for the SDGs. I hope that you will consider this brief orientation about our work as pertinent to your deliberations here and I thank ITU once more for the opportunity to address this esteemed forum. Finally, I would also like to congratulate the United Arab Emirates on its upcoming National Day.</w:t>
      </w:r>
    </w:p>
    <w:p w14:paraId="745EA3B5" w14:textId="57973AF5" w:rsidR="00EF0EF7" w:rsidRDefault="00EF0EF7" w:rsidP="00EF0EF7">
      <w:pPr>
        <w:jc w:val="center"/>
      </w:pPr>
      <w:r w:rsidRPr="00EF0EF7">
        <w:t>______________</w:t>
      </w:r>
    </w:p>
    <w:sectPr w:rsidR="00EF0EF7">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FA31" w14:textId="77777777" w:rsidR="008F06CA" w:rsidRDefault="008F06CA">
      <w:r>
        <w:separator/>
      </w:r>
    </w:p>
  </w:endnote>
  <w:endnote w:type="continuationSeparator" w:id="0">
    <w:p w14:paraId="27A4317A" w14:textId="77777777" w:rsidR="008F06CA" w:rsidRDefault="008F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FD7A" w14:textId="77777777" w:rsidR="00E45D05" w:rsidRDefault="00E45D05">
    <w:pPr>
      <w:framePr w:wrap="around" w:vAnchor="text" w:hAnchor="margin" w:xAlign="right" w:y="1"/>
    </w:pPr>
    <w:r>
      <w:fldChar w:fldCharType="begin"/>
    </w:r>
    <w:r>
      <w:instrText xml:space="preserve">PAGE  </w:instrText>
    </w:r>
    <w:r>
      <w:fldChar w:fldCharType="end"/>
    </w:r>
  </w:p>
  <w:p w14:paraId="3DD7F189" w14:textId="7777777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8F06CA">
      <w:rPr>
        <w:noProof/>
        <w:lang w:val="en-US"/>
      </w:rPr>
      <w:t>Document52</w:t>
    </w:r>
    <w:r>
      <w:fldChar w:fldCharType="end"/>
    </w:r>
    <w:r w:rsidRPr="0041348E">
      <w:rPr>
        <w:lang w:val="en-US"/>
      </w:rPr>
      <w:tab/>
    </w:r>
    <w:r>
      <w:fldChar w:fldCharType="begin"/>
    </w:r>
    <w:r>
      <w:instrText xml:space="preserve"> SAVEDATE \@ DD.MM.YY </w:instrText>
    </w:r>
    <w:r>
      <w:fldChar w:fldCharType="separate"/>
    </w:r>
    <w:r w:rsidR="008F06CA">
      <w:rPr>
        <w:noProof/>
      </w:rPr>
      <w:t>00.00.00</w:t>
    </w:r>
    <w:r>
      <w:fldChar w:fldCharType="end"/>
    </w:r>
    <w:r w:rsidRPr="0041348E">
      <w:rPr>
        <w:lang w:val="en-US"/>
      </w:rPr>
      <w:tab/>
    </w:r>
    <w:r>
      <w:fldChar w:fldCharType="begin"/>
    </w:r>
    <w:r>
      <w:instrText xml:space="preserve"> PRINTDATE \@ DD.MM.YY </w:instrText>
    </w:r>
    <w:r>
      <w:fldChar w:fldCharType="separate"/>
    </w:r>
    <w:r w:rsidR="008F06CA">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1E76" w14:textId="42DA34D2" w:rsidR="00E45D05" w:rsidRPr="00EF0EF7" w:rsidRDefault="00EF0EF7" w:rsidP="00EF0EF7">
    <w:pPr>
      <w:pStyle w:val="Footer"/>
    </w:pPr>
    <w:r>
      <w:fldChar w:fldCharType="begin"/>
    </w:r>
    <w:r>
      <w:rPr>
        <w:lang w:val="en-US"/>
      </w:rPr>
      <w:instrText xml:space="preserve"> FILENAME \p \* MERGEFORMAT </w:instrText>
    </w:r>
    <w:r>
      <w:fldChar w:fldCharType="separate"/>
    </w:r>
    <w:r>
      <w:rPr>
        <w:lang w:val="en-US"/>
      </w:rPr>
      <w:t>P:\ENG\ITU-R\CONF-R\CMR23\300\328E.docx</w:t>
    </w:r>
    <w:r>
      <w:fldChar w:fldCharType="end"/>
    </w:r>
    <w:r>
      <w:t xml:space="preserve"> (532253)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 w:name="_Hlk152747356"/>
  <w:bookmarkStart w:id="12" w:name="_Hlk152747357"/>
  <w:p w14:paraId="5F73BB30" w14:textId="61E2DBAE" w:rsidR="008F06CA" w:rsidRDefault="008F06CA">
    <w:pPr>
      <w:pStyle w:val="Footer"/>
    </w:pPr>
    <w:r>
      <w:fldChar w:fldCharType="begin"/>
    </w:r>
    <w:r>
      <w:rPr>
        <w:lang w:val="en-US"/>
      </w:rPr>
      <w:instrText xml:space="preserve"> FILENAME \p \* MERGEFORMAT </w:instrText>
    </w:r>
    <w:r>
      <w:fldChar w:fldCharType="separate"/>
    </w:r>
    <w:r w:rsidR="00EF0EF7">
      <w:rPr>
        <w:lang w:val="en-US"/>
      </w:rPr>
      <w:t>P:\ENG\ITU-R\CONF-R\CMR23\300\328E.docx</w:t>
    </w:r>
    <w:r>
      <w:fldChar w:fldCharType="end"/>
    </w:r>
    <w:r w:rsidR="00EF0EF7">
      <w:t xml:space="preserve"> (532253)</w:t>
    </w:r>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7E11" w14:textId="77777777" w:rsidR="008F06CA" w:rsidRDefault="008F06CA">
      <w:r>
        <w:rPr>
          <w:b/>
        </w:rPr>
        <w:t>_______________</w:t>
      </w:r>
    </w:p>
  </w:footnote>
  <w:footnote w:type="continuationSeparator" w:id="0">
    <w:p w14:paraId="7D5AE592" w14:textId="77777777" w:rsidR="008F06CA" w:rsidRDefault="008F0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F82D" w14:textId="77777777" w:rsidR="00E45D05" w:rsidRDefault="00E45D05" w:rsidP="00A30305">
    <w:pPr>
      <w:pStyle w:val="Header"/>
    </w:pPr>
    <w:r>
      <w:fldChar w:fldCharType="begin"/>
    </w:r>
    <w:r>
      <w:instrText xml:space="preserve"> PAGE </w:instrText>
    </w:r>
    <w:r>
      <w:fldChar w:fldCharType="separate"/>
    </w:r>
    <w:r w:rsidR="00EE069E">
      <w:rPr>
        <w:noProof/>
      </w:rPr>
      <w:t>2</w:t>
    </w:r>
    <w:r>
      <w:fldChar w:fldCharType="end"/>
    </w:r>
  </w:p>
  <w:p w14:paraId="297DDB6C" w14:textId="029AA498" w:rsidR="00E45D05" w:rsidRPr="00800972" w:rsidRDefault="008A7CB7" w:rsidP="00A30305">
    <w:pPr>
      <w:pStyle w:val="Header"/>
    </w:pPr>
    <w:r>
      <w:t>WRC</w:t>
    </w:r>
    <w:r w:rsidR="00B37A1C">
      <w:t>23</w:t>
    </w:r>
    <w:r w:rsidR="00A2048C">
      <w:t>/</w:t>
    </w:r>
    <w:r w:rsidR="00EF0EF7">
      <w:t>328</w:t>
    </w:r>
    <w:r w:rsidR="00A2048C">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828091258">
    <w:abstractNumId w:val="0"/>
  </w:num>
  <w:num w:numId="2" w16cid:durableId="183784320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CA"/>
    <w:rsid w:val="000041EA"/>
    <w:rsid w:val="00022A29"/>
    <w:rsid w:val="000355FD"/>
    <w:rsid w:val="00051E39"/>
    <w:rsid w:val="00061C3A"/>
    <w:rsid w:val="0007459B"/>
    <w:rsid w:val="00077239"/>
    <w:rsid w:val="00086491"/>
    <w:rsid w:val="00091346"/>
    <w:rsid w:val="000F73FF"/>
    <w:rsid w:val="00114CF7"/>
    <w:rsid w:val="00123B68"/>
    <w:rsid w:val="00126F2E"/>
    <w:rsid w:val="00146F6F"/>
    <w:rsid w:val="00190B55"/>
    <w:rsid w:val="001C3B5F"/>
    <w:rsid w:val="001D058F"/>
    <w:rsid w:val="002009EA"/>
    <w:rsid w:val="00202CA0"/>
    <w:rsid w:val="00271316"/>
    <w:rsid w:val="002D58BE"/>
    <w:rsid w:val="00311015"/>
    <w:rsid w:val="00342A88"/>
    <w:rsid w:val="00377BD3"/>
    <w:rsid w:val="00384088"/>
    <w:rsid w:val="003A6C98"/>
    <w:rsid w:val="003A7F8C"/>
    <w:rsid w:val="003B532E"/>
    <w:rsid w:val="003D0F8B"/>
    <w:rsid w:val="0041348E"/>
    <w:rsid w:val="0043444A"/>
    <w:rsid w:val="00461086"/>
    <w:rsid w:val="00492075"/>
    <w:rsid w:val="004969AD"/>
    <w:rsid w:val="004D0861"/>
    <w:rsid w:val="004D1BC9"/>
    <w:rsid w:val="004D5D5C"/>
    <w:rsid w:val="0050139F"/>
    <w:rsid w:val="00560BA1"/>
    <w:rsid w:val="005964AB"/>
    <w:rsid w:val="005C099A"/>
    <w:rsid w:val="005C31A5"/>
    <w:rsid w:val="005E61DD"/>
    <w:rsid w:val="006023DF"/>
    <w:rsid w:val="00621502"/>
    <w:rsid w:val="00657DE0"/>
    <w:rsid w:val="00685313"/>
    <w:rsid w:val="006A2E9A"/>
    <w:rsid w:val="006A6E9B"/>
    <w:rsid w:val="007149F9"/>
    <w:rsid w:val="00733A30"/>
    <w:rsid w:val="00745AEE"/>
    <w:rsid w:val="007742CA"/>
    <w:rsid w:val="007935CE"/>
    <w:rsid w:val="007B0BF7"/>
    <w:rsid w:val="00800972"/>
    <w:rsid w:val="00811633"/>
    <w:rsid w:val="00872FC8"/>
    <w:rsid w:val="008845D0"/>
    <w:rsid w:val="008A7CB7"/>
    <w:rsid w:val="008B0330"/>
    <w:rsid w:val="008B43F2"/>
    <w:rsid w:val="008C4CFE"/>
    <w:rsid w:val="008F06CA"/>
    <w:rsid w:val="00915398"/>
    <w:rsid w:val="009274B4"/>
    <w:rsid w:val="00944A5C"/>
    <w:rsid w:val="00951F3E"/>
    <w:rsid w:val="00952A66"/>
    <w:rsid w:val="00974431"/>
    <w:rsid w:val="009C56E5"/>
    <w:rsid w:val="009E5FC8"/>
    <w:rsid w:val="009E687A"/>
    <w:rsid w:val="00A141AF"/>
    <w:rsid w:val="00A16D29"/>
    <w:rsid w:val="00A2048C"/>
    <w:rsid w:val="00A30305"/>
    <w:rsid w:val="00A31D2D"/>
    <w:rsid w:val="00A37EF0"/>
    <w:rsid w:val="00A4600A"/>
    <w:rsid w:val="00A54C25"/>
    <w:rsid w:val="00A710E7"/>
    <w:rsid w:val="00A7372E"/>
    <w:rsid w:val="00A777AB"/>
    <w:rsid w:val="00A93B85"/>
    <w:rsid w:val="00AA0B18"/>
    <w:rsid w:val="00B37A1C"/>
    <w:rsid w:val="00B5785C"/>
    <w:rsid w:val="00B639E9"/>
    <w:rsid w:val="00B817CD"/>
    <w:rsid w:val="00BB3A95"/>
    <w:rsid w:val="00C0018F"/>
    <w:rsid w:val="00C20466"/>
    <w:rsid w:val="00C214ED"/>
    <w:rsid w:val="00C234E6"/>
    <w:rsid w:val="00C324A8"/>
    <w:rsid w:val="00C54517"/>
    <w:rsid w:val="00C62492"/>
    <w:rsid w:val="00C63535"/>
    <w:rsid w:val="00C6532C"/>
    <w:rsid w:val="00C97C68"/>
    <w:rsid w:val="00CA1A47"/>
    <w:rsid w:val="00CC247A"/>
    <w:rsid w:val="00CE5E47"/>
    <w:rsid w:val="00CF020F"/>
    <w:rsid w:val="00CF2B5B"/>
    <w:rsid w:val="00D13F67"/>
    <w:rsid w:val="00D14CE0"/>
    <w:rsid w:val="00D5651D"/>
    <w:rsid w:val="00D74898"/>
    <w:rsid w:val="00D767C2"/>
    <w:rsid w:val="00D801ED"/>
    <w:rsid w:val="00D91769"/>
    <w:rsid w:val="00D936BC"/>
    <w:rsid w:val="00D962FB"/>
    <w:rsid w:val="00D96530"/>
    <w:rsid w:val="00DD108B"/>
    <w:rsid w:val="00DD44AF"/>
    <w:rsid w:val="00DE2AC3"/>
    <w:rsid w:val="00DE5692"/>
    <w:rsid w:val="00E03C94"/>
    <w:rsid w:val="00E048E6"/>
    <w:rsid w:val="00E26226"/>
    <w:rsid w:val="00E45D05"/>
    <w:rsid w:val="00E55AEF"/>
    <w:rsid w:val="00E6419D"/>
    <w:rsid w:val="00E976C1"/>
    <w:rsid w:val="00EA12E5"/>
    <w:rsid w:val="00EA505C"/>
    <w:rsid w:val="00EE069E"/>
    <w:rsid w:val="00EF0EF7"/>
    <w:rsid w:val="00F02766"/>
    <w:rsid w:val="00F05BD4"/>
    <w:rsid w:val="00F65C19"/>
    <w:rsid w:val="00F91634"/>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1BA6D"/>
  <w15:docId w15:val="{61AC4AB0-E8D7-4779-B1C6-48EDFEC0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7C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D767C2"/>
    <w:pPr>
      <w:keepNext/>
      <w:keepLines/>
      <w:spacing w:before="280"/>
      <w:ind w:left="1134" w:hanging="1134"/>
      <w:outlineLvl w:val="0"/>
    </w:pPr>
    <w:rPr>
      <w:b/>
      <w:sz w:val="28"/>
    </w:rPr>
  </w:style>
  <w:style w:type="paragraph" w:styleId="Heading2">
    <w:name w:val="heading 2"/>
    <w:basedOn w:val="Heading1"/>
    <w:next w:val="Normal"/>
    <w:qFormat/>
    <w:rsid w:val="00D767C2"/>
    <w:pPr>
      <w:spacing w:before="200"/>
      <w:outlineLvl w:val="1"/>
    </w:pPr>
    <w:rPr>
      <w:sz w:val="24"/>
    </w:rPr>
  </w:style>
  <w:style w:type="paragraph" w:styleId="Heading3">
    <w:name w:val="heading 3"/>
    <w:basedOn w:val="Heading1"/>
    <w:next w:val="Normal"/>
    <w:qFormat/>
    <w:rsid w:val="00D767C2"/>
    <w:pPr>
      <w:tabs>
        <w:tab w:val="clear" w:pos="1134"/>
      </w:tabs>
      <w:spacing w:before="200"/>
      <w:outlineLvl w:val="2"/>
    </w:pPr>
    <w:rPr>
      <w:sz w:val="24"/>
    </w:rPr>
  </w:style>
  <w:style w:type="paragraph" w:styleId="Heading4">
    <w:name w:val="heading 4"/>
    <w:basedOn w:val="Heading3"/>
    <w:next w:val="Normal"/>
    <w:qFormat/>
    <w:rsid w:val="00D767C2"/>
    <w:pPr>
      <w:outlineLvl w:val="3"/>
    </w:pPr>
  </w:style>
  <w:style w:type="paragraph" w:styleId="Heading5">
    <w:name w:val="heading 5"/>
    <w:basedOn w:val="Heading4"/>
    <w:next w:val="Normal"/>
    <w:qFormat/>
    <w:rsid w:val="00D767C2"/>
    <w:pPr>
      <w:outlineLvl w:val="4"/>
    </w:pPr>
  </w:style>
  <w:style w:type="paragraph" w:styleId="Heading6">
    <w:name w:val="heading 6"/>
    <w:basedOn w:val="Heading4"/>
    <w:next w:val="Normal"/>
    <w:qFormat/>
    <w:rsid w:val="00D767C2"/>
    <w:pPr>
      <w:outlineLvl w:val="5"/>
    </w:pPr>
  </w:style>
  <w:style w:type="paragraph" w:styleId="Heading7">
    <w:name w:val="heading 7"/>
    <w:basedOn w:val="Heading6"/>
    <w:next w:val="Normal"/>
    <w:qFormat/>
    <w:rsid w:val="00D767C2"/>
    <w:pPr>
      <w:outlineLvl w:val="6"/>
    </w:pPr>
  </w:style>
  <w:style w:type="paragraph" w:styleId="Heading8">
    <w:name w:val="heading 8"/>
    <w:basedOn w:val="Heading6"/>
    <w:next w:val="Normal"/>
    <w:qFormat/>
    <w:rsid w:val="00D767C2"/>
    <w:pPr>
      <w:outlineLvl w:val="7"/>
    </w:pPr>
  </w:style>
  <w:style w:type="paragraph" w:styleId="Heading9">
    <w:name w:val="heading 9"/>
    <w:basedOn w:val="Heading6"/>
    <w:next w:val="Normal"/>
    <w:qFormat/>
    <w:rsid w:val="00D767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D767C2"/>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767C2"/>
    <w:pPr>
      <w:keepNext/>
      <w:keepLines/>
      <w:spacing w:before="480" w:after="80"/>
      <w:jc w:val="center"/>
    </w:pPr>
    <w:rPr>
      <w:caps/>
      <w:sz w:val="28"/>
    </w:rPr>
  </w:style>
  <w:style w:type="paragraph" w:customStyle="1" w:styleId="Annexref">
    <w:name w:val="Annex_ref"/>
    <w:basedOn w:val="Normal"/>
    <w:next w:val="Normal"/>
    <w:rsid w:val="00D767C2"/>
    <w:pPr>
      <w:keepNext/>
      <w:keepLines/>
      <w:spacing w:after="280"/>
      <w:jc w:val="center"/>
    </w:pPr>
  </w:style>
  <w:style w:type="paragraph" w:customStyle="1" w:styleId="Annextitle">
    <w:name w:val="Annex_title"/>
    <w:basedOn w:val="Normal"/>
    <w:next w:val="Normal"/>
    <w:rsid w:val="00D767C2"/>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D767C2"/>
    <w:rPr>
      <w:rFonts w:ascii="Times New Roman" w:hAnsi="Times New Roman"/>
      <w:b/>
    </w:rPr>
  </w:style>
  <w:style w:type="character" w:customStyle="1" w:styleId="Appref">
    <w:name w:val="App_ref"/>
    <w:basedOn w:val="DefaultParagraphFont"/>
    <w:rsid w:val="00D767C2"/>
  </w:style>
  <w:style w:type="paragraph" w:customStyle="1" w:styleId="AppendixNo">
    <w:name w:val="Appendix_No"/>
    <w:basedOn w:val="AnnexNo"/>
    <w:next w:val="Annexref"/>
    <w:rsid w:val="00D767C2"/>
  </w:style>
  <w:style w:type="paragraph" w:customStyle="1" w:styleId="ApptoAnnex">
    <w:name w:val="App_to_Annex"/>
    <w:basedOn w:val="AppendixNo"/>
    <w:next w:val="Normal"/>
    <w:qFormat/>
    <w:rsid w:val="00D767C2"/>
  </w:style>
  <w:style w:type="paragraph" w:customStyle="1" w:styleId="Appendixref">
    <w:name w:val="Appendix_ref"/>
    <w:basedOn w:val="Annexref"/>
    <w:next w:val="Annextitle"/>
    <w:rsid w:val="00D767C2"/>
  </w:style>
  <w:style w:type="paragraph" w:customStyle="1" w:styleId="Appendixtitle">
    <w:name w:val="Appendix_title"/>
    <w:basedOn w:val="Annextitle"/>
    <w:next w:val="Normal"/>
    <w:rsid w:val="00D767C2"/>
  </w:style>
  <w:style w:type="character" w:customStyle="1" w:styleId="Artdef">
    <w:name w:val="Art_def"/>
    <w:basedOn w:val="DefaultParagraphFont"/>
    <w:rsid w:val="00D767C2"/>
    <w:rPr>
      <w:rFonts w:ascii="Times New Roman" w:hAnsi="Times New Roman"/>
      <w:b/>
    </w:rPr>
  </w:style>
  <w:style w:type="paragraph" w:customStyle="1" w:styleId="Artheading">
    <w:name w:val="Art_heading"/>
    <w:basedOn w:val="Normal"/>
    <w:next w:val="Normal"/>
    <w:rsid w:val="00D767C2"/>
    <w:pPr>
      <w:spacing w:before="480"/>
      <w:jc w:val="center"/>
    </w:pPr>
    <w:rPr>
      <w:rFonts w:ascii="Times New Roman Bold" w:hAnsi="Times New Roman Bold"/>
      <w:b/>
      <w:sz w:val="28"/>
    </w:rPr>
  </w:style>
  <w:style w:type="paragraph" w:customStyle="1" w:styleId="ArtNo">
    <w:name w:val="Art_No"/>
    <w:basedOn w:val="Normal"/>
    <w:next w:val="Normal"/>
    <w:rsid w:val="00D767C2"/>
    <w:pPr>
      <w:keepNext/>
      <w:keepLines/>
      <w:spacing w:before="480"/>
      <w:jc w:val="center"/>
    </w:pPr>
    <w:rPr>
      <w:caps/>
      <w:sz w:val="28"/>
    </w:rPr>
  </w:style>
  <w:style w:type="character" w:customStyle="1" w:styleId="Artref">
    <w:name w:val="Art_ref"/>
    <w:basedOn w:val="DefaultParagraphFont"/>
    <w:rsid w:val="00D767C2"/>
  </w:style>
  <w:style w:type="paragraph" w:customStyle="1" w:styleId="Arttitle">
    <w:name w:val="Art_title"/>
    <w:basedOn w:val="Normal"/>
    <w:next w:val="Normal"/>
    <w:rsid w:val="00D767C2"/>
    <w:pPr>
      <w:keepNext/>
      <w:keepLines/>
      <w:spacing w:before="240"/>
      <w:jc w:val="center"/>
    </w:pPr>
    <w:rPr>
      <w:b/>
      <w:sz w:val="28"/>
    </w:rPr>
  </w:style>
  <w:style w:type="paragraph" w:customStyle="1" w:styleId="Border">
    <w:name w:val="Border"/>
    <w:basedOn w:val="Normal"/>
    <w:rsid w:val="00D767C2"/>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767C2"/>
    <w:pPr>
      <w:keepNext/>
      <w:keepLines/>
      <w:spacing w:before="160"/>
      <w:ind w:left="1134"/>
    </w:pPr>
    <w:rPr>
      <w:i/>
    </w:rPr>
  </w:style>
  <w:style w:type="paragraph" w:customStyle="1" w:styleId="ChapNo">
    <w:name w:val="Chap_No"/>
    <w:basedOn w:val="ArtNo"/>
    <w:next w:val="Normal"/>
    <w:rsid w:val="00D767C2"/>
    <w:rPr>
      <w:rFonts w:ascii="Times New Roman Bold" w:hAnsi="Times New Roman Bold"/>
      <w:b/>
    </w:rPr>
  </w:style>
  <w:style w:type="paragraph" w:customStyle="1" w:styleId="Chaptitle">
    <w:name w:val="Chap_title"/>
    <w:basedOn w:val="Arttitle"/>
    <w:next w:val="Normal"/>
    <w:rsid w:val="00D767C2"/>
  </w:style>
  <w:style w:type="character" w:styleId="EndnoteReference">
    <w:name w:val="endnote reference"/>
    <w:basedOn w:val="DefaultParagraphFont"/>
    <w:rsid w:val="00D767C2"/>
    <w:rPr>
      <w:vertAlign w:val="superscript"/>
    </w:rPr>
  </w:style>
  <w:style w:type="paragraph" w:customStyle="1" w:styleId="enumlev1">
    <w:name w:val="enumlev1"/>
    <w:basedOn w:val="Normal"/>
    <w:rsid w:val="00D767C2"/>
    <w:pPr>
      <w:tabs>
        <w:tab w:val="clear" w:pos="2268"/>
        <w:tab w:val="left" w:pos="2608"/>
        <w:tab w:val="left" w:pos="3345"/>
      </w:tabs>
      <w:spacing w:before="80"/>
      <w:ind w:left="1134" w:hanging="1134"/>
    </w:pPr>
  </w:style>
  <w:style w:type="paragraph" w:customStyle="1" w:styleId="enumlev2">
    <w:name w:val="enumlev2"/>
    <w:basedOn w:val="enumlev1"/>
    <w:rsid w:val="00D767C2"/>
    <w:pPr>
      <w:ind w:left="1871" w:hanging="737"/>
    </w:pPr>
  </w:style>
  <w:style w:type="paragraph" w:customStyle="1" w:styleId="enumlev3">
    <w:name w:val="enumlev3"/>
    <w:basedOn w:val="enumlev2"/>
    <w:rsid w:val="00D767C2"/>
    <w:pPr>
      <w:ind w:left="2268" w:hanging="397"/>
    </w:pPr>
  </w:style>
  <w:style w:type="paragraph" w:customStyle="1" w:styleId="Equation">
    <w:name w:val="Equation"/>
    <w:basedOn w:val="Normal"/>
    <w:rsid w:val="00D767C2"/>
    <w:pPr>
      <w:tabs>
        <w:tab w:val="clear" w:pos="1871"/>
        <w:tab w:val="clear" w:pos="2268"/>
        <w:tab w:val="center" w:pos="4820"/>
        <w:tab w:val="right" w:pos="9639"/>
      </w:tabs>
    </w:pPr>
  </w:style>
  <w:style w:type="paragraph" w:customStyle="1" w:styleId="Equationlegend">
    <w:name w:val="Equation_legend"/>
    <w:basedOn w:val="NormalIndent"/>
    <w:rsid w:val="00D767C2"/>
    <w:pPr>
      <w:tabs>
        <w:tab w:val="clear" w:pos="1134"/>
        <w:tab w:val="clear" w:pos="2268"/>
        <w:tab w:val="right" w:pos="1871"/>
        <w:tab w:val="left" w:pos="2041"/>
      </w:tabs>
      <w:spacing w:before="80"/>
      <w:ind w:left="2041" w:hanging="2041"/>
    </w:pPr>
  </w:style>
  <w:style w:type="paragraph" w:styleId="NormalIndent">
    <w:name w:val="Normal Indent"/>
    <w:basedOn w:val="Normal"/>
    <w:rsid w:val="00D767C2"/>
    <w:pPr>
      <w:ind w:left="1134"/>
    </w:pPr>
  </w:style>
  <w:style w:type="paragraph" w:customStyle="1" w:styleId="Figure">
    <w:name w:val="Figure"/>
    <w:basedOn w:val="Normal"/>
    <w:next w:val="Normal"/>
    <w:rsid w:val="00E048E6"/>
    <w:pPr>
      <w:spacing w:after="240"/>
      <w:jc w:val="center"/>
    </w:pPr>
  </w:style>
  <w:style w:type="paragraph" w:customStyle="1" w:styleId="Figurelegend">
    <w:name w:val="Figure_legend"/>
    <w:basedOn w:val="Normal"/>
    <w:rsid w:val="00D767C2"/>
    <w:pPr>
      <w:keepNext/>
      <w:keepLines/>
      <w:spacing w:before="20" w:after="20"/>
    </w:pPr>
    <w:rPr>
      <w:sz w:val="18"/>
    </w:rPr>
  </w:style>
  <w:style w:type="paragraph" w:customStyle="1" w:styleId="FigureNo">
    <w:name w:val="Figure_No"/>
    <w:basedOn w:val="Normal"/>
    <w:next w:val="Normal"/>
    <w:rsid w:val="00D767C2"/>
    <w:pPr>
      <w:keepNext/>
      <w:keepLines/>
      <w:spacing w:before="480" w:after="120"/>
      <w:jc w:val="center"/>
    </w:pPr>
    <w:rPr>
      <w:caps/>
      <w:sz w:val="20"/>
    </w:rPr>
  </w:style>
  <w:style w:type="paragraph" w:customStyle="1" w:styleId="Figuretitle">
    <w:name w:val="Figure_title"/>
    <w:basedOn w:val="Normal"/>
    <w:next w:val="Normal"/>
    <w:rsid w:val="00E048E6"/>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D767C2"/>
    <w:pPr>
      <w:keepNext w:val="0"/>
    </w:pPr>
  </w:style>
  <w:style w:type="paragraph" w:styleId="Footer">
    <w:name w:val="footer"/>
    <w:basedOn w:val="Normal"/>
    <w:link w:val="FooterChar"/>
    <w:rsid w:val="00D767C2"/>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D767C2"/>
    <w:rPr>
      <w:rFonts w:ascii="Times New Roman" w:hAnsi="Times New Roman"/>
      <w:caps/>
      <w:noProof/>
      <w:sz w:val="16"/>
      <w:lang w:val="en-GB" w:eastAsia="en-US"/>
    </w:rPr>
  </w:style>
  <w:style w:type="paragraph" w:customStyle="1" w:styleId="FirstFooter">
    <w:name w:val="FirstFooter"/>
    <w:basedOn w:val="Footer"/>
    <w:rsid w:val="00D767C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D767C2"/>
    <w:rPr>
      <w:position w:val="6"/>
      <w:sz w:val="18"/>
    </w:rPr>
  </w:style>
  <w:style w:type="paragraph" w:styleId="FootnoteText">
    <w:name w:val="footnote text"/>
    <w:basedOn w:val="Normal"/>
    <w:link w:val="FootnoteTextChar"/>
    <w:rsid w:val="00D767C2"/>
    <w:pPr>
      <w:keepLines/>
      <w:tabs>
        <w:tab w:val="left" w:pos="255"/>
      </w:tabs>
    </w:pPr>
  </w:style>
  <w:style w:type="character" w:customStyle="1" w:styleId="FootnoteTextChar">
    <w:name w:val="Footnote Text Char"/>
    <w:basedOn w:val="DefaultParagraphFont"/>
    <w:link w:val="FootnoteText"/>
    <w:rsid w:val="00D767C2"/>
    <w:rPr>
      <w:rFonts w:ascii="Times New Roman" w:hAnsi="Times New Roman"/>
      <w:sz w:val="24"/>
      <w:lang w:val="en-GB" w:eastAsia="en-US"/>
    </w:rPr>
  </w:style>
  <w:style w:type="paragraph" w:styleId="Header">
    <w:name w:val="header"/>
    <w:basedOn w:val="Normal"/>
    <w:link w:val="HeaderChar"/>
    <w:rsid w:val="00D767C2"/>
    <w:pPr>
      <w:spacing w:before="0"/>
      <w:jc w:val="center"/>
    </w:pPr>
    <w:rPr>
      <w:sz w:val="18"/>
    </w:rPr>
  </w:style>
  <w:style w:type="character" w:customStyle="1" w:styleId="HeaderChar">
    <w:name w:val="Header Char"/>
    <w:basedOn w:val="DefaultParagraphFont"/>
    <w:link w:val="Header"/>
    <w:rsid w:val="00D767C2"/>
    <w:rPr>
      <w:rFonts w:ascii="Times New Roman" w:hAnsi="Times New Roman"/>
      <w:sz w:val="18"/>
      <w:lang w:val="en-GB" w:eastAsia="en-US"/>
    </w:rPr>
  </w:style>
  <w:style w:type="paragraph" w:customStyle="1" w:styleId="Normalaftertitle">
    <w:name w:val="Normal after title"/>
    <w:basedOn w:val="Normal"/>
    <w:next w:val="Normal"/>
    <w:rsid w:val="00D767C2"/>
    <w:pPr>
      <w:spacing w:before="280"/>
    </w:pPr>
  </w:style>
  <w:style w:type="paragraph" w:customStyle="1" w:styleId="Section1">
    <w:name w:val="Section_1"/>
    <w:basedOn w:val="Normal"/>
    <w:rsid w:val="00D767C2"/>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767C2"/>
    <w:rPr>
      <w:b w:val="0"/>
      <w:i/>
    </w:rPr>
  </w:style>
  <w:style w:type="paragraph" w:customStyle="1" w:styleId="Section3">
    <w:name w:val="Section_3"/>
    <w:basedOn w:val="Section1"/>
    <w:rsid w:val="00D767C2"/>
    <w:rPr>
      <w:b w:val="0"/>
    </w:rPr>
  </w:style>
  <w:style w:type="paragraph" w:customStyle="1" w:styleId="SectionNo">
    <w:name w:val="Section_No"/>
    <w:basedOn w:val="AnnexNo"/>
    <w:next w:val="Normal"/>
    <w:rsid w:val="00D767C2"/>
  </w:style>
  <w:style w:type="paragraph" w:customStyle="1" w:styleId="Sectiontitle">
    <w:name w:val="Section_title"/>
    <w:basedOn w:val="Annextitle"/>
    <w:next w:val="Normalaftertitle"/>
    <w:rsid w:val="00D767C2"/>
  </w:style>
  <w:style w:type="paragraph" w:customStyle="1" w:styleId="Source">
    <w:name w:val="Source"/>
    <w:basedOn w:val="Normal"/>
    <w:next w:val="Normal"/>
    <w:rsid w:val="00D767C2"/>
    <w:pPr>
      <w:spacing w:before="840"/>
      <w:jc w:val="center"/>
    </w:pPr>
    <w:rPr>
      <w:b/>
      <w:sz w:val="28"/>
    </w:rPr>
  </w:style>
  <w:style w:type="paragraph" w:customStyle="1" w:styleId="SpecialFooter">
    <w:name w:val="Special Footer"/>
    <w:basedOn w:val="Footer"/>
    <w:rsid w:val="00D767C2"/>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767C2"/>
  </w:style>
  <w:style w:type="character" w:customStyle="1" w:styleId="Tablefreq">
    <w:name w:val="Table_freq"/>
    <w:basedOn w:val="DefaultParagraphFont"/>
    <w:rsid w:val="00D767C2"/>
    <w:rPr>
      <w:b/>
      <w:color w:val="auto"/>
      <w:sz w:val="20"/>
    </w:rPr>
  </w:style>
  <w:style w:type="paragraph" w:customStyle="1" w:styleId="Tablehead">
    <w:name w:val="Table_head"/>
    <w:basedOn w:val="Normal"/>
    <w:rsid w:val="00D767C2"/>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048E6"/>
    <w:rPr>
      <w:sz w:val="18"/>
    </w:rPr>
  </w:style>
  <w:style w:type="paragraph" w:customStyle="1" w:styleId="TableNo">
    <w:name w:val="Table_No"/>
    <w:basedOn w:val="Normal"/>
    <w:next w:val="Normal"/>
    <w:rsid w:val="00D767C2"/>
    <w:pPr>
      <w:keepNext/>
      <w:spacing w:before="560" w:after="120"/>
      <w:jc w:val="center"/>
    </w:pPr>
    <w:rPr>
      <w:caps/>
      <w:sz w:val="20"/>
    </w:rPr>
  </w:style>
  <w:style w:type="paragraph" w:customStyle="1" w:styleId="Tableref">
    <w:name w:val="Table_ref"/>
    <w:basedOn w:val="Normal"/>
    <w:next w:val="Normal"/>
    <w:rsid w:val="00D767C2"/>
    <w:pPr>
      <w:keepNext/>
      <w:spacing w:before="560"/>
      <w:jc w:val="center"/>
    </w:pPr>
    <w:rPr>
      <w:sz w:val="20"/>
    </w:rPr>
  </w:style>
  <w:style w:type="paragraph" w:customStyle="1" w:styleId="Normalend">
    <w:name w:val="Normal_end"/>
    <w:basedOn w:val="Normal"/>
    <w:next w:val="Normal"/>
    <w:qFormat/>
    <w:rsid w:val="00D767C2"/>
    <w:rPr>
      <w:lang w:val="en-US"/>
    </w:rPr>
  </w:style>
  <w:style w:type="paragraph" w:customStyle="1" w:styleId="Proposal">
    <w:name w:val="Proposal"/>
    <w:basedOn w:val="Normal"/>
    <w:next w:val="Normal"/>
    <w:rsid w:val="00D767C2"/>
    <w:pPr>
      <w:keepNext/>
      <w:spacing w:before="240"/>
    </w:pPr>
    <w:rPr>
      <w:rFonts w:hAnsi="Times New Roman Bold"/>
      <w:b/>
    </w:rPr>
  </w:style>
  <w:style w:type="paragraph" w:customStyle="1" w:styleId="Reasons">
    <w:name w:val="Reasons"/>
    <w:basedOn w:val="Normal"/>
    <w:rsid w:val="00D767C2"/>
    <w:pPr>
      <w:tabs>
        <w:tab w:val="clear" w:pos="1871"/>
        <w:tab w:val="clear" w:pos="2268"/>
        <w:tab w:val="left" w:pos="1588"/>
        <w:tab w:val="left" w:pos="1985"/>
      </w:tabs>
    </w:pPr>
  </w:style>
  <w:style w:type="paragraph" w:customStyle="1" w:styleId="Questiondate">
    <w:name w:val="Question_date"/>
    <w:basedOn w:val="Normal"/>
    <w:next w:val="Normalaftertitle"/>
    <w:rsid w:val="00D767C2"/>
    <w:pPr>
      <w:keepNext/>
      <w:keepLines/>
      <w:jc w:val="right"/>
    </w:pPr>
    <w:rPr>
      <w:sz w:val="22"/>
    </w:rPr>
  </w:style>
  <w:style w:type="paragraph" w:customStyle="1" w:styleId="QuestionNo">
    <w:name w:val="Question_No"/>
    <w:basedOn w:val="Normal"/>
    <w:next w:val="Normal"/>
    <w:rsid w:val="00D767C2"/>
    <w:pPr>
      <w:keepNext/>
      <w:keepLines/>
      <w:spacing w:before="480"/>
      <w:jc w:val="center"/>
    </w:pPr>
    <w:rPr>
      <w:caps/>
      <w:sz w:val="28"/>
    </w:rPr>
  </w:style>
  <w:style w:type="paragraph" w:customStyle="1" w:styleId="Questiontitle">
    <w:name w:val="Question_title"/>
    <w:basedOn w:val="Normal"/>
    <w:next w:val="Normal"/>
    <w:rsid w:val="00D767C2"/>
    <w:pPr>
      <w:keepNext/>
      <w:keepLines/>
      <w:spacing w:before="240"/>
      <w:jc w:val="center"/>
    </w:pPr>
    <w:rPr>
      <w:rFonts w:ascii="Times New Roman Bold" w:hAnsi="Times New Roman Bold"/>
      <w:b/>
      <w:sz w:val="28"/>
    </w:rPr>
  </w:style>
  <w:style w:type="paragraph" w:styleId="TOC1">
    <w:name w:val="toc 1"/>
    <w:basedOn w:val="Normal"/>
    <w:rsid w:val="00D767C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767C2"/>
    <w:pPr>
      <w:spacing w:before="120"/>
    </w:pPr>
  </w:style>
  <w:style w:type="paragraph" w:styleId="TOC3">
    <w:name w:val="toc 3"/>
    <w:basedOn w:val="TOC2"/>
    <w:rsid w:val="00D767C2"/>
  </w:style>
  <w:style w:type="paragraph" w:styleId="TOC4">
    <w:name w:val="toc 4"/>
    <w:basedOn w:val="TOC3"/>
    <w:rsid w:val="00D767C2"/>
  </w:style>
  <w:style w:type="paragraph" w:styleId="TOC5">
    <w:name w:val="toc 5"/>
    <w:basedOn w:val="TOC4"/>
    <w:rsid w:val="00D767C2"/>
  </w:style>
  <w:style w:type="paragraph" w:styleId="TOC6">
    <w:name w:val="toc 6"/>
    <w:basedOn w:val="TOC4"/>
    <w:rsid w:val="00D767C2"/>
  </w:style>
  <w:style w:type="paragraph" w:styleId="TOC7">
    <w:name w:val="toc 7"/>
    <w:basedOn w:val="TOC4"/>
    <w:rsid w:val="00D767C2"/>
  </w:style>
  <w:style w:type="paragraph" w:styleId="TOC8">
    <w:name w:val="toc 8"/>
    <w:basedOn w:val="TOC4"/>
    <w:rsid w:val="00D767C2"/>
  </w:style>
  <w:style w:type="paragraph" w:customStyle="1" w:styleId="Title1">
    <w:name w:val="Title 1"/>
    <w:basedOn w:val="Source"/>
    <w:next w:val="Normal"/>
    <w:rsid w:val="00D767C2"/>
    <w:pPr>
      <w:tabs>
        <w:tab w:val="left" w:pos="567"/>
        <w:tab w:val="left" w:pos="1701"/>
        <w:tab w:val="left" w:pos="2835"/>
      </w:tabs>
      <w:spacing w:before="240"/>
    </w:pPr>
    <w:rPr>
      <w:b w:val="0"/>
      <w:caps/>
    </w:rPr>
  </w:style>
  <w:style w:type="paragraph" w:customStyle="1" w:styleId="Title2">
    <w:name w:val="Title 2"/>
    <w:basedOn w:val="Source"/>
    <w:next w:val="Normal"/>
    <w:rsid w:val="00D767C2"/>
    <w:pPr>
      <w:overflowPunct/>
      <w:autoSpaceDE/>
      <w:autoSpaceDN/>
      <w:adjustRightInd/>
      <w:spacing w:before="480"/>
      <w:textAlignment w:val="auto"/>
    </w:pPr>
    <w:rPr>
      <w:b w:val="0"/>
      <w:caps/>
    </w:rPr>
  </w:style>
  <w:style w:type="paragraph" w:customStyle="1" w:styleId="Title3">
    <w:name w:val="Title 3"/>
    <w:basedOn w:val="Title2"/>
    <w:next w:val="Normal"/>
    <w:rsid w:val="00D767C2"/>
    <w:pPr>
      <w:spacing w:before="240"/>
    </w:pPr>
    <w:rPr>
      <w:caps w:val="0"/>
    </w:rPr>
  </w:style>
  <w:style w:type="paragraph" w:customStyle="1" w:styleId="Title4">
    <w:name w:val="Title 4"/>
    <w:basedOn w:val="Title3"/>
    <w:next w:val="Heading1"/>
    <w:rsid w:val="00D767C2"/>
    <w:rPr>
      <w:b/>
    </w:rPr>
  </w:style>
  <w:style w:type="paragraph" w:customStyle="1" w:styleId="Tabletext">
    <w:name w:val="Table_text"/>
    <w:basedOn w:val="Normal"/>
    <w:rsid w:val="00D767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F9163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767C2"/>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D767C2"/>
    <w:pPr>
      <w:spacing w:before="160"/>
    </w:pPr>
    <w:rPr>
      <w:i/>
    </w:rPr>
  </w:style>
  <w:style w:type="paragraph" w:customStyle="1" w:styleId="Headingb">
    <w:name w:val="Heading_b"/>
    <w:basedOn w:val="Normal"/>
    <w:next w:val="Normal"/>
    <w:qFormat/>
    <w:rsid w:val="00E048E6"/>
    <w:pPr>
      <w:keepNext/>
      <w:spacing w:before="160"/>
    </w:pPr>
    <w:rPr>
      <w:rFonts w:ascii="Times New Roman Bold" w:hAnsi="Times New Roman Bold" w:cs="Times New Roman Bold"/>
      <w:b/>
      <w:lang w:val="fr-CH"/>
    </w:rPr>
  </w:style>
  <w:style w:type="paragraph" w:customStyle="1" w:styleId="Note">
    <w:name w:val="Note"/>
    <w:basedOn w:val="Normal"/>
    <w:next w:val="Normal"/>
    <w:rsid w:val="00D767C2"/>
    <w:pPr>
      <w:tabs>
        <w:tab w:val="left" w:pos="284"/>
      </w:tabs>
      <w:spacing w:before="80"/>
    </w:pPr>
  </w:style>
  <w:style w:type="paragraph" w:customStyle="1" w:styleId="Part1">
    <w:name w:val="Part_1"/>
    <w:basedOn w:val="Section1"/>
    <w:next w:val="Section1"/>
    <w:qFormat/>
    <w:rsid w:val="00D767C2"/>
  </w:style>
  <w:style w:type="paragraph" w:customStyle="1" w:styleId="PartNo">
    <w:name w:val="Part_No"/>
    <w:basedOn w:val="AnnexNo"/>
    <w:next w:val="Normal"/>
    <w:rsid w:val="00D767C2"/>
  </w:style>
  <w:style w:type="paragraph" w:customStyle="1" w:styleId="Partref">
    <w:name w:val="Part_ref"/>
    <w:basedOn w:val="Annexref"/>
    <w:next w:val="Normal"/>
    <w:rsid w:val="00D767C2"/>
  </w:style>
  <w:style w:type="paragraph" w:customStyle="1" w:styleId="Parttitle">
    <w:name w:val="Part_title"/>
    <w:basedOn w:val="Annextitle"/>
    <w:next w:val="Normalaftertitle"/>
    <w:rsid w:val="00D767C2"/>
  </w:style>
  <w:style w:type="paragraph" w:customStyle="1" w:styleId="Recdate">
    <w:name w:val="Rec_date"/>
    <w:basedOn w:val="Normal"/>
    <w:next w:val="Normalaftertitle"/>
    <w:rsid w:val="00D767C2"/>
    <w:pPr>
      <w:keepNext/>
      <w:keepLines/>
      <w:jc w:val="right"/>
    </w:pPr>
    <w:rPr>
      <w:sz w:val="22"/>
    </w:rPr>
  </w:style>
  <w:style w:type="paragraph" w:customStyle="1" w:styleId="RecNo">
    <w:name w:val="Rec_No"/>
    <w:basedOn w:val="Normal"/>
    <w:next w:val="Normal"/>
    <w:rsid w:val="00D767C2"/>
    <w:pPr>
      <w:keepNext/>
      <w:keepLines/>
      <w:spacing w:before="480"/>
      <w:jc w:val="center"/>
    </w:pPr>
    <w:rPr>
      <w:caps/>
      <w:sz w:val="28"/>
    </w:rPr>
  </w:style>
  <w:style w:type="paragraph" w:customStyle="1" w:styleId="Rectitle">
    <w:name w:val="Rec_title"/>
    <w:basedOn w:val="RecNo"/>
    <w:next w:val="Normal"/>
    <w:rsid w:val="00D767C2"/>
    <w:pPr>
      <w:spacing w:before="240"/>
    </w:pPr>
    <w:rPr>
      <w:rFonts w:ascii="Times New Roman Bold" w:hAnsi="Times New Roman Bold"/>
      <w:b/>
      <w:caps w:val="0"/>
    </w:rPr>
  </w:style>
  <w:style w:type="paragraph" w:customStyle="1" w:styleId="ResNo">
    <w:name w:val="Res_No"/>
    <w:basedOn w:val="RecNo"/>
    <w:next w:val="Normal"/>
    <w:rsid w:val="00D767C2"/>
  </w:style>
  <w:style w:type="paragraph" w:customStyle="1" w:styleId="Restitle">
    <w:name w:val="Res_title"/>
    <w:basedOn w:val="Rectitle"/>
    <w:next w:val="Normal"/>
    <w:rsid w:val="00D767C2"/>
  </w:style>
  <w:style w:type="paragraph" w:customStyle="1" w:styleId="AppArtNo">
    <w:name w:val="App_Art_No"/>
    <w:basedOn w:val="ArtNo"/>
    <w:qFormat/>
    <w:rsid w:val="00D767C2"/>
  </w:style>
  <w:style w:type="paragraph" w:customStyle="1" w:styleId="AppArttitle">
    <w:name w:val="App_Art_title"/>
    <w:basedOn w:val="Arttitle"/>
    <w:qFormat/>
    <w:rsid w:val="00D767C2"/>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D767C2"/>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D767C2"/>
    <w:pPr>
      <w:jc w:val="center"/>
    </w:pPr>
    <w:rPr>
      <w:b/>
      <w:bCs/>
      <w:sz w:val="28"/>
      <w:szCs w:val="28"/>
    </w:rPr>
  </w:style>
  <w:style w:type="paragraph" w:customStyle="1" w:styleId="Headingsplit">
    <w:name w:val="Heading_split"/>
    <w:basedOn w:val="Headingi"/>
    <w:qFormat/>
    <w:rsid w:val="00D767C2"/>
    <w:rPr>
      <w:lang w:val="en-US"/>
    </w:rPr>
  </w:style>
  <w:style w:type="paragraph" w:customStyle="1" w:styleId="Normalsplit">
    <w:name w:val="Normal_split"/>
    <w:basedOn w:val="Normal"/>
    <w:qFormat/>
    <w:rsid w:val="00D767C2"/>
  </w:style>
  <w:style w:type="character" w:customStyle="1" w:styleId="Provsplit">
    <w:name w:val="Prov_split"/>
    <w:basedOn w:val="DefaultParagraphFont"/>
    <w:qFormat/>
    <w:rsid w:val="00D767C2"/>
    <w:rPr>
      <w:rFonts w:ascii="Times New Roman" w:hAnsi="Times New Roman"/>
      <w:b w:val="0"/>
    </w:rPr>
  </w:style>
  <w:style w:type="paragraph" w:customStyle="1" w:styleId="Tablesplit">
    <w:name w:val="Table_split"/>
    <w:basedOn w:val="Tabletext"/>
    <w:qFormat/>
    <w:rsid w:val="00D767C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styleId="BalloonText">
    <w:name w:val="Balloon Text"/>
    <w:basedOn w:val="Normal"/>
    <w:link w:val="BalloonTextChar"/>
    <w:semiHidden/>
    <w:unhideWhenUsed/>
    <w:rsid w:val="00D767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767C2"/>
    <w:rPr>
      <w:rFonts w:ascii="Segoe UI" w:hAnsi="Segoe UI" w:cs="Segoe UI"/>
      <w:sz w:val="18"/>
      <w:szCs w:val="18"/>
      <w:lang w:val="en-GB" w:eastAsia="en-US"/>
    </w:rPr>
  </w:style>
  <w:style w:type="paragraph" w:customStyle="1" w:styleId="MethodHeadingb">
    <w:name w:val="Method_Headingb"/>
    <w:basedOn w:val="Headingb"/>
    <w:qFormat/>
    <w:rsid w:val="00E048E6"/>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D767C2"/>
  </w:style>
  <w:style w:type="paragraph" w:customStyle="1" w:styleId="Methodheading2">
    <w:name w:val="Method_heading2"/>
    <w:basedOn w:val="Heading2"/>
    <w:next w:val="Normal"/>
    <w:qFormat/>
    <w:rsid w:val="00D767C2"/>
  </w:style>
  <w:style w:type="paragraph" w:customStyle="1" w:styleId="Methodheading3">
    <w:name w:val="Method_heading3"/>
    <w:basedOn w:val="Heading3"/>
    <w:next w:val="Normal"/>
    <w:qFormat/>
    <w:rsid w:val="00D767C2"/>
  </w:style>
  <w:style w:type="paragraph" w:customStyle="1" w:styleId="Methodheading4">
    <w:name w:val="Method_heading4"/>
    <w:basedOn w:val="Heading4"/>
    <w:next w:val="Normal"/>
    <w:qFormat/>
    <w:rsid w:val="00D767C2"/>
  </w:style>
  <w:style w:type="paragraph" w:customStyle="1" w:styleId="EditorsNote">
    <w:name w:val="EditorsNote"/>
    <w:basedOn w:val="Normal"/>
    <w:qFormat/>
    <w:rsid w:val="00E048E6"/>
    <w:pPr>
      <w:spacing w:before="240" w:after="240"/>
    </w:pPr>
    <w:rPr>
      <w:i/>
    </w:rPr>
  </w:style>
  <w:style w:type="paragraph" w:customStyle="1" w:styleId="Tablefin">
    <w:name w:val="Table_fin"/>
    <w:basedOn w:val="Tabletext"/>
    <w:qFormat/>
    <w:rsid w:val="007B0BF7"/>
    <w:pPr>
      <w:spacing w:before="0" w:after="0"/>
    </w:pPr>
  </w:style>
  <w:style w:type="character" w:customStyle="1" w:styleId="Heading1Char">
    <w:name w:val="Heading 1 Char"/>
    <w:basedOn w:val="DefaultParagraphFont"/>
    <w:link w:val="Heading1"/>
    <w:rsid w:val="008F06CA"/>
    <w:rPr>
      <w:rFonts w:ascii="Times New Roman" w:hAnsi="Times New Roman"/>
      <w:b/>
      <w:sz w:val="28"/>
      <w:lang w:val="en-GB" w:eastAsia="en-US"/>
    </w:rPr>
  </w:style>
  <w:style w:type="paragraph" w:customStyle="1" w:styleId="xmsonormal">
    <w:name w:val="x_msonormal"/>
    <w:basedOn w:val="Normal"/>
    <w:rsid w:val="008F06CA"/>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BR\PE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53A12-8ACA-48EA-9838-3F3F34BC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PE_WRC23.dotx</Template>
  <TotalTime>7</TotalTime>
  <Pages>6</Pages>
  <Words>2613</Words>
  <Characters>13932</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WRC-23</vt:lpstr>
    </vt:vector>
  </TitlesOfParts>
  <Manager>General Secretariat - Pool</Manager>
  <Company>International Telecommunication Union (ITU)</Company>
  <LinksUpToDate>false</LinksUpToDate>
  <CharactersWithSpaces>16512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WRC-23</dc:title>
  <dc:subject>World Radiocommunication Conference - 2023</dc:subject>
  <dc:creator>TPU E RR</dc:creator>
  <cp:keywords>WRC-23</cp:keywords>
  <cp:lastModifiedBy>TPU E RR</cp:lastModifiedBy>
  <cp:revision>3</cp:revision>
  <cp:lastPrinted>2011-08-24T07:41:00Z</cp:lastPrinted>
  <dcterms:created xsi:type="dcterms:W3CDTF">2023-12-06T08:26:00Z</dcterms:created>
  <dcterms:modified xsi:type="dcterms:W3CDTF">2023-12-06T08:33:00Z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