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88298A" w:rsidRPr="00BF46A2" w14:paraId="2B237818" w14:textId="77777777" w:rsidTr="008F75FF">
        <w:trPr>
          <w:cantSplit/>
        </w:trPr>
        <w:tc>
          <w:tcPr>
            <w:tcW w:w="1418" w:type="dxa"/>
            <w:vAlign w:val="center"/>
          </w:tcPr>
          <w:p w14:paraId="11493371" w14:textId="77777777" w:rsidR="0088298A" w:rsidRPr="00BF46A2" w:rsidRDefault="0088298A" w:rsidP="0088298A">
            <w:pPr>
              <w:spacing w:before="0"/>
              <w:rPr>
                <w:rFonts w:ascii="Verdana" w:hAnsi="Verdana"/>
                <w:position w:val="6"/>
              </w:rPr>
            </w:pPr>
            <w:bookmarkStart w:id="0" w:name="_Hlk131597142"/>
            <w:r w:rsidRPr="00BF46A2">
              <w:rPr>
                <w:noProof/>
              </w:rPr>
              <w:drawing>
                <wp:inline distT="0" distB="0" distL="0" distR="0" wp14:anchorId="0AC2EFD0" wp14:editId="7376AFC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0472E2C" w14:textId="77777777" w:rsidR="0088298A" w:rsidRPr="00BF46A2" w:rsidRDefault="0088298A" w:rsidP="0088298A">
            <w:pPr>
              <w:spacing w:before="400" w:after="48" w:line="240" w:lineRule="atLeast"/>
              <w:rPr>
                <w:rFonts w:ascii="Verdana" w:hAnsi="Verdana"/>
                <w:position w:val="6"/>
              </w:rPr>
            </w:pPr>
            <w:r w:rsidRPr="00BF46A2">
              <w:rPr>
                <w:rFonts w:ascii="Verdana" w:hAnsi="Verdana" w:cs="Times"/>
                <w:b/>
                <w:position w:val="6"/>
                <w:sz w:val="22"/>
                <w:szCs w:val="22"/>
              </w:rPr>
              <w:t>World Radiocommunication Conference (WRC-23)</w:t>
            </w:r>
            <w:r w:rsidRPr="00BF46A2">
              <w:rPr>
                <w:rFonts w:ascii="Verdana" w:hAnsi="Verdana" w:cs="Times"/>
                <w:b/>
                <w:position w:val="6"/>
                <w:sz w:val="26"/>
                <w:szCs w:val="26"/>
              </w:rPr>
              <w:br/>
            </w:r>
            <w:r w:rsidRPr="00BF46A2">
              <w:rPr>
                <w:rFonts w:ascii="Verdana" w:hAnsi="Verdana"/>
                <w:b/>
                <w:bCs/>
                <w:position w:val="6"/>
                <w:sz w:val="18"/>
                <w:szCs w:val="18"/>
              </w:rPr>
              <w:t>Dubai, 20 November - 15 December 2023</w:t>
            </w:r>
          </w:p>
        </w:tc>
        <w:tc>
          <w:tcPr>
            <w:tcW w:w="1951" w:type="dxa"/>
            <w:vAlign w:val="center"/>
          </w:tcPr>
          <w:p w14:paraId="05C329B3" w14:textId="4C8C5B82" w:rsidR="0088298A" w:rsidRPr="00BF46A2" w:rsidRDefault="00EA4FEF" w:rsidP="0088298A">
            <w:pPr>
              <w:spacing w:before="0" w:line="240" w:lineRule="atLeast"/>
            </w:pPr>
            <w:bookmarkStart w:id="1" w:name="ditulogo"/>
            <w:bookmarkEnd w:id="1"/>
            <w:r w:rsidRPr="00BF46A2">
              <w:rPr>
                <w:noProof/>
              </w:rPr>
              <w:drawing>
                <wp:inline distT="0" distB="0" distL="0" distR="0" wp14:anchorId="3F9F6929" wp14:editId="6192290D">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bookmarkEnd w:id="0"/>
      <w:tr w:rsidR="000A27F5" w:rsidRPr="00BF46A2" w14:paraId="6BD1D960" w14:textId="77777777" w:rsidTr="003415F3">
        <w:trPr>
          <w:cantSplit/>
        </w:trPr>
        <w:tc>
          <w:tcPr>
            <w:tcW w:w="6911" w:type="dxa"/>
            <w:gridSpan w:val="2"/>
            <w:tcBorders>
              <w:bottom w:val="single" w:sz="12" w:space="0" w:color="auto"/>
            </w:tcBorders>
          </w:tcPr>
          <w:p w14:paraId="042FF575" w14:textId="77777777" w:rsidR="000A27F5" w:rsidRPr="00BF46A2" w:rsidRDefault="000A27F5" w:rsidP="00B3403C">
            <w:pPr>
              <w:spacing w:after="48" w:line="240" w:lineRule="atLeast"/>
              <w:rPr>
                <w:b/>
                <w:smallCaps/>
                <w:sz w:val="20"/>
              </w:rPr>
            </w:pPr>
          </w:p>
        </w:tc>
        <w:tc>
          <w:tcPr>
            <w:tcW w:w="3120" w:type="dxa"/>
            <w:gridSpan w:val="2"/>
            <w:tcBorders>
              <w:bottom w:val="single" w:sz="12" w:space="0" w:color="auto"/>
            </w:tcBorders>
          </w:tcPr>
          <w:p w14:paraId="3EE82B4C" w14:textId="77777777" w:rsidR="000A27F5" w:rsidRPr="00BF46A2" w:rsidRDefault="000A27F5" w:rsidP="00B3403C">
            <w:pPr>
              <w:spacing w:line="240" w:lineRule="atLeast"/>
              <w:rPr>
                <w:szCs w:val="24"/>
              </w:rPr>
            </w:pPr>
          </w:p>
        </w:tc>
      </w:tr>
      <w:tr w:rsidR="000A27F5" w:rsidRPr="00BF46A2" w14:paraId="7513697A" w14:textId="77777777" w:rsidTr="003415F3">
        <w:trPr>
          <w:cantSplit/>
        </w:trPr>
        <w:tc>
          <w:tcPr>
            <w:tcW w:w="6911" w:type="dxa"/>
            <w:gridSpan w:val="2"/>
            <w:tcBorders>
              <w:top w:val="single" w:sz="12" w:space="0" w:color="auto"/>
            </w:tcBorders>
          </w:tcPr>
          <w:p w14:paraId="6C8D1EC0" w14:textId="77777777" w:rsidR="000A27F5" w:rsidRPr="00BF46A2" w:rsidRDefault="000A27F5" w:rsidP="00611B23">
            <w:pPr>
              <w:spacing w:before="0" w:after="48" w:line="240" w:lineRule="atLeast"/>
              <w:rPr>
                <w:b/>
                <w:smallCaps/>
                <w:sz w:val="20"/>
              </w:rPr>
            </w:pPr>
          </w:p>
        </w:tc>
        <w:tc>
          <w:tcPr>
            <w:tcW w:w="3120" w:type="dxa"/>
            <w:gridSpan w:val="2"/>
            <w:tcBorders>
              <w:top w:val="single" w:sz="12" w:space="0" w:color="auto"/>
            </w:tcBorders>
          </w:tcPr>
          <w:p w14:paraId="7CE194B9" w14:textId="77777777" w:rsidR="000A27F5" w:rsidRPr="00BF46A2" w:rsidRDefault="000A27F5" w:rsidP="00611B23">
            <w:pPr>
              <w:spacing w:before="0" w:line="240" w:lineRule="atLeast"/>
              <w:rPr>
                <w:sz w:val="20"/>
              </w:rPr>
            </w:pPr>
          </w:p>
        </w:tc>
      </w:tr>
      <w:tr w:rsidR="00204EBB" w:rsidRPr="00BF46A2" w14:paraId="2411AA7A" w14:textId="77777777" w:rsidTr="00092EFB">
        <w:trPr>
          <w:cantSplit/>
          <w:trHeight w:val="195"/>
        </w:trPr>
        <w:tc>
          <w:tcPr>
            <w:tcW w:w="6911" w:type="dxa"/>
            <w:gridSpan w:val="2"/>
            <w:vMerge w:val="restart"/>
            <w:shd w:val="clear" w:color="auto" w:fill="auto"/>
          </w:tcPr>
          <w:p w14:paraId="04C2594C" w14:textId="77777777" w:rsidR="00204EBB" w:rsidRPr="00BF46A2" w:rsidRDefault="00204EBB" w:rsidP="00611B23">
            <w:pPr>
              <w:tabs>
                <w:tab w:val="left" w:pos="851"/>
              </w:tabs>
              <w:spacing w:before="0" w:line="240" w:lineRule="atLeast"/>
              <w:rPr>
                <w:rFonts w:ascii="Verdana" w:hAnsi="Verdana"/>
                <w:b/>
                <w:sz w:val="20"/>
              </w:rPr>
            </w:pPr>
            <w:r w:rsidRPr="00BF46A2">
              <w:rPr>
                <w:rFonts w:ascii="Verdana" w:hAnsi="Verdana"/>
                <w:b/>
                <w:sz w:val="20"/>
              </w:rPr>
              <w:t>PLENARY MEETING</w:t>
            </w:r>
          </w:p>
        </w:tc>
        <w:tc>
          <w:tcPr>
            <w:tcW w:w="3120" w:type="dxa"/>
            <w:gridSpan w:val="2"/>
          </w:tcPr>
          <w:p w14:paraId="2EE86259" w14:textId="2097E805" w:rsidR="00204EBB" w:rsidRPr="00BF46A2" w:rsidRDefault="00204EBB" w:rsidP="008C5046">
            <w:pPr>
              <w:tabs>
                <w:tab w:val="left" w:pos="851"/>
              </w:tabs>
              <w:spacing w:before="0" w:line="240" w:lineRule="atLeast"/>
              <w:rPr>
                <w:rFonts w:ascii="Verdana" w:hAnsi="Verdana"/>
                <w:sz w:val="20"/>
              </w:rPr>
            </w:pPr>
            <w:r w:rsidRPr="00BF46A2">
              <w:rPr>
                <w:rFonts w:ascii="Verdana" w:hAnsi="Verdana"/>
                <w:b/>
                <w:sz w:val="20"/>
              </w:rPr>
              <w:t>Document 258-E</w:t>
            </w:r>
          </w:p>
        </w:tc>
      </w:tr>
      <w:tr w:rsidR="00204EBB" w:rsidRPr="00BF46A2" w14:paraId="2FA408B1" w14:textId="77777777" w:rsidTr="003415F3">
        <w:trPr>
          <w:cantSplit/>
          <w:trHeight w:val="23"/>
        </w:trPr>
        <w:tc>
          <w:tcPr>
            <w:tcW w:w="6911" w:type="dxa"/>
            <w:gridSpan w:val="2"/>
            <w:vMerge/>
            <w:shd w:val="clear" w:color="auto" w:fill="auto"/>
          </w:tcPr>
          <w:p w14:paraId="54C5E25C" w14:textId="77777777" w:rsidR="00204EBB" w:rsidRPr="00BF46A2" w:rsidRDefault="00204EBB" w:rsidP="00B3403C">
            <w:pPr>
              <w:tabs>
                <w:tab w:val="left" w:pos="851"/>
              </w:tabs>
              <w:spacing w:line="240" w:lineRule="atLeast"/>
              <w:rPr>
                <w:b/>
                <w:sz w:val="20"/>
              </w:rPr>
            </w:pPr>
          </w:p>
        </w:tc>
        <w:tc>
          <w:tcPr>
            <w:tcW w:w="3120" w:type="dxa"/>
            <w:gridSpan w:val="2"/>
          </w:tcPr>
          <w:p w14:paraId="4689CDAC" w14:textId="60262B85" w:rsidR="00204EBB" w:rsidRPr="00BF46A2" w:rsidRDefault="00204EBB" w:rsidP="008C5046">
            <w:pPr>
              <w:tabs>
                <w:tab w:val="left" w:pos="993"/>
              </w:tabs>
              <w:spacing w:before="0"/>
              <w:rPr>
                <w:rFonts w:ascii="Verdana" w:hAnsi="Verdana"/>
                <w:sz w:val="20"/>
              </w:rPr>
            </w:pPr>
            <w:r w:rsidRPr="00BF46A2">
              <w:rPr>
                <w:rFonts w:ascii="Verdana" w:hAnsi="Verdana"/>
                <w:b/>
                <w:sz w:val="20"/>
              </w:rPr>
              <w:t>2</w:t>
            </w:r>
            <w:r w:rsidR="00391540" w:rsidRPr="00BF46A2">
              <w:rPr>
                <w:rFonts w:ascii="Verdana" w:hAnsi="Verdana"/>
                <w:b/>
                <w:sz w:val="20"/>
              </w:rPr>
              <w:t>4</w:t>
            </w:r>
            <w:r w:rsidRPr="00BF46A2">
              <w:rPr>
                <w:rFonts w:ascii="Verdana" w:hAnsi="Verdana"/>
                <w:b/>
                <w:sz w:val="20"/>
              </w:rPr>
              <w:t xml:space="preserve"> November 2023</w:t>
            </w:r>
          </w:p>
        </w:tc>
      </w:tr>
      <w:tr w:rsidR="00204EBB" w:rsidRPr="00BF46A2" w14:paraId="5F660535" w14:textId="77777777" w:rsidTr="00092EFB">
        <w:trPr>
          <w:cantSplit/>
          <w:trHeight w:val="415"/>
        </w:trPr>
        <w:tc>
          <w:tcPr>
            <w:tcW w:w="6911" w:type="dxa"/>
            <w:gridSpan w:val="2"/>
            <w:vMerge/>
            <w:shd w:val="clear" w:color="auto" w:fill="auto"/>
          </w:tcPr>
          <w:p w14:paraId="42EE3389" w14:textId="77777777" w:rsidR="00204EBB" w:rsidRPr="00BF46A2" w:rsidRDefault="00204EBB" w:rsidP="00B3403C">
            <w:pPr>
              <w:tabs>
                <w:tab w:val="left" w:pos="851"/>
              </w:tabs>
              <w:spacing w:line="240" w:lineRule="atLeast"/>
              <w:rPr>
                <w:sz w:val="20"/>
              </w:rPr>
            </w:pPr>
          </w:p>
        </w:tc>
        <w:tc>
          <w:tcPr>
            <w:tcW w:w="3120" w:type="dxa"/>
            <w:gridSpan w:val="2"/>
          </w:tcPr>
          <w:p w14:paraId="473BE251" w14:textId="77777777" w:rsidR="00204EBB" w:rsidRPr="00BF46A2" w:rsidRDefault="00204EBB" w:rsidP="008C5046">
            <w:pPr>
              <w:tabs>
                <w:tab w:val="left" w:pos="993"/>
              </w:tabs>
              <w:spacing w:before="0"/>
              <w:rPr>
                <w:rFonts w:ascii="Verdana" w:hAnsi="Verdana"/>
                <w:b/>
                <w:sz w:val="20"/>
              </w:rPr>
            </w:pPr>
            <w:r w:rsidRPr="00BF46A2">
              <w:rPr>
                <w:rFonts w:ascii="Verdana" w:hAnsi="Verdana"/>
                <w:b/>
                <w:sz w:val="20"/>
              </w:rPr>
              <w:t>Original: English</w:t>
            </w:r>
          </w:p>
        </w:tc>
      </w:tr>
      <w:tr w:rsidR="000A27F5" w:rsidRPr="00BF46A2" w14:paraId="431EE95C" w14:textId="77777777" w:rsidTr="003415F3">
        <w:trPr>
          <w:cantSplit/>
          <w:trHeight w:val="23"/>
        </w:trPr>
        <w:tc>
          <w:tcPr>
            <w:tcW w:w="10031" w:type="dxa"/>
            <w:gridSpan w:val="4"/>
            <w:shd w:val="clear" w:color="auto" w:fill="auto"/>
          </w:tcPr>
          <w:p w14:paraId="378D4F10" w14:textId="77777777" w:rsidR="000A27F5" w:rsidRPr="00BF46A2" w:rsidRDefault="000A27F5" w:rsidP="00B3403C">
            <w:pPr>
              <w:spacing w:before="240"/>
              <w:jc w:val="center"/>
              <w:rPr>
                <w:b/>
                <w:sz w:val="28"/>
              </w:rPr>
            </w:pPr>
          </w:p>
        </w:tc>
      </w:tr>
      <w:tr w:rsidR="000A27F5" w:rsidRPr="00BF46A2" w14:paraId="7AB14847" w14:textId="77777777" w:rsidTr="003415F3">
        <w:trPr>
          <w:cantSplit/>
          <w:trHeight w:val="23"/>
        </w:trPr>
        <w:tc>
          <w:tcPr>
            <w:tcW w:w="10031" w:type="dxa"/>
            <w:gridSpan w:val="4"/>
            <w:shd w:val="clear" w:color="auto" w:fill="auto"/>
          </w:tcPr>
          <w:p w14:paraId="13EB5261" w14:textId="77777777" w:rsidR="000A27F5" w:rsidRPr="00BF46A2" w:rsidRDefault="000A27F5" w:rsidP="00D81374">
            <w:pPr>
              <w:pStyle w:val="Title1"/>
            </w:pPr>
            <w:r w:rsidRPr="00BF46A2">
              <w:t>MINUTES</w:t>
            </w:r>
          </w:p>
          <w:p w14:paraId="45C4128D" w14:textId="27C20918" w:rsidR="000A27F5" w:rsidRPr="00BF46A2" w:rsidRDefault="000A27F5" w:rsidP="00D81374">
            <w:pPr>
              <w:pStyle w:val="Title1"/>
            </w:pPr>
            <w:r w:rsidRPr="00BF46A2">
              <w:t>OF THE</w:t>
            </w:r>
          </w:p>
          <w:p w14:paraId="0E0897B9" w14:textId="77777777" w:rsidR="000A27F5" w:rsidRPr="00BF46A2" w:rsidRDefault="000A27F5" w:rsidP="00D81374">
            <w:pPr>
              <w:pStyle w:val="Title1"/>
            </w:pPr>
            <w:r w:rsidRPr="00BF46A2">
              <w:t>SECOND PLENARY MEETING</w:t>
            </w:r>
          </w:p>
        </w:tc>
      </w:tr>
      <w:tr w:rsidR="000A27F5" w:rsidRPr="00BF46A2" w14:paraId="65B6578D" w14:textId="77777777" w:rsidTr="003415F3">
        <w:trPr>
          <w:cantSplit/>
          <w:trHeight w:val="23"/>
        </w:trPr>
        <w:tc>
          <w:tcPr>
            <w:tcW w:w="10031" w:type="dxa"/>
            <w:gridSpan w:val="4"/>
            <w:shd w:val="clear" w:color="auto" w:fill="auto"/>
          </w:tcPr>
          <w:p w14:paraId="7E2ED535" w14:textId="77777777" w:rsidR="000A27F5" w:rsidRPr="00BF46A2" w:rsidRDefault="000A27F5" w:rsidP="00D81374">
            <w:pPr>
              <w:pStyle w:val="Normalaftertitle"/>
              <w:jc w:val="center"/>
            </w:pPr>
            <w:r w:rsidRPr="00BF46A2">
              <w:t>Tuesday, 21 November, at 1550 hours</w:t>
            </w:r>
          </w:p>
        </w:tc>
      </w:tr>
      <w:tr w:rsidR="000A27F5" w:rsidRPr="00BF46A2" w14:paraId="65DDAC2C" w14:textId="77777777" w:rsidTr="003415F3">
        <w:trPr>
          <w:cantSplit/>
          <w:trHeight w:val="23"/>
        </w:trPr>
        <w:tc>
          <w:tcPr>
            <w:tcW w:w="10031" w:type="dxa"/>
            <w:gridSpan w:val="4"/>
            <w:shd w:val="clear" w:color="auto" w:fill="auto"/>
          </w:tcPr>
          <w:p w14:paraId="1F499B75" w14:textId="273FA715" w:rsidR="000A27F5" w:rsidRPr="00BF46A2" w:rsidRDefault="000A27F5" w:rsidP="00D81374">
            <w:pPr>
              <w:pStyle w:val="Title3"/>
              <w:rPr>
                <w:sz w:val="24"/>
                <w:szCs w:val="24"/>
              </w:rPr>
            </w:pPr>
            <w:r w:rsidRPr="00BF46A2">
              <w:rPr>
                <w:b/>
                <w:bCs/>
                <w:sz w:val="24"/>
                <w:szCs w:val="24"/>
              </w:rPr>
              <w:t>Chair:</w:t>
            </w:r>
            <w:r w:rsidRPr="00BF46A2">
              <w:rPr>
                <w:sz w:val="24"/>
                <w:szCs w:val="24"/>
              </w:rPr>
              <w:t xml:space="preserve"> </w:t>
            </w:r>
            <w:r w:rsidR="00EF6E31" w:rsidRPr="00BF46A2">
              <w:rPr>
                <w:sz w:val="24"/>
                <w:szCs w:val="24"/>
              </w:rPr>
              <w:t xml:space="preserve">H.E. </w:t>
            </w:r>
            <w:r w:rsidRPr="00BF46A2">
              <w:rPr>
                <w:sz w:val="24"/>
                <w:szCs w:val="24"/>
              </w:rPr>
              <w:t xml:space="preserve">Mr </w:t>
            </w:r>
            <w:r w:rsidR="009644AB" w:rsidRPr="00BF46A2">
              <w:rPr>
                <w:sz w:val="24"/>
                <w:szCs w:val="24"/>
              </w:rPr>
              <w:t xml:space="preserve">M. </w:t>
            </w:r>
            <w:r w:rsidRPr="00BF46A2">
              <w:rPr>
                <w:sz w:val="24"/>
                <w:szCs w:val="24"/>
              </w:rPr>
              <w:t>AL RAMSI (United Arab Emirates)</w:t>
            </w:r>
          </w:p>
        </w:tc>
      </w:tr>
    </w:tbl>
    <w:p w14:paraId="0422F791" w14:textId="77777777" w:rsidR="000A27F5" w:rsidRPr="00BF46A2" w:rsidRDefault="000A27F5" w:rsidP="00B3403C"/>
    <w:p w14:paraId="4C803883" w14:textId="77777777" w:rsidR="000A27F5" w:rsidRPr="00BF46A2" w:rsidRDefault="000A27F5" w:rsidP="00B3403C">
      <w:pPr>
        <w:spacing w:line="480" w:lineRule="auto"/>
        <w:rPr>
          <w:szCs w:val="24"/>
        </w:rPr>
      </w:pPr>
    </w:p>
    <w:tbl>
      <w:tblPr>
        <w:tblW w:w="10031" w:type="dxa"/>
        <w:tblLook w:val="0000" w:firstRow="0" w:lastRow="0" w:firstColumn="0" w:lastColumn="0" w:noHBand="0" w:noVBand="0"/>
      </w:tblPr>
      <w:tblGrid>
        <w:gridCol w:w="534"/>
        <w:gridCol w:w="7159"/>
        <w:gridCol w:w="2338"/>
      </w:tblGrid>
      <w:tr w:rsidR="000A27F5" w:rsidRPr="00BF46A2" w14:paraId="54B6CEEC" w14:textId="77777777" w:rsidTr="003415F3">
        <w:tc>
          <w:tcPr>
            <w:tcW w:w="534" w:type="dxa"/>
          </w:tcPr>
          <w:p w14:paraId="6E04D453" w14:textId="77777777" w:rsidR="000A27F5" w:rsidRPr="00BF46A2" w:rsidRDefault="000A27F5" w:rsidP="00B3403C">
            <w:pPr>
              <w:rPr>
                <w:b/>
                <w:bCs/>
              </w:rPr>
            </w:pPr>
          </w:p>
        </w:tc>
        <w:tc>
          <w:tcPr>
            <w:tcW w:w="7159" w:type="dxa"/>
            <w:vAlign w:val="center"/>
          </w:tcPr>
          <w:p w14:paraId="4A527315" w14:textId="77777777" w:rsidR="000A27F5" w:rsidRPr="00BF46A2" w:rsidRDefault="000A27F5" w:rsidP="00B3403C">
            <w:pPr>
              <w:rPr>
                <w:b/>
                <w:bCs/>
              </w:rPr>
            </w:pPr>
            <w:r w:rsidRPr="00BF46A2">
              <w:rPr>
                <w:b/>
                <w:bCs/>
              </w:rPr>
              <w:t>Subjects discussed</w:t>
            </w:r>
          </w:p>
        </w:tc>
        <w:tc>
          <w:tcPr>
            <w:tcW w:w="2338" w:type="dxa"/>
            <w:vAlign w:val="center"/>
          </w:tcPr>
          <w:p w14:paraId="5815BB14" w14:textId="77777777" w:rsidR="000A27F5" w:rsidRPr="00BF46A2" w:rsidRDefault="000A27F5" w:rsidP="00B3403C">
            <w:pPr>
              <w:jc w:val="center"/>
              <w:rPr>
                <w:b/>
                <w:bCs/>
              </w:rPr>
            </w:pPr>
            <w:r w:rsidRPr="00BF46A2">
              <w:rPr>
                <w:b/>
                <w:bCs/>
              </w:rPr>
              <w:t>Documents</w:t>
            </w:r>
          </w:p>
        </w:tc>
      </w:tr>
      <w:tr w:rsidR="000A27F5" w:rsidRPr="00BF46A2" w14:paraId="481D1852" w14:textId="77777777" w:rsidTr="003415F3">
        <w:tc>
          <w:tcPr>
            <w:tcW w:w="534" w:type="dxa"/>
          </w:tcPr>
          <w:p w14:paraId="042D19B7" w14:textId="77777777" w:rsidR="000A27F5" w:rsidRPr="00BF46A2" w:rsidRDefault="000A27F5" w:rsidP="00B3403C">
            <w:r w:rsidRPr="00BF46A2">
              <w:t>1</w:t>
            </w:r>
          </w:p>
        </w:tc>
        <w:tc>
          <w:tcPr>
            <w:tcW w:w="7159" w:type="dxa"/>
          </w:tcPr>
          <w:p w14:paraId="51403D1F" w14:textId="70621BA9" w:rsidR="000A27F5" w:rsidRPr="00BF46A2" w:rsidRDefault="000A27F5" w:rsidP="00B3403C">
            <w:r w:rsidRPr="00BF46A2">
              <w:t xml:space="preserve">Tribute to the </w:t>
            </w:r>
            <w:r w:rsidR="001860CD" w:rsidRPr="00BF46A2">
              <w:t xml:space="preserve">late </w:t>
            </w:r>
            <w:r w:rsidRPr="00BF46A2">
              <w:t xml:space="preserve">Chair of </w:t>
            </w:r>
            <w:r w:rsidR="00BD5ED4" w:rsidRPr="00BF46A2">
              <w:t xml:space="preserve">the </w:t>
            </w:r>
            <w:r w:rsidRPr="00BF46A2">
              <w:t>CEPT</w:t>
            </w:r>
            <w:r w:rsidR="00BD5ED4" w:rsidRPr="00BF46A2">
              <w:t xml:space="preserve"> Conference Preparatory Group</w:t>
            </w:r>
          </w:p>
        </w:tc>
        <w:tc>
          <w:tcPr>
            <w:tcW w:w="2338" w:type="dxa"/>
          </w:tcPr>
          <w:p w14:paraId="2875BE95" w14:textId="465803FA" w:rsidR="000A27F5" w:rsidRPr="00BF46A2" w:rsidRDefault="00103055" w:rsidP="00B3403C">
            <w:pPr>
              <w:jc w:val="center"/>
            </w:pPr>
            <w:r w:rsidRPr="00BF46A2">
              <w:t>–</w:t>
            </w:r>
          </w:p>
        </w:tc>
      </w:tr>
      <w:tr w:rsidR="000A27F5" w:rsidRPr="00BF46A2" w14:paraId="6D3E1501" w14:textId="77777777" w:rsidTr="003415F3">
        <w:tc>
          <w:tcPr>
            <w:tcW w:w="534" w:type="dxa"/>
          </w:tcPr>
          <w:p w14:paraId="1F3AD27D" w14:textId="77777777" w:rsidR="000A27F5" w:rsidRPr="00BF46A2" w:rsidRDefault="000A27F5" w:rsidP="00B3403C">
            <w:r w:rsidRPr="00BF46A2">
              <w:t>2</w:t>
            </w:r>
          </w:p>
        </w:tc>
        <w:tc>
          <w:tcPr>
            <w:tcW w:w="7159" w:type="dxa"/>
          </w:tcPr>
          <w:p w14:paraId="2EA9D0F0" w14:textId="77777777" w:rsidR="000A27F5" w:rsidRPr="00BF46A2" w:rsidRDefault="000A27F5" w:rsidP="00B3403C">
            <w:r w:rsidRPr="00BF46A2">
              <w:t xml:space="preserve">Statement by the Director of BR on World Television Day </w:t>
            </w:r>
          </w:p>
        </w:tc>
        <w:tc>
          <w:tcPr>
            <w:tcW w:w="2338" w:type="dxa"/>
          </w:tcPr>
          <w:p w14:paraId="43C164A0" w14:textId="36F43A48" w:rsidR="000A27F5" w:rsidRPr="00BF46A2" w:rsidRDefault="00103055" w:rsidP="00B3403C">
            <w:pPr>
              <w:jc w:val="center"/>
            </w:pPr>
            <w:r w:rsidRPr="00BF46A2">
              <w:t>–</w:t>
            </w:r>
          </w:p>
        </w:tc>
      </w:tr>
      <w:tr w:rsidR="000A27F5" w:rsidRPr="00BF46A2" w14:paraId="55D8F8E3" w14:textId="77777777" w:rsidTr="003415F3">
        <w:tc>
          <w:tcPr>
            <w:tcW w:w="534" w:type="dxa"/>
          </w:tcPr>
          <w:p w14:paraId="01B8C120" w14:textId="77777777" w:rsidR="000A27F5" w:rsidRPr="00BF46A2" w:rsidRDefault="000A27F5" w:rsidP="00B3403C">
            <w:r w:rsidRPr="00BF46A2">
              <w:t>3</w:t>
            </w:r>
          </w:p>
        </w:tc>
        <w:tc>
          <w:tcPr>
            <w:tcW w:w="7159" w:type="dxa"/>
          </w:tcPr>
          <w:p w14:paraId="27D5A28C" w14:textId="77777777" w:rsidR="000A27F5" w:rsidRPr="00BF46A2" w:rsidRDefault="000A27F5" w:rsidP="00B3403C">
            <w:r w:rsidRPr="00BF46A2">
              <w:t>Oral reports by the Chairs of Committees 4, 5 and 6</w:t>
            </w:r>
          </w:p>
        </w:tc>
        <w:tc>
          <w:tcPr>
            <w:tcW w:w="2338" w:type="dxa"/>
          </w:tcPr>
          <w:p w14:paraId="49C997FF" w14:textId="08C57FBB" w:rsidR="000A27F5" w:rsidRPr="00BF46A2" w:rsidRDefault="00103055" w:rsidP="00B3403C">
            <w:pPr>
              <w:jc w:val="center"/>
            </w:pPr>
            <w:r w:rsidRPr="00BF46A2">
              <w:t>–</w:t>
            </w:r>
          </w:p>
        </w:tc>
      </w:tr>
      <w:tr w:rsidR="000A27F5" w:rsidRPr="00BF46A2" w14:paraId="3BE13A5A" w14:textId="77777777" w:rsidTr="003415F3">
        <w:tc>
          <w:tcPr>
            <w:tcW w:w="534" w:type="dxa"/>
          </w:tcPr>
          <w:p w14:paraId="7FD101D7" w14:textId="77777777" w:rsidR="000A27F5" w:rsidRPr="00BF46A2" w:rsidRDefault="000A27F5" w:rsidP="00B3403C">
            <w:r w:rsidRPr="00BF46A2">
              <w:t>4</w:t>
            </w:r>
          </w:p>
        </w:tc>
        <w:tc>
          <w:tcPr>
            <w:tcW w:w="7159" w:type="dxa"/>
          </w:tcPr>
          <w:p w14:paraId="10408C18" w14:textId="77777777" w:rsidR="000A27F5" w:rsidRPr="00BF46A2" w:rsidRDefault="000A27F5" w:rsidP="00B3403C">
            <w:r w:rsidRPr="00BF46A2">
              <w:t>Documents for approval</w:t>
            </w:r>
          </w:p>
        </w:tc>
        <w:tc>
          <w:tcPr>
            <w:tcW w:w="2338" w:type="dxa"/>
          </w:tcPr>
          <w:p w14:paraId="174B3948" w14:textId="5F9FD493" w:rsidR="000A27F5" w:rsidRPr="00BF46A2" w:rsidRDefault="000A27F5" w:rsidP="00B3403C">
            <w:pPr>
              <w:jc w:val="center"/>
            </w:pPr>
            <w:r w:rsidRPr="00BF46A2">
              <w:t>218, 224</w:t>
            </w:r>
          </w:p>
        </w:tc>
      </w:tr>
      <w:tr w:rsidR="000A27F5" w:rsidRPr="00BF46A2" w14:paraId="1E847A0A" w14:textId="77777777" w:rsidTr="003415F3">
        <w:tc>
          <w:tcPr>
            <w:tcW w:w="534" w:type="dxa"/>
          </w:tcPr>
          <w:p w14:paraId="4A885534" w14:textId="77777777" w:rsidR="000A27F5" w:rsidRPr="00BF46A2" w:rsidRDefault="000A27F5" w:rsidP="00B3403C">
            <w:r w:rsidRPr="00BF46A2">
              <w:t>5</w:t>
            </w:r>
          </w:p>
        </w:tc>
        <w:tc>
          <w:tcPr>
            <w:tcW w:w="7159" w:type="dxa"/>
          </w:tcPr>
          <w:p w14:paraId="6B3982CE" w14:textId="77777777" w:rsidR="000A27F5" w:rsidRPr="00BF46A2" w:rsidRDefault="000A27F5" w:rsidP="00B3403C">
            <w:r w:rsidRPr="00BF46A2">
              <w:t>Documents for noting</w:t>
            </w:r>
          </w:p>
        </w:tc>
        <w:tc>
          <w:tcPr>
            <w:tcW w:w="2338" w:type="dxa"/>
          </w:tcPr>
          <w:p w14:paraId="185C0DA7" w14:textId="6C7F02EB" w:rsidR="000A27F5" w:rsidRPr="00BF46A2" w:rsidRDefault="000A27F5" w:rsidP="00B3403C">
            <w:pPr>
              <w:jc w:val="center"/>
            </w:pPr>
            <w:r w:rsidRPr="00BF46A2">
              <w:t>207, 208, 213, 221, 222</w:t>
            </w:r>
          </w:p>
        </w:tc>
      </w:tr>
      <w:tr w:rsidR="000A27F5" w:rsidRPr="00BF46A2" w14:paraId="25B798DB" w14:textId="77777777" w:rsidTr="003415F3">
        <w:tc>
          <w:tcPr>
            <w:tcW w:w="534" w:type="dxa"/>
          </w:tcPr>
          <w:p w14:paraId="5B4A9837" w14:textId="77777777" w:rsidR="000A27F5" w:rsidRPr="00BF46A2" w:rsidRDefault="000A27F5" w:rsidP="00B3403C">
            <w:r w:rsidRPr="00BF46A2">
              <w:t>6</w:t>
            </w:r>
          </w:p>
        </w:tc>
        <w:tc>
          <w:tcPr>
            <w:tcW w:w="7159" w:type="dxa"/>
          </w:tcPr>
          <w:p w14:paraId="57BE53DD" w14:textId="77777777" w:rsidR="000A27F5" w:rsidRPr="00BF46A2" w:rsidRDefault="000A27F5" w:rsidP="00B3403C">
            <w:r w:rsidRPr="00BF46A2">
              <w:t>Statement by the Chair of RRB</w:t>
            </w:r>
          </w:p>
        </w:tc>
        <w:tc>
          <w:tcPr>
            <w:tcW w:w="2338" w:type="dxa"/>
          </w:tcPr>
          <w:p w14:paraId="3BA435FA" w14:textId="1C61F69C" w:rsidR="000A27F5" w:rsidRPr="00BF46A2" w:rsidRDefault="00103055" w:rsidP="00B3403C">
            <w:pPr>
              <w:jc w:val="center"/>
            </w:pPr>
            <w:r w:rsidRPr="00BF46A2">
              <w:t>–</w:t>
            </w:r>
          </w:p>
        </w:tc>
      </w:tr>
      <w:tr w:rsidR="000A27F5" w:rsidRPr="00BF46A2" w14:paraId="24BDFC19" w14:textId="77777777" w:rsidTr="003415F3">
        <w:tc>
          <w:tcPr>
            <w:tcW w:w="534" w:type="dxa"/>
          </w:tcPr>
          <w:p w14:paraId="0F6FC5A8" w14:textId="77777777" w:rsidR="000A27F5" w:rsidRPr="00BF46A2" w:rsidRDefault="000A27F5" w:rsidP="00B3403C">
            <w:r w:rsidRPr="00BF46A2">
              <w:t>7</w:t>
            </w:r>
          </w:p>
        </w:tc>
        <w:tc>
          <w:tcPr>
            <w:tcW w:w="7159" w:type="dxa"/>
          </w:tcPr>
          <w:p w14:paraId="4DFE6512" w14:textId="77777777" w:rsidR="000A27F5" w:rsidRPr="00BF46A2" w:rsidRDefault="000A27F5" w:rsidP="00B3403C">
            <w:r w:rsidRPr="00BF46A2">
              <w:t>Statement by a delegation</w:t>
            </w:r>
          </w:p>
        </w:tc>
        <w:tc>
          <w:tcPr>
            <w:tcW w:w="2338" w:type="dxa"/>
          </w:tcPr>
          <w:p w14:paraId="33782F5E" w14:textId="64B25047" w:rsidR="000A27F5" w:rsidRPr="00BF46A2" w:rsidRDefault="00103055" w:rsidP="00B3403C">
            <w:pPr>
              <w:jc w:val="center"/>
            </w:pPr>
            <w:r w:rsidRPr="00BF46A2">
              <w:t>–</w:t>
            </w:r>
          </w:p>
        </w:tc>
      </w:tr>
    </w:tbl>
    <w:p w14:paraId="277D017B" w14:textId="77777777" w:rsidR="000A27F5" w:rsidRPr="00BF46A2" w:rsidRDefault="000A27F5" w:rsidP="00B3403C">
      <w:pPr>
        <w:spacing w:line="480" w:lineRule="auto"/>
      </w:pPr>
      <w:r w:rsidRPr="00BF46A2">
        <w:br w:type="page"/>
      </w:r>
    </w:p>
    <w:p w14:paraId="01AEA095" w14:textId="7ECC24EB" w:rsidR="000A27F5" w:rsidRPr="00BF46A2" w:rsidRDefault="000A27F5" w:rsidP="00D81374">
      <w:pPr>
        <w:pStyle w:val="Heading1"/>
      </w:pPr>
      <w:r w:rsidRPr="00BF46A2">
        <w:lastRenderedPageBreak/>
        <w:t>1</w:t>
      </w:r>
      <w:r w:rsidRPr="00BF46A2">
        <w:tab/>
        <w:t xml:space="preserve">Tribute to the </w:t>
      </w:r>
      <w:r w:rsidR="00BD5ED4" w:rsidRPr="00BF46A2">
        <w:t xml:space="preserve">late </w:t>
      </w:r>
      <w:r w:rsidRPr="00BF46A2">
        <w:t xml:space="preserve">Chair of </w:t>
      </w:r>
      <w:r w:rsidR="00BD5ED4" w:rsidRPr="00BF46A2">
        <w:t xml:space="preserve">the </w:t>
      </w:r>
      <w:r w:rsidRPr="00BF46A2">
        <w:t>CEPT</w:t>
      </w:r>
      <w:r w:rsidR="00BD5ED4" w:rsidRPr="00BF46A2">
        <w:t xml:space="preserve"> Conference Preparatory Group</w:t>
      </w:r>
    </w:p>
    <w:p w14:paraId="23531FE4" w14:textId="00E41B38" w:rsidR="000A27F5" w:rsidRPr="00BF46A2" w:rsidRDefault="00BD5ED4" w:rsidP="00D81374">
      <w:r w:rsidRPr="00BF46A2">
        <w:t>1.1</w:t>
      </w:r>
      <w:r w:rsidRPr="00BF46A2">
        <w:tab/>
      </w:r>
      <w:r w:rsidR="000A27F5" w:rsidRPr="00BF46A2">
        <w:t xml:space="preserve">The </w:t>
      </w:r>
      <w:r w:rsidRPr="00BF46A2">
        <w:rPr>
          <w:b/>
          <w:bCs/>
        </w:rPr>
        <w:t xml:space="preserve">representative </w:t>
      </w:r>
      <w:r w:rsidR="000A27F5" w:rsidRPr="00BF46A2">
        <w:rPr>
          <w:b/>
          <w:bCs/>
        </w:rPr>
        <w:t>of CEPT</w:t>
      </w:r>
      <w:r w:rsidR="000A27F5" w:rsidRPr="00BF46A2">
        <w:t xml:space="preserve"> paid tribute to his predecessor</w:t>
      </w:r>
      <w:r w:rsidRPr="00BF46A2">
        <w:t xml:space="preserve"> as Chair of the CEPT Conference Preparatory Group (CPG)</w:t>
      </w:r>
      <w:r w:rsidR="000A27F5" w:rsidRPr="00BF46A2">
        <w:t>, Mr Alexand</w:t>
      </w:r>
      <w:r w:rsidR="00753AD1" w:rsidRPr="00BF46A2">
        <w:t>re</w:t>
      </w:r>
      <w:r w:rsidR="000A27F5" w:rsidRPr="00BF46A2">
        <w:t xml:space="preserve"> Kholod, who </w:t>
      </w:r>
      <w:r w:rsidR="009644AB" w:rsidRPr="00BF46A2">
        <w:t xml:space="preserve">had been an influential figure in global spectrum management and </w:t>
      </w:r>
      <w:r w:rsidR="000A27F5" w:rsidRPr="00BF46A2">
        <w:t xml:space="preserve">had </w:t>
      </w:r>
      <w:r w:rsidR="009644AB" w:rsidRPr="00BF46A2">
        <w:t xml:space="preserve">sadly </w:t>
      </w:r>
      <w:r w:rsidR="000A27F5" w:rsidRPr="00BF46A2">
        <w:t>passed away in June 2023.</w:t>
      </w:r>
    </w:p>
    <w:p w14:paraId="46FB244E" w14:textId="46609B80" w:rsidR="000A27F5" w:rsidRPr="00BF46A2" w:rsidRDefault="00BD5ED4" w:rsidP="00D81374">
      <w:r w:rsidRPr="00BF46A2">
        <w:t>1.2</w:t>
      </w:r>
      <w:r w:rsidRPr="00BF46A2">
        <w:tab/>
      </w:r>
      <w:r w:rsidR="000A27F5" w:rsidRPr="00BF46A2">
        <w:t xml:space="preserve">The conference watched a slide show </w:t>
      </w:r>
      <w:r w:rsidR="009644AB" w:rsidRPr="00BF46A2">
        <w:t xml:space="preserve">in </w:t>
      </w:r>
      <w:r w:rsidR="000A27F5" w:rsidRPr="00BF46A2">
        <w:t>Mr</w:t>
      </w:r>
      <w:r w:rsidR="009644AB" w:rsidRPr="00BF46A2">
        <w:t> </w:t>
      </w:r>
      <w:r w:rsidR="000A27F5" w:rsidRPr="00BF46A2">
        <w:t xml:space="preserve">Kholod’s </w:t>
      </w:r>
      <w:r w:rsidR="009644AB" w:rsidRPr="00BF46A2">
        <w:t>honour created</w:t>
      </w:r>
      <w:r w:rsidR="000A27F5" w:rsidRPr="00BF46A2">
        <w:t xml:space="preserve"> by the Swiss delegation.</w:t>
      </w:r>
    </w:p>
    <w:p w14:paraId="2BAC90D7" w14:textId="4FF9884D" w:rsidR="000A27F5" w:rsidRPr="00BF46A2" w:rsidRDefault="00BD5ED4" w:rsidP="00D81374">
      <w:r w:rsidRPr="00BF46A2">
        <w:t>1.3</w:t>
      </w:r>
      <w:r w:rsidRPr="00BF46A2">
        <w:tab/>
      </w:r>
      <w:r w:rsidR="000A27F5" w:rsidRPr="00BF46A2">
        <w:t xml:space="preserve">The </w:t>
      </w:r>
      <w:r w:rsidRPr="00BF46A2">
        <w:rPr>
          <w:b/>
          <w:bCs/>
        </w:rPr>
        <w:t xml:space="preserve">delegate </w:t>
      </w:r>
      <w:r w:rsidR="000A27F5" w:rsidRPr="00BF46A2">
        <w:rPr>
          <w:b/>
          <w:bCs/>
        </w:rPr>
        <w:t>of Switzerland</w:t>
      </w:r>
      <w:r w:rsidR="000A27F5" w:rsidRPr="00BF46A2">
        <w:t xml:space="preserve"> </w:t>
      </w:r>
      <w:r w:rsidR="008519C4" w:rsidRPr="00BF46A2">
        <w:t>expressed the Swiss Administration’s deep gratitude for all the many expressions of sympathy and tributes received following the untimely passing of</w:t>
      </w:r>
      <w:r w:rsidR="000A27F5" w:rsidRPr="00BF46A2">
        <w:t xml:space="preserve"> </w:t>
      </w:r>
      <w:r w:rsidR="008519C4" w:rsidRPr="00BF46A2">
        <w:t xml:space="preserve">a friend and </w:t>
      </w:r>
      <w:r w:rsidR="000A27F5" w:rsidRPr="00BF46A2">
        <w:t>colleague</w:t>
      </w:r>
      <w:r w:rsidR="008519C4" w:rsidRPr="00BF46A2">
        <w:t xml:space="preserve"> whose exceptional knowledge and competence </w:t>
      </w:r>
      <w:r w:rsidR="00E3139E" w:rsidRPr="00BF46A2">
        <w:t xml:space="preserve">were </w:t>
      </w:r>
      <w:r w:rsidR="008519C4" w:rsidRPr="00BF46A2">
        <w:t>widely acknowledged by the world spectrum-management community.</w:t>
      </w:r>
    </w:p>
    <w:p w14:paraId="26D9F346" w14:textId="32EECA3D" w:rsidR="009644AB" w:rsidRPr="00BF46A2" w:rsidRDefault="001E55D2" w:rsidP="00D81374">
      <w:r w:rsidRPr="00BF46A2">
        <w:t>1.4</w:t>
      </w:r>
      <w:r w:rsidRPr="00BF46A2">
        <w:tab/>
      </w:r>
      <w:r w:rsidR="000A27F5" w:rsidRPr="00BF46A2">
        <w:t xml:space="preserve">The </w:t>
      </w:r>
      <w:r w:rsidR="000A27F5" w:rsidRPr="00BF46A2">
        <w:rPr>
          <w:b/>
          <w:bCs/>
        </w:rPr>
        <w:t>Director of BR</w:t>
      </w:r>
      <w:r w:rsidR="000A27F5" w:rsidRPr="00BF46A2">
        <w:t xml:space="preserve"> </w:t>
      </w:r>
      <w:r w:rsidR="009644AB" w:rsidRPr="00BF46A2">
        <w:t>said that</w:t>
      </w:r>
      <w:r w:rsidR="000A27F5" w:rsidRPr="00BF46A2">
        <w:t xml:space="preserve"> it had been a pleasure to work</w:t>
      </w:r>
      <w:r w:rsidR="009644AB" w:rsidRPr="00BF46A2">
        <w:t xml:space="preserve"> with Mr Kholod </w:t>
      </w:r>
      <w:r w:rsidR="00753AD1" w:rsidRPr="00BF46A2">
        <w:rPr>
          <w:szCs w:val="24"/>
        </w:rPr>
        <w:t>and that he had left an inspirational legacy</w:t>
      </w:r>
      <w:r w:rsidR="000A27F5" w:rsidRPr="00BF46A2">
        <w:t>.</w:t>
      </w:r>
    </w:p>
    <w:p w14:paraId="2953A28B" w14:textId="3A602179" w:rsidR="009644AB" w:rsidRPr="00BF46A2" w:rsidRDefault="009644AB" w:rsidP="00D81374">
      <w:r w:rsidRPr="00BF46A2">
        <w:t>1.5</w:t>
      </w:r>
      <w:r w:rsidRPr="00BF46A2">
        <w:tab/>
      </w:r>
      <w:r w:rsidRPr="00BF46A2">
        <w:rPr>
          <w:rFonts w:eastAsia="Calibri"/>
          <w:kern w:val="2"/>
          <w:szCs w:val="24"/>
          <w14:ligatures w14:val="standardContextual"/>
        </w:rPr>
        <w:t xml:space="preserve">The </w:t>
      </w:r>
      <w:r w:rsidRPr="00BF46A2">
        <w:rPr>
          <w:rFonts w:eastAsia="Calibri"/>
          <w:b/>
          <w:bCs/>
          <w:kern w:val="2"/>
          <w:szCs w:val="24"/>
          <w14:ligatures w14:val="standardContextual"/>
        </w:rPr>
        <w:t>Chair</w:t>
      </w:r>
      <w:r w:rsidRPr="00BF46A2">
        <w:rPr>
          <w:rFonts w:eastAsia="Calibri"/>
          <w:kern w:val="2"/>
          <w:szCs w:val="24"/>
          <w14:ligatures w14:val="standardContextual"/>
        </w:rPr>
        <w:t xml:space="preserve"> offered condolences to Mr Kholod’s family and friends on behalf of the conference.</w:t>
      </w:r>
    </w:p>
    <w:p w14:paraId="48C156AB" w14:textId="77777777" w:rsidR="000A27F5" w:rsidRPr="00BF46A2" w:rsidRDefault="000A27F5" w:rsidP="00D81374">
      <w:pPr>
        <w:pStyle w:val="Heading1"/>
      </w:pPr>
      <w:r w:rsidRPr="00BF46A2">
        <w:t>2</w:t>
      </w:r>
      <w:r w:rsidRPr="00BF46A2">
        <w:tab/>
        <w:t>Statement by the Director of BR on World Television Day</w:t>
      </w:r>
    </w:p>
    <w:p w14:paraId="4B1C2B79" w14:textId="32709499" w:rsidR="001E55D2" w:rsidRPr="00BF46A2" w:rsidRDefault="00F6280C" w:rsidP="007E6B7D">
      <w:pPr>
        <w:rPr>
          <w:color w:val="244061" w:themeColor="accent1" w:themeShade="80"/>
          <w:szCs w:val="24"/>
        </w:rPr>
      </w:pPr>
      <w:r w:rsidRPr="00BF46A2">
        <w:rPr>
          <w:bCs/>
          <w:szCs w:val="24"/>
        </w:rPr>
        <w:t>2</w:t>
      </w:r>
      <w:r w:rsidR="001E55D2" w:rsidRPr="00BF46A2">
        <w:rPr>
          <w:bCs/>
          <w:szCs w:val="24"/>
        </w:rPr>
        <w:t>.</w:t>
      </w:r>
      <w:r w:rsidRPr="00BF46A2">
        <w:rPr>
          <w:bCs/>
          <w:szCs w:val="24"/>
        </w:rPr>
        <w:t>1</w:t>
      </w:r>
      <w:r w:rsidR="001E55D2" w:rsidRPr="00BF46A2">
        <w:rPr>
          <w:bCs/>
          <w:szCs w:val="24"/>
        </w:rPr>
        <w:tab/>
      </w:r>
      <w:r w:rsidR="000A27F5" w:rsidRPr="00BF46A2">
        <w:rPr>
          <w:szCs w:val="24"/>
        </w:rPr>
        <w:t xml:space="preserve">The </w:t>
      </w:r>
      <w:r w:rsidR="000A27F5" w:rsidRPr="00BF46A2">
        <w:rPr>
          <w:b/>
          <w:szCs w:val="24"/>
        </w:rPr>
        <w:t>Director of BR</w:t>
      </w:r>
      <w:r w:rsidR="000A27F5" w:rsidRPr="00BF46A2">
        <w:rPr>
          <w:szCs w:val="24"/>
        </w:rPr>
        <w:t xml:space="preserve"> delivered </w:t>
      </w:r>
      <w:r w:rsidR="00C50A1D" w:rsidRPr="00BF46A2">
        <w:rPr>
          <w:szCs w:val="24"/>
        </w:rPr>
        <w:t xml:space="preserve">the </w:t>
      </w:r>
      <w:r w:rsidR="000A27F5" w:rsidRPr="00BF46A2">
        <w:rPr>
          <w:szCs w:val="24"/>
        </w:rPr>
        <w:t>statement to mark World Television Day</w:t>
      </w:r>
      <w:r w:rsidR="00C50A1D" w:rsidRPr="00BF46A2">
        <w:t xml:space="preserve"> </w:t>
      </w:r>
      <w:r w:rsidR="00C50A1D" w:rsidRPr="00BF46A2">
        <w:rPr>
          <w:szCs w:val="24"/>
        </w:rPr>
        <w:t>reproduced in Annex A</w:t>
      </w:r>
      <w:r w:rsidR="000A27F5" w:rsidRPr="00BF46A2">
        <w:rPr>
          <w:szCs w:val="24"/>
        </w:rPr>
        <w:t>.</w:t>
      </w:r>
      <w:r w:rsidR="000A27F5" w:rsidRPr="00BF46A2">
        <w:rPr>
          <w:color w:val="244061" w:themeColor="accent1" w:themeShade="80"/>
          <w:szCs w:val="24"/>
        </w:rPr>
        <w:t xml:space="preserve"> </w:t>
      </w:r>
    </w:p>
    <w:p w14:paraId="342FCCC2" w14:textId="77777777" w:rsidR="000A27F5" w:rsidRPr="00BF46A2" w:rsidRDefault="000A27F5" w:rsidP="00D81374">
      <w:pPr>
        <w:pStyle w:val="Heading1"/>
      </w:pPr>
      <w:r w:rsidRPr="00BF46A2">
        <w:t>3</w:t>
      </w:r>
      <w:r w:rsidRPr="00BF46A2">
        <w:tab/>
        <w:t>Oral reports by the Chairs of Committees 4, 5 and 6</w:t>
      </w:r>
    </w:p>
    <w:p w14:paraId="28CEEB52" w14:textId="469E4E0D" w:rsidR="000A27F5" w:rsidRPr="00BF46A2" w:rsidRDefault="00F6280C" w:rsidP="007E6B7D">
      <w:r w:rsidRPr="00BF46A2">
        <w:t>3.1</w:t>
      </w:r>
      <w:r w:rsidR="000A27F5" w:rsidRPr="00BF46A2">
        <w:tab/>
        <w:t xml:space="preserve">The </w:t>
      </w:r>
      <w:r w:rsidR="000A27F5" w:rsidRPr="00BF46A2">
        <w:rPr>
          <w:b/>
          <w:bCs/>
        </w:rPr>
        <w:t>Chair of Committee 4</w:t>
      </w:r>
      <w:r w:rsidR="000A27F5" w:rsidRPr="00BF46A2">
        <w:t xml:space="preserve"> reported that the committee had held its first meeting, </w:t>
      </w:r>
      <w:r w:rsidRPr="00BF46A2">
        <w:t>established</w:t>
      </w:r>
      <w:r w:rsidR="000A27F5" w:rsidRPr="00BF46A2">
        <w:t xml:space="preserve"> three working groups </w:t>
      </w:r>
      <w:bookmarkStart w:id="2" w:name="_Hlk151666465"/>
      <w:r w:rsidR="000A27F5" w:rsidRPr="00BF46A2">
        <w:t xml:space="preserve">and appointed their respective </w:t>
      </w:r>
      <w:r w:rsidRPr="00BF46A2">
        <w:t>c</w:t>
      </w:r>
      <w:r w:rsidR="000A27F5" w:rsidRPr="00BF46A2">
        <w:t>hairs</w:t>
      </w:r>
      <w:bookmarkEnd w:id="2"/>
      <w:r w:rsidR="000A27F5" w:rsidRPr="00BF46A2">
        <w:t xml:space="preserve">. The working groups had held their first meetings and set up sub-working groups to take up different items. All groups were still in the initial phase of their work. </w:t>
      </w:r>
      <w:bookmarkStart w:id="3" w:name="_Hlk151643365"/>
      <w:r w:rsidR="000A27F5" w:rsidRPr="00BF46A2">
        <w:t>On agenda item 9.1 (</w:t>
      </w:r>
      <w:r w:rsidRPr="00BF46A2">
        <w:t>T</w:t>
      </w:r>
      <w:r w:rsidR="000A27F5" w:rsidRPr="00BF46A2">
        <w:t xml:space="preserve">opic C), </w:t>
      </w:r>
      <w:bookmarkEnd w:id="3"/>
      <w:r w:rsidR="000A27F5" w:rsidRPr="00BF46A2">
        <w:t xml:space="preserve">the </w:t>
      </w:r>
      <w:r w:rsidRPr="00BF46A2">
        <w:t>c</w:t>
      </w:r>
      <w:r w:rsidR="000A27F5" w:rsidRPr="00BF46A2">
        <w:t>ommittee had agreed on no changes to the Radio Regulations</w:t>
      </w:r>
      <w:r w:rsidR="00C705AB" w:rsidRPr="00BF46A2">
        <w:t xml:space="preserve"> and</w:t>
      </w:r>
      <w:r w:rsidR="000A27F5" w:rsidRPr="00BF46A2">
        <w:t xml:space="preserve"> suppression of Resolution 175 (WRC-19)</w:t>
      </w:r>
      <w:r w:rsidR="006068FF" w:rsidRPr="00BF46A2">
        <w:t xml:space="preserve"> and a </w:t>
      </w:r>
      <w:r w:rsidR="00C43B74" w:rsidRPr="00BF46A2">
        <w:t>document</w:t>
      </w:r>
      <w:r w:rsidR="006068FF" w:rsidRPr="00BF46A2">
        <w:t xml:space="preserve"> would be submitted to the Plenary in that regard</w:t>
      </w:r>
      <w:r w:rsidR="00995D74" w:rsidRPr="00BF46A2">
        <w:t xml:space="preserve"> via Committee 7</w:t>
      </w:r>
      <w:r w:rsidR="006068FF" w:rsidRPr="00BF46A2">
        <w:t>.</w:t>
      </w:r>
    </w:p>
    <w:p w14:paraId="25266F26" w14:textId="705D9CED" w:rsidR="000A27F5" w:rsidRPr="00BF46A2" w:rsidRDefault="00F6280C" w:rsidP="007E6B7D">
      <w:r w:rsidRPr="00BF46A2">
        <w:t>3.2</w:t>
      </w:r>
      <w:r w:rsidR="000A27F5" w:rsidRPr="00BF46A2">
        <w:tab/>
        <w:t xml:space="preserve">The oral report by the Chair of Committee 4 was </w:t>
      </w:r>
      <w:r w:rsidR="000A27F5" w:rsidRPr="00BF46A2">
        <w:rPr>
          <w:b/>
          <w:bCs/>
        </w:rPr>
        <w:t>noted</w:t>
      </w:r>
      <w:r w:rsidR="000A27F5" w:rsidRPr="00BF46A2">
        <w:rPr>
          <w:bCs/>
        </w:rPr>
        <w:t>.</w:t>
      </w:r>
    </w:p>
    <w:p w14:paraId="4E82CDC9" w14:textId="0A9E541F" w:rsidR="000A27F5" w:rsidRPr="00BF46A2" w:rsidRDefault="00F6280C" w:rsidP="007E6B7D">
      <w:r w:rsidRPr="00BF46A2">
        <w:t>3.3</w:t>
      </w:r>
      <w:r w:rsidR="000A27F5" w:rsidRPr="00BF46A2">
        <w:tab/>
        <w:t xml:space="preserve">The </w:t>
      </w:r>
      <w:r w:rsidR="000A27F5" w:rsidRPr="00BF46A2">
        <w:rPr>
          <w:b/>
          <w:bCs/>
        </w:rPr>
        <w:t>Chair of Committee 5</w:t>
      </w:r>
      <w:r w:rsidR="000A27F5" w:rsidRPr="00BF46A2">
        <w:t xml:space="preserve"> said that her committee had held its first meeting</w:t>
      </w:r>
      <w:r w:rsidR="00753AD1" w:rsidRPr="00BF46A2">
        <w:t>,</w:t>
      </w:r>
      <w:r w:rsidR="000A27F5" w:rsidRPr="00BF46A2">
        <w:t xml:space="preserve"> established three working groups</w:t>
      </w:r>
      <w:r w:rsidR="00753AD1" w:rsidRPr="00BF46A2">
        <w:t xml:space="preserve"> (</w:t>
      </w:r>
      <w:r w:rsidR="000A27F5" w:rsidRPr="00BF46A2">
        <w:t>Working Group 5A on science</w:t>
      </w:r>
      <w:r w:rsidRPr="00BF46A2">
        <w:t>,</w:t>
      </w:r>
      <w:r w:rsidR="000A27F5" w:rsidRPr="00BF46A2">
        <w:t xml:space="preserve"> Working Group 5B on satellite allocation and Working Group 5C on satellite regulatory matters</w:t>
      </w:r>
      <w:r w:rsidR="00753AD1" w:rsidRPr="00BF46A2">
        <w:t>) and appointed their respective chairs</w:t>
      </w:r>
      <w:r w:rsidR="000A27F5" w:rsidRPr="00BF46A2">
        <w:t xml:space="preserve">. The working groups had already met and </w:t>
      </w:r>
      <w:r w:rsidRPr="00BF46A2">
        <w:t xml:space="preserve">set up </w:t>
      </w:r>
      <w:r w:rsidR="000A27F5" w:rsidRPr="00BF46A2">
        <w:t xml:space="preserve">sub-working groups, which had also held their initial meetings. </w:t>
      </w:r>
      <w:r w:rsidR="006068FF" w:rsidRPr="00BF46A2">
        <w:t>Having</w:t>
      </w:r>
      <w:r w:rsidR="000A27F5" w:rsidRPr="00BF46A2">
        <w:t xml:space="preserve"> agreed to address several topics under agenda item 7</w:t>
      </w:r>
      <w:r w:rsidR="006068FF" w:rsidRPr="00BF46A2">
        <w:t xml:space="preserve"> directly at </w:t>
      </w:r>
      <w:r w:rsidR="00E3139E" w:rsidRPr="00BF46A2">
        <w:t xml:space="preserve">the </w:t>
      </w:r>
      <w:r w:rsidR="006068FF" w:rsidRPr="00BF46A2">
        <w:t xml:space="preserve">committee level, </w:t>
      </w:r>
      <w:r w:rsidR="000A27F5" w:rsidRPr="00BF46A2">
        <w:t xml:space="preserve">the </w:t>
      </w:r>
      <w:r w:rsidR="006068FF" w:rsidRPr="00BF46A2">
        <w:t>c</w:t>
      </w:r>
      <w:r w:rsidR="000A27F5" w:rsidRPr="00BF46A2">
        <w:t xml:space="preserve">ommittee </w:t>
      </w:r>
      <w:r w:rsidR="006068FF" w:rsidRPr="00BF46A2">
        <w:t xml:space="preserve">would be </w:t>
      </w:r>
      <w:r w:rsidR="00995D74" w:rsidRPr="00BF46A2">
        <w:t>reviewing</w:t>
      </w:r>
      <w:r w:rsidR="006068FF" w:rsidRPr="00BF46A2">
        <w:t xml:space="preserve"> </w:t>
      </w:r>
      <w:r w:rsidR="00995D74" w:rsidRPr="00BF46A2">
        <w:t>tex</w:t>
      </w:r>
      <w:r w:rsidR="000A27F5" w:rsidRPr="00BF46A2">
        <w:t xml:space="preserve">ts on </w:t>
      </w:r>
      <w:r w:rsidR="006068FF" w:rsidRPr="00BF46A2">
        <w:t>T</w:t>
      </w:r>
      <w:r w:rsidR="000A27F5" w:rsidRPr="00BF46A2">
        <w:t>opics D1, D3 and K</w:t>
      </w:r>
      <w:r w:rsidR="006068FF" w:rsidRPr="00BF46A2">
        <w:t xml:space="preserve"> for</w:t>
      </w:r>
      <w:r w:rsidR="000A27F5" w:rsidRPr="00BF46A2">
        <w:t xml:space="preserve"> submi</w:t>
      </w:r>
      <w:r w:rsidR="00564452" w:rsidRPr="00BF46A2">
        <w:t>ssion</w:t>
      </w:r>
      <w:r w:rsidR="000A27F5" w:rsidRPr="00BF46A2">
        <w:t xml:space="preserve"> </w:t>
      </w:r>
      <w:r w:rsidR="00564452" w:rsidRPr="00BF46A2">
        <w:t xml:space="preserve">of a </w:t>
      </w:r>
      <w:r w:rsidR="00995D74" w:rsidRPr="00BF46A2">
        <w:t>document</w:t>
      </w:r>
      <w:r w:rsidR="00564452" w:rsidRPr="00BF46A2">
        <w:t xml:space="preserve"> </w:t>
      </w:r>
      <w:r w:rsidR="006068FF" w:rsidRPr="00BF46A2">
        <w:t>to</w:t>
      </w:r>
      <w:r w:rsidR="000A27F5" w:rsidRPr="00BF46A2">
        <w:t xml:space="preserve"> the Plenary</w:t>
      </w:r>
      <w:r w:rsidR="00995D74" w:rsidRPr="00BF46A2">
        <w:t xml:space="preserve"> via Committee 7</w:t>
      </w:r>
      <w:r w:rsidR="000A27F5" w:rsidRPr="00BF46A2">
        <w:t xml:space="preserve">. She also noted that good progress had been made regarding 41 </w:t>
      </w:r>
      <w:r w:rsidRPr="00BF46A2">
        <w:t>a</w:t>
      </w:r>
      <w:r w:rsidR="000A27F5" w:rsidRPr="00BF46A2">
        <w:t xml:space="preserve">dministrations that had submitted requests under Resolution 559 (WRC-19), and Working Group 5C had agreed to the inclusion </w:t>
      </w:r>
      <w:r w:rsidR="00995D74" w:rsidRPr="00BF46A2">
        <w:t xml:space="preserve">of their assignments </w:t>
      </w:r>
      <w:r w:rsidR="000A27F5" w:rsidRPr="00BF46A2">
        <w:t>in the Plan.</w:t>
      </w:r>
    </w:p>
    <w:p w14:paraId="0B1D6EB7" w14:textId="1420CD8D" w:rsidR="000A27F5" w:rsidRPr="00BF46A2" w:rsidRDefault="001C702D" w:rsidP="007E6B7D">
      <w:r w:rsidRPr="00BF46A2">
        <w:t>3.4</w:t>
      </w:r>
      <w:r w:rsidR="000A27F5" w:rsidRPr="00BF46A2">
        <w:tab/>
        <w:t xml:space="preserve">The oral report by the Chair of Committee 5 was </w:t>
      </w:r>
      <w:r w:rsidR="000A27F5" w:rsidRPr="00BF46A2">
        <w:rPr>
          <w:b/>
          <w:bCs/>
        </w:rPr>
        <w:t>noted</w:t>
      </w:r>
      <w:r w:rsidR="000A27F5" w:rsidRPr="00BF46A2">
        <w:rPr>
          <w:bCs/>
        </w:rPr>
        <w:t>.</w:t>
      </w:r>
    </w:p>
    <w:p w14:paraId="032D1C08" w14:textId="5844966F" w:rsidR="000A27F5" w:rsidRPr="00BF46A2" w:rsidRDefault="001C702D" w:rsidP="007E6B7D">
      <w:r w:rsidRPr="00BF46A2">
        <w:t>3.5</w:t>
      </w:r>
      <w:r w:rsidR="000A27F5" w:rsidRPr="00BF46A2">
        <w:tab/>
        <w:t xml:space="preserve">The </w:t>
      </w:r>
      <w:r w:rsidR="000A27F5" w:rsidRPr="00BF46A2">
        <w:rPr>
          <w:b/>
          <w:bCs/>
        </w:rPr>
        <w:t>Chair of Committee 6</w:t>
      </w:r>
      <w:r w:rsidR="000A27F5" w:rsidRPr="00BF46A2">
        <w:t xml:space="preserve"> reported that his committee had held its first meeting, </w:t>
      </w:r>
      <w:r w:rsidR="00CA2CE9" w:rsidRPr="00BF46A2">
        <w:t>establishing</w:t>
      </w:r>
      <w:r w:rsidR="000A27F5" w:rsidRPr="00BF46A2">
        <w:t xml:space="preserve"> two working groups</w:t>
      </w:r>
      <w:r w:rsidR="00CA2CE9" w:rsidRPr="00BF46A2">
        <w:t xml:space="preserve"> </w:t>
      </w:r>
      <w:r w:rsidR="000A27F5" w:rsidRPr="00BF46A2">
        <w:t>and appointing their respective chairs. The working groups had already begun their deliberations. During its initial meeting, the committee had discussed guiding principles for the consideration of specific items</w:t>
      </w:r>
      <w:r w:rsidR="00D750E8" w:rsidRPr="00BF46A2">
        <w:t>.</w:t>
      </w:r>
      <w:r w:rsidR="000A27F5" w:rsidRPr="00BF46A2">
        <w:t xml:space="preserve"> </w:t>
      </w:r>
      <w:r w:rsidR="009A7C4C" w:rsidRPr="00BF46A2">
        <w:t>P</w:t>
      </w:r>
      <w:r w:rsidR="00EC79BF" w:rsidRPr="00BF46A2">
        <w:t>r</w:t>
      </w:r>
      <w:r w:rsidR="009A7C4C" w:rsidRPr="00BF46A2">
        <w:t xml:space="preserve">inciples for the treatment of </w:t>
      </w:r>
      <w:r w:rsidR="000A27F5" w:rsidRPr="00BF46A2">
        <w:t xml:space="preserve">proposals submitted on the deletion </w:t>
      </w:r>
      <w:r w:rsidR="009F2DCC" w:rsidRPr="00BF46A2">
        <w:t>(</w:t>
      </w:r>
      <w:r w:rsidR="00391540" w:rsidRPr="00BF46A2">
        <w:t xml:space="preserve">agenda item </w:t>
      </w:r>
      <w:r w:rsidR="009F2DCC" w:rsidRPr="00BF46A2">
        <w:t xml:space="preserve">8) </w:t>
      </w:r>
      <w:r w:rsidR="000A27F5" w:rsidRPr="00BF46A2">
        <w:t>or addition of country names from or to existing footnotes</w:t>
      </w:r>
      <w:r w:rsidR="00315E57" w:rsidRPr="00BF46A2">
        <w:t xml:space="preserve"> would </w:t>
      </w:r>
      <w:r w:rsidR="000A27F5" w:rsidRPr="00BF46A2">
        <w:t xml:space="preserve">be submitted for </w:t>
      </w:r>
      <w:r w:rsidR="00C422F4" w:rsidRPr="00BF46A2">
        <w:t xml:space="preserve">endorsement </w:t>
      </w:r>
      <w:r w:rsidR="000A27F5" w:rsidRPr="00BF46A2">
        <w:t>by the Plenary</w:t>
      </w:r>
      <w:r w:rsidR="009A7C4C" w:rsidRPr="00BF46A2">
        <w:t xml:space="preserve">. In respect of </w:t>
      </w:r>
      <w:r w:rsidR="000A27F5" w:rsidRPr="00BF46A2">
        <w:t xml:space="preserve">the agenda of the next </w:t>
      </w:r>
      <w:r w:rsidR="00CA2CE9" w:rsidRPr="00BF46A2">
        <w:t>WRC</w:t>
      </w:r>
      <w:r w:rsidR="000A27F5" w:rsidRPr="00BF46A2">
        <w:t xml:space="preserve">, </w:t>
      </w:r>
      <w:r w:rsidR="009A7C4C" w:rsidRPr="00BF46A2">
        <w:t xml:space="preserve">the committee would begin with the </w:t>
      </w:r>
      <w:r w:rsidR="000A27F5" w:rsidRPr="00BF46A2">
        <w:t>revision of Resolution 804 (</w:t>
      </w:r>
      <w:r w:rsidR="00391540" w:rsidRPr="00BF46A2">
        <w:t>Rev.</w:t>
      </w:r>
      <w:r w:rsidR="000A27F5" w:rsidRPr="00BF46A2">
        <w:t>WRC-19)</w:t>
      </w:r>
      <w:r w:rsidR="009A7C4C" w:rsidRPr="00BF46A2">
        <w:t>,</w:t>
      </w:r>
      <w:r w:rsidR="000A27F5" w:rsidRPr="00BF46A2">
        <w:t xml:space="preserve"> and </w:t>
      </w:r>
      <w:r w:rsidR="009A7C4C" w:rsidRPr="00BF46A2">
        <w:t xml:space="preserve">determine </w:t>
      </w:r>
      <w:r w:rsidR="000A27F5" w:rsidRPr="00BF46A2">
        <w:t xml:space="preserve">principles for </w:t>
      </w:r>
      <w:r w:rsidR="009A7C4C" w:rsidRPr="00BF46A2">
        <w:lastRenderedPageBreak/>
        <w:t xml:space="preserve">addressing </w:t>
      </w:r>
      <w:r w:rsidR="000A27F5" w:rsidRPr="00BF46A2">
        <w:t xml:space="preserve">the substance of </w:t>
      </w:r>
      <w:r w:rsidR="00391540" w:rsidRPr="00BF46A2">
        <w:t xml:space="preserve">agenda item </w:t>
      </w:r>
      <w:r w:rsidR="000A27F5" w:rsidRPr="00BF46A2">
        <w:t xml:space="preserve">10. </w:t>
      </w:r>
      <w:r w:rsidR="009A7C4C" w:rsidRPr="00BF46A2">
        <w:t>Finally, t</w:t>
      </w:r>
      <w:r w:rsidR="000A27F5" w:rsidRPr="00BF46A2">
        <w:t xml:space="preserve">wo documents </w:t>
      </w:r>
      <w:r w:rsidR="009A7C4C" w:rsidRPr="00BF46A2">
        <w:t xml:space="preserve">(Documents 218 and 224) </w:t>
      </w:r>
      <w:r w:rsidR="000A27F5" w:rsidRPr="00BF46A2">
        <w:t xml:space="preserve">had been </w:t>
      </w:r>
      <w:r w:rsidR="009A7C4C" w:rsidRPr="00BF46A2">
        <w:t xml:space="preserve">prepared </w:t>
      </w:r>
      <w:r w:rsidR="000A27F5" w:rsidRPr="00BF46A2">
        <w:t xml:space="preserve">for consideration by </w:t>
      </w:r>
      <w:r w:rsidR="00995D74" w:rsidRPr="00BF46A2">
        <w:t xml:space="preserve">the </w:t>
      </w:r>
      <w:r w:rsidR="000A27F5" w:rsidRPr="00BF46A2">
        <w:t xml:space="preserve">Plenary </w:t>
      </w:r>
      <w:r w:rsidR="009A7C4C" w:rsidRPr="00BF46A2">
        <w:t xml:space="preserve">at its present </w:t>
      </w:r>
      <w:r w:rsidR="000A27F5" w:rsidRPr="00BF46A2">
        <w:t>meeting</w:t>
      </w:r>
      <w:r w:rsidR="009A7C4C" w:rsidRPr="00BF46A2">
        <w:t>.</w:t>
      </w:r>
    </w:p>
    <w:p w14:paraId="7498FF33" w14:textId="03F31BF2" w:rsidR="000A27F5" w:rsidRPr="00BF46A2" w:rsidRDefault="009A7C4C" w:rsidP="007E6B7D">
      <w:r w:rsidRPr="00BF46A2">
        <w:t>3.6</w:t>
      </w:r>
      <w:r w:rsidR="000A27F5" w:rsidRPr="00BF46A2">
        <w:tab/>
        <w:t xml:space="preserve">The oral report by the Chair of Committee 6 was </w:t>
      </w:r>
      <w:r w:rsidR="000A27F5" w:rsidRPr="00BF46A2">
        <w:rPr>
          <w:b/>
          <w:bCs/>
        </w:rPr>
        <w:t>noted</w:t>
      </w:r>
      <w:r w:rsidR="000A27F5" w:rsidRPr="00BF46A2">
        <w:rPr>
          <w:bCs/>
        </w:rPr>
        <w:t>.</w:t>
      </w:r>
    </w:p>
    <w:p w14:paraId="2C832C62" w14:textId="77777777" w:rsidR="000A27F5" w:rsidRPr="00BF46A2" w:rsidRDefault="000A27F5" w:rsidP="00D81374">
      <w:pPr>
        <w:pStyle w:val="Heading1"/>
      </w:pPr>
      <w:r w:rsidRPr="00BF46A2">
        <w:t>4</w:t>
      </w:r>
      <w:r w:rsidRPr="00BF46A2">
        <w:tab/>
        <w:t>Documents for approval (Documents 218 and 224)</w:t>
      </w:r>
    </w:p>
    <w:p w14:paraId="3F4A88E3" w14:textId="0D29DF7A" w:rsidR="000A27F5" w:rsidRPr="00BF46A2" w:rsidRDefault="00666EC1" w:rsidP="00D81374">
      <w:r w:rsidRPr="00BF46A2">
        <w:t>4.1</w:t>
      </w:r>
      <w:r w:rsidR="000A27F5" w:rsidRPr="00BF46A2">
        <w:tab/>
        <w:t xml:space="preserve">The </w:t>
      </w:r>
      <w:r w:rsidR="000A27F5" w:rsidRPr="00BF46A2">
        <w:rPr>
          <w:b/>
          <w:bCs/>
        </w:rPr>
        <w:t>Chair of Committee 6</w:t>
      </w:r>
      <w:r w:rsidR="000A27F5" w:rsidRPr="00BF46A2">
        <w:t xml:space="preserve"> introduced Document 218, which contained a joint note by the Chairs of Committees 4, 5 and 6 on consideration of relevant parts of the </w:t>
      </w:r>
      <w:r w:rsidRPr="00BF46A2">
        <w:t>R</w:t>
      </w:r>
      <w:r w:rsidR="000A27F5" w:rsidRPr="00BF46A2">
        <w:t xml:space="preserve">eport of the Director on </w:t>
      </w:r>
      <w:r w:rsidRPr="00BF46A2">
        <w:t xml:space="preserve">ITU-R </w:t>
      </w:r>
      <w:r w:rsidR="000A27F5" w:rsidRPr="00BF46A2">
        <w:t xml:space="preserve">activities. To avoid duplication and enable the </w:t>
      </w:r>
      <w:r w:rsidRPr="00BF46A2">
        <w:t>c</w:t>
      </w:r>
      <w:r w:rsidR="000A27F5" w:rsidRPr="00BF46A2">
        <w:t xml:space="preserve">ommittees to start their consideration of </w:t>
      </w:r>
      <w:r w:rsidR="00753AD1" w:rsidRPr="00BF46A2">
        <w:t>the report</w:t>
      </w:r>
      <w:r w:rsidR="000A27F5" w:rsidRPr="00BF46A2">
        <w:t xml:space="preserve">, the </w:t>
      </w:r>
      <w:r w:rsidRPr="00BF46A2">
        <w:t>c</w:t>
      </w:r>
      <w:r w:rsidR="000A27F5" w:rsidRPr="00BF46A2">
        <w:t xml:space="preserve">hairs had agreed on the allocation of the relevant parts of Document 4, as set out in the </w:t>
      </w:r>
      <w:r w:rsidRPr="00BF46A2">
        <w:t>a</w:t>
      </w:r>
      <w:r w:rsidR="000A27F5" w:rsidRPr="00BF46A2">
        <w:t>nnex</w:t>
      </w:r>
      <w:r w:rsidRPr="00BF46A2">
        <w:t>es</w:t>
      </w:r>
      <w:r w:rsidR="000A27F5" w:rsidRPr="00BF46A2">
        <w:t xml:space="preserve"> to Document 218. Non-editorial issues related to terrestrial or satellite services would be allocated to Committees 4 and 5 and all other issues to Committee 6.</w:t>
      </w:r>
    </w:p>
    <w:p w14:paraId="29724BC6" w14:textId="5EC9457A" w:rsidR="000A27F5" w:rsidRPr="00BF46A2" w:rsidRDefault="00666EC1" w:rsidP="00D81374">
      <w:r w:rsidRPr="00BF46A2">
        <w:t>4.2</w:t>
      </w:r>
      <w:r w:rsidR="000A27F5" w:rsidRPr="00BF46A2">
        <w:tab/>
        <w:t xml:space="preserve">Document 218 was </w:t>
      </w:r>
      <w:r w:rsidR="000A27F5" w:rsidRPr="00BF46A2">
        <w:rPr>
          <w:b/>
          <w:bCs/>
        </w:rPr>
        <w:t>approved</w:t>
      </w:r>
      <w:r w:rsidR="000A27F5" w:rsidRPr="00BF46A2">
        <w:t>.</w:t>
      </w:r>
    </w:p>
    <w:p w14:paraId="20D1C692" w14:textId="6C2D39E5" w:rsidR="000A27F5" w:rsidRPr="00BF46A2" w:rsidRDefault="00666EC1" w:rsidP="00D81374">
      <w:r w:rsidRPr="00BF46A2">
        <w:t>4.3</w:t>
      </w:r>
      <w:r w:rsidR="000A27F5" w:rsidRPr="00BF46A2">
        <w:tab/>
        <w:t xml:space="preserve">The </w:t>
      </w:r>
      <w:r w:rsidR="000A27F5" w:rsidRPr="00BF46A2">
        <w:rPr>
          <w:b/>
          <w:bCs/>
        </w:rPr>
        <w:t>Chair of Committee 6</w:t>
      </w:r>
      <w:r w:rsidR="000A27F5" w:rsidRPr="00BF46A2">
        <w:t xml:space="preserve"> said that Document 224, a note by the Chair of Committee</w:t>
      </w:r>
      <w:r w:rsidR="00995D74" w:rsidRPr="00BF46A2">
        <w:t> </w:t>
      </w:r>
      <w:r w:rsidR="000A27F5" w:rsidRPr="00BF46A2">
        <w:t xml:space="preserve">6 to the Plenary, concerned the treatment of editorial corrections to the Radio Regulations (agenda item 9.2). In line with </w:t>
      </w:r>
      <w:r w:rsidR="00A54ACF" w:rsidRPr="00BF46A2">
        <w:t xml:space="preserve">the </w:t>
      </w:r>
      <w:r w:rsidRPr="00BF46A2">
        <w:t>approach adopted</w:t>
      </w:r>
      <w:r w:rsidR="000A27F5" w:rsidRPr="00BF46A2">
        <w:t xml:space="preserve"> at </w:t>
      </w:r>
      <w:r w:rsidR="00C43B74" w:rsidRPr="00BF46A2">
        <w:t>previous</w:t>
      </w:r>
      <w:r w:rsidR="000A27F5" w:rsidRPr="00BF46A2">
        <w:t xml:space="preserve"> WRC</w:t>
      </w:r>
      <w:r w:rsidR="00C43B74" w:rsidRPr="00BF46A2">
        <w:t>s</w:t>
      </w:r>
      <w:r w:rsidR="000A27F5" w:rsidRPr="00BF46A2">
        <w:t xml:space="preserve">, such editorial corrections </w:t>
      </w:r>
      <w:r w:rsidRPr="00BF46A2">
        <w:t xml:space="preserve">would be </w:t>
      </w:r>
      <w:r w:rsidR="00753AD1" w:rsidRPr="00BF46A2">
        <w:t xml:space="preserve">compiled </w:t>
      </w:r>
      <w:r w:rsidR="000A27F5" w:rsidRPr="00BF46A2">
        <w:t xml:space="preserve">and forwarded in a separate communication to Committee 7, to be consolidated for consideration by the Plenary. They </w:t>
      </w:r>
      <w:r w:rsidRPr="00BF46A2">
        <w:t xml:space="preserve">would </w:t>
      </w:r>
      <w:r w:rsidR="000A27F5" w:rsidRPr="00BF46A2">
        <w:t xml:space="preserve">not appear in the </w:t>
      </w:r>
      <w:r w:rsidR="00F677B1" w:rsidRPr="00BF46A2">
        <w:t>f</w:t>
      </w:r>
      <w:r w:rsidR="000A27F5" w:rsidRPr="00BF46A2">
        <w:t xml:space="preserve">inal </w:t>
      </w:r>
      <w:r w:rsidR="00F677B1" w:rsidRPr="00BF46A2">
        <w:t>a</w:t>
      </w:r>
      <w:r w:rsidR="000A27F5" w:rsidRPr="00BF46A2">
        <w:t xml:space="preserve">cts but </w:t>
      </w:r>
      <w:r w:rsidR="00F677B1" w:rsidRPr="00BF46A2">
        <w:t xml:space="preserve">would </w:t>
      </w:r>
      <w:r w:rsidR="000A27F5" w:rsidRPr="00BF46A2">
        <w:t xml:space="preserve">ultimately </w:t>
      </w:r>
      <w:r w:rsidR="00F677B1" w:rsidRPr="00BF46A2">
        <w:t xml:space="preserve">be </w:t>
      </w:r>
      <w:r w:rsidR="000A27F5" w:rsidRPr="00BF46A2">
        <w:t xml:space="preserve">incorporated in the </w:t>
      </w:r>
      <w:r w:rsidR="00F677B1" w:rsidRPr="00BF46A2">
        <w:t xml:space="preserve">subsequent edition </w:t>
      </w:r>
      <w:r w:rsidR="000A27F5" w:rsidRPr="00BF46A2">
        <w:t>of the Radio Regulations.</w:t>
      </w:r>
    </w:p>
    <w:p w14:paraId="2ABB8823" w14:textId="72D7B619" w:rsidR="000A27F5" w:rsidRPr="00BF46A2" w:rsidRDefault="00F677B1" w:rsidP="00D81374">
      <w:r w:rsidRPr="00BF46A2">
        <w:t>4.4</w:t>
      </w:r>
      <w:r w:rsidR="000A27F5" w:rsidRPr="00BF46A2">
        <w:tab/>
        <w:t xml:space="preserve">Document 224 was </w:t>
      </w:r>
      <w:r w:rsidR="000A27F5" w:rsidRPr="00BF46A2">
        <w:rPr>
          <w:b/>
          <w:bCs/>
        </w:rPr>
        <w:t>approved</w:t>
      </w:r>
      <w:r w:rsidR="000A27F5" w:rsidRPr="00BF46A2">
        <w:t>.</w:t>
      </w:r>
    </w:p>
    <w:p w14:paraId="776269EC" w14:textId="77777777" w:rsidR="000A27F5" w:rsidRPr="00BF46A2" w:rsidRDefault="000A27F5" w:rsidP="00D81374">
      <w:pPr>
        <w:pStyle w:val="Heading1"/>
      </w:pPr>
      <w:bookmarkStart w:id="4" w:name="_Hlk151654926"/>
      <w:r w:rsidRPr="00BF46A2">
        <w:t>5</w:t>
      </w:r>
      <w:r w:rsidRPr="00BF46A2">
        <w:tab/>
        <w:t>Documents for noting (Documents 207, 208, 213, 221 and 222)</w:t>
      </w:r>
    </w:p>
    <w:p w14:paraId="15868051" w14:textId="36BB54B7" w:rsidR="000A27F5" w:rsidRPr="00BF46A2" w:rsidRDefault="00F677B1" w:rsidP="00D81374">
      <w:r w:rsidRPr="00BF46A2">
        <w:t>5.1</w:t>
      </w:r>
      <w:r w:rsidR="000A27F5" w:rsidRPr="00BF46A2">
        <w:tab/>
        <w:t xml:space="preserve">The </w:t>
      </w:r>
      <w:r w:rsidR="00502BAE" w:rsidRPr="00BF46A2">
        <w:rPr>
          <w:b/>
          <w:bCs/>
        </w:rPr>
        <w:t>Secretary of the Plenary</w:t>
      </w:r>
      <w:r w:rsidR="00502BAE" w:rsidRPr="00BF46A2">
        <w:t xml:space="preserve"> </w:t>
      </w:r>
      <w:r w:rsidR="000A27F5" w:rsidRPr="00BF46A2">
        <w:t xml:space="preserve">drew attention to Documents 207, 208 and 222, which reflected the decisions taken by the conference at the first plenary meeting concerning, respectively, the list of chairs and vice-chairs of the conference; the conference secretariat; and the conference structure. </w:t>
      </w:r>
      <w:r w:rsidR="00502BAE" w:rsidRPr="00BF46A2">
        <w:t xml:space="preserve">She </w:t>
      </w:r>
      <w:r w:rsidR="000A27F5" w:rsidRPr="00BF46A2">
        <w:t>also introduced Document</w:t>
      </w:r>
      <w:r w:rsidR="00502BAE" w:rsidRPr="00BF46A2">
        <w:t xml:space="preserve"> 221, containing the conference schedule approved by the Steering Committee at its first meeting, </w:t>
      </w:r>
      <w:r w:rsidR="000A27F5" w:rsidRPr="00BF46A2">
        <w:t xml:space="preserve">and </w:t>
      </w:r>
      <w:r w:rsidR="00502BAE" w:rsidRPr="00BF46A2">
        <w:t>Document 213</w:t>
      </w:r>
      <w:r w:rsidR="000A27F5" w:rsidRPr="00BF46A2">
        <w:t xml:space="preserve">, </w:t>
      </w:r>
      <w:r w:rsidR="00502BAE" w:rsidRPr="00BF46A2">
        <w:t>setting out</w:t>
      </w:r>
      <w:r w:rsidR="000A27F5" w:rsidRPr="00BF46A2">
        <w:t xml:space="preserve"> the terms of reference and working methods of </w:t>
      </w:r>
      <w:r w:rsidR="00502BAE" w:rsidRPr="00BF46A2">
        <w:t xml:space="preserve">the Editorial </w:t>
      </w:r>
      <w:r w:rsidR="000A27F5" w:rsidRPr="00BF46A2">
        <w:t>Committee.</w:t>
      </w:r>
    </w:p>
    <w:p w14:paraId="63F56762" w14:textId="20954DEC" w:rsidR="000A27F5" w:rsidRPr="00BF46A2" w:rsidRDefault="00ED0B45" w:rsidP="00D81374">
      <w:r w:rsidRPr="00BF46A2">
        <w:t>5.2</w:t>
      </w:r>
      <w:r w:rsidR="000A27F5" w:rsidRPr="00BF46A2">
        <w:tab/>
        <w:t xml:space="preserve">Documents 207, 208, 213, 221 and 222 were </w:t>
      </w:r>
      <w:r w:rsidR="000A27F5" w:rsidRPr="00BF46A2">
        <w:rPr>
          <w:b/>
          <w:bCs/>
        </w:rPr>
        <w:t>noted</w:t>
      </w:r>
      <w:r w:rsidR="000A27F5" w:rsidRPr="00BF46A2">
        <w:t>.</w:t>
      </w:r>
    </w:p>
    <w:bookmarkEnd w:id="4"/>
    <w:p w14:paraId="588C1123" w14:textId="77777777" w:rsidR="000A27F5" w:rsidRPr="00BF46A2" w:rsidRDefault="000A27F5" w:rsidP="00D81374">
      <w:pPr>
        <w:pStyle w:val="Heading1"/>
      </w:pPr>
      <w:r w:rsidRPr="00BF46A2">
        <w:t>6</w:t>
      </w:r>
      <w:r w:rsidRPr="00BF46A2">
        <w:tab/>
        <w:t>Statement by the Chair of RRB</w:t>
      </w:r>
    </w:p>
    <w:p w14:paraId="107A5332" w14:textId="65A8BE4A" w:rsidR="000A27F5" w:rsidRPr="00BF46A2" w:rsidRDefault="00ED0B45" w:rsidP="00D81374">
      <w:r w:rsidRPr="00BF46A2">
        <w:t>6.1</w:t>
      </w:r>
      <w:r w:rsidR="000A27F5" w:rsidRPr="00BF46A2">
        <w:tab/>
        <w:t xml:space="preserve">The </w:t>
      </w:r>
      <w:r w:rsidR="000A27F5" w:rsidRPr="00BF46A2">
        <w:rPr>
          <w:b/>
          <w:bCs/>
        </w:rPr>
        <w:t>Chair of RRB</w:t>
      </w:r>
      <w:r w:rsidR="000A27F5" w:rsidRPr="00BF46A2">
        <w:t xml:space="preserve"> congratulated the Chair on his appointment and wished him all the best in the role. He thanked the United Arab Emirates for its excellent organization of </w:t>
      </w:r>
      <w:r w:rsidR="00753AD1" w:rsidRPr="00BF46A2">
        <w:t xml:space="preserve">WRC-23 </w:t>
      </w:r>
      <w:r w:rsidR="000A27F5" w:rsidRPr="00BF46A2">
        <w:t>and for its generous hospitality. In particular, he thanked the Director General of the Telecommunications and Digital Government Regulatory Authority and his staff for their efforts to ensure the success of the conference. Wishing the conference every success in achieving universally satisfactory outcomes, he reaffirmed that RRB stood ready to support the Chair and the Member States throughout the conference.</w:t>
      </w:r>
    </w:p>
    <w:p w14:paraId="3FD652B9" w14:textId="77777777" w:rsidR="000A27F5" w:rsidRPr="00BF46A2" w:rsidRDefault="000A27F5" w:rsidP="00D81374">
      <w:pPr>
        <w:pStyle w:val="Heading1"/>
      </w:pPr>
      <w:r w:rsidRPr="00BF46A2">
        <w:lastRenderedPageBreak/>
        <w:t>7</w:t>
      </w:r>
      <w:r w:rsidRPr="00BF46A2">
        <w:tab/>
        <w:t>Statement by a delegation</w:t>
      </w:r>
    </w:p>
    <w:p w14:paraId="1C304778" w14:textId="5756F639" w:rsidR="0090686C" w:rsidRPr="00BF46A2" w:rsidRDefault="00ED0B45" w:rsidP="00B700CE">
      <w:pPr>
        <w:keepNext/>
      </w:pPr>
      <w:r w:rsidRPr="00BF46A2">
        <w:t>7.1</w:t>
      </w:r>
      <w:r w:rsidR="000A27F5" w:rsidRPr="00BF46A2">
        <w:tab/>
        <w:t xml:space="preserve">The </w:t>
      </w:r>
      <w:r w:rsidR="000A27F5" w:rsidRPr="00BF46A2">
        <w:rPr>
          <w:b/>
          <w:bCs/>
        </w:rPr>
        <w:t>delegate of the Islamic Republic of Iran</w:t>
      </w:r>
      <w:r w:rsidR="000A27F5" w:rsidRPr="00BF46A2">
        <w:t xml:space="preserve"> delivered the statement reproduced in Annex </w:t>
      </w:r>
      <w:r w:rsidR="00CD6BB9" w:rsidRPr="00BF46A2">
        <w:t>B</w:t>
      </w:r>
      <w:r w:rsidR="000A27F5" w:rsidRPr="00BF46A2">
        <w:t>.</w:t>
      </w:r>
    </w:p>
    <w:p w14:paraId="03328C48" w14:textId="5CB3B3FF" w:rsidR="000A27F5" w:rsidRPr="00BF46A2" w:rsidRDefault="000A27F5" w:rsidP="00B700CE">
      <w:pPr>
        <w:keepNext/>
        <w:spacing w:after="120"/>
        <w:rPr>
          <w:b/>
          <w:bCs/>
        </w:rPr>
      </w:pPr>
      <w:r w:rsidRPr="00BF46A2">
        <w:rPr>
          <w:b/>
          <w:bCs/>
        </w:rPr>
        <w:t>The meeting rose at 1625 hours.</w:t>
      </w:r>
    </w:p>
    <w:p w14:paraId="30445976" w14:textId="77777777" w:rsidR="00391540" w:rsidRPr="00BF46A2" w:rsidRDefault="00391540" w:rsidP="00B700CE">
      <w:pPr>
        <w:keepNext/>
        <w:spacing w:after="120"/>
        <w:rPr>
          <w:b/>
          <w:bCs/>
        </w:rPr>
      </w:pPr>
    </w:p>
    <w:p w14:paraId="6DE0F86A" w14:textId="07F00D88" w:rsidR="00C50A1D" w:rsidRPr="00BF46A2" w:rsidRDefault="00C50A1D" w:rsidP="00B700CE">
      <w:pPr>
        <w:keepNext/>
        <w:tabs>
          <w:tab w:val="clear" w:pos="1134"/>
          <w:tab w:val="clear" w:pos="1871"/>
          <w:tab w:val="clear" w:pos="2268"/>
          <w:tab w:val="left" w:pos="6804"/>
        </w:tabs>
      </w:pPr>
      <w:r w:rsidRPr="00BF46A2">
        <w:t>The Secretary-General:</w:t>
      </w:r>
      <w:r w:rsidRPr="00BF46A2">
        <w:tab/>
        <w:t>The Chair:</w:t>
      </w:r>
      <w:r w:rsidR="00B700CE" w:rsidRPr="00BF46A2">
        <w:br/>
      </w:r>
      <w:r w:rsidRPr="00BF46A2">
        <w:t>D. BOGDAN-MARTIN</w:t>
      </w:r>
      <w:r w:rsidRPr="00BF46A2">
        <w:tab/>
        <w:t>M. AL RAMSI</w:t>
      </w:r>
    </w:p>
    <w:p w14:paraId="60EFBEC3" w14:textId="77777777" w:rsidR="007206CE" w:rsidRPr="00BF46A2" w:rsidRDefault="007206CE" w:rsidP="00B700CE">
      <w:pPr>
        <w:keepNext/>
        <w:spacing w:after="120"/>
        <w:rPr>
          <w:b/>
          <w:bCs/>
        </w:rPr>
      </w:pPr>
    </w:p>
    <w:p w14:paraId="212F0A2C" w14:textId="5CECB9FA" w:rsidR="00C50A1D" w:rsidRPr="00BF46A2" w:rsidRDefault="000A27F5" w:rsidP="00F514E1">
      <w:pPr>
        <w:spacing w:after="120"/>
        <w:rPr>
          <w:bCs/>
          <w:szCs w:val="24"/>
        </w:rPr>
      </w:pPr>
      <w:r w:rsidRPr="00BF46A2">
        <w:rPr>
          <w:b/>
          <w:szCs w:val="24"/>
        </w:rPr>
        <w:t>Annexes</w:t>
      </w:r>
      <w:r w:rsidRPr="00BF46A2">
        <w:rPr>
          <w:bCs/>
          <w:szCs w:val="24"/>
        </w:rPr>
        <w:t xml:space="preserve">: </w:t>
      </w:r>
      <w:r w:rsidR="00C50A1D" w:rsidRPr="00BF46A2">
        <w:rPr>
          <w:bCs/>
          <w:szCs w:val="24"/>
        </w:rPr>
        <w:t>2</w:t>
      </w:r>
    </w:p>
    <w:p w14:paraId="320F64AE" w14:textId="77777777" w:rsidR="00D81374" w:rsidRPr="00BF46A2" w:rsidRDefault="00D81374">
      <w:pPr>
        <w:tabs>
          <w:tab w:val="clear" w:pos="1134"/>
          <w:tab w:val="clear" w:pos="1871"/>
          <w:tab w:val="clear" w:pos="2268"/>
        </w:tabs>
        <w:overflowPunct/>
        <w:autoSpaceDE/>
        <w:autoSpaceDN/>
        <w:adjustRightInd/>
        <w:spacing w:before="0"/>
        <w:textAlignment w:val="auto"/>
      </w:pPr>
      <w:r w:rsidRPr="00BF46A2">
        <w:br w:type="page"/>
      </w:r>
    </w:p>
    <w:p w14:paraId="092FC909" w14:textId="13B56C7B" w:rsidR="00C50A1D" w:rsidRPr="00BF46A2" w:rsidRDefault="00C50A1D" w:rsidP="00C50A1D">
      <w:pPr>
        <w:spacing w:after="120"/>
        <w:jc w:val="right"/>
      </w:pPr>
      <w:r w:rsidRPr="00BF46A2">
        <w:lastRenderedPageBreak/>
        <w:t>Original: English</w:t>
      </w:r>
    </w:p>
    <w:p w14:paraId="09401F16" w14:textId="77777777" w:rsidR="00C50A1D" w:rsidRPr="00BF46A2" w:rsidRDefault="00C50A1D" w:rsidP="00B700CE">
      <w:pPr>
        <w:pStyle w:val="AnnexNo"/>
      </w:pPr>
      <w:r w:rsidRPr="00BF46A2">
        <w:t>ANNEX A</w:t>
      </w:r>
    </w:p>
    <w:p w14:paraId="127C9447" w14:textId="77777777" w:rsidR="00C50A1D" w:rsidRPr="00BF46A2" w:rsidRDefault="00C50A1D" w:rsidP="00C3200B">
      <w:pPr>
        <w:pStyle w:val="Annextitle"/>
      </w:pPr>
      <w:r w:rsidRPr="00BF46A2">
        <w:t xml:space="preserve">Statement by the Director of BR on World Television Day </w:t>
      </w:r>
    </w:p>
    <w:p w14:paraId="6495BF6C" w14:textId="4821CF31" w:rsidR="00C50A1D" w:rsidRPr="00BF46A2" w:rsidRDefault="00C50A1D" w:rsidP="00B700CE">
      <w:pPr>
        <w:pStyle w:val="Normalaftertitle"/>
      </w:pPr>
      <w:r w:rsidRPr="00BF46A2">
        <w:t>Today, on</w:t>
      </w:r>
      <w:r w:rsidR="00250FB3" w:rsidRPr="00BF46A2">
        <w:t xml:space="preserve"> </w:t>
      </w:r>
      <w:r w:rsidRPr="00BF46A2">
        <w:t xml:space="preserve">21 November, we celebrate World Television Day. </w:t>
      </w:r>
    </w:p>
    <w:p w14:paraId="5FDD7164" w14:textId="77777777" w:rsidR="00C50A1D" w:rsidRPr="00BF46A2" w:rsidRDefault="00C50A1D" w:rsidP="0096149F">
      <w:r w:rsidRPr="00BF46A2">
        <w:t>This year, ITU-R proudly received its third Emmy award for the development of high-dynamic range television, a result of many years of extensive work in ITU-R Study Group 6.</w:t>
      </w:r>
    </w:p>
    <w:p w14:paraId="4D53FD64" w14:textId="77777777" w:rsidR="00C50A1D" w:rsidRPr="00BF46A2" w:rsidRDefault="00C50A1D" w:rsidP="0096149F">
      <w:r w:rsidRPr="00BF46A2">
        <w:t>We take pride in ITU’s 75 years of efforts in developing new broadcasting standards and systems aligned with the latest cutting-edge technologies. This has made high-quality television available and affordable worldwide, particularly in remote areas.</w:t>
      </w:r>
    </w:p>
    <w:p w14:paraId="2A2CCD08" w14:textId="20D89A12" w:rsidR="00C50A1D" w:rsidRPr="00BF46A2" w:rsidRDefault="00C50A1D" w:rsidP="0096149F">
      <w:r w:rsidRPr="00BF46A2">
        <w:t xml:space="preserve">Since it released its first technical standards for television in 1949, ITU has consistently developed globally harmonized standards that have progressively enhanced television viewing experience, addressing both visual and audio quality. From early colour TV standards to developing parameters for 4:3 and widescreen 16:9 aspect ratio television, ITU has championed the switch to digital TV broadcasting and </w:t>
      </w:r>
      <w:r w:rsidR="000B6C99" w:rsidRPr="00BF46A2">
        <w:t>h</w:t>
      </w:r>
      <w:r w:rsidRPr="00BF46A2">
        <w:t>igh</w:t>
      </w:r>
      <w:r w:rsidR="000B6C99" w:rsidRPr="00BF46A2">
        <w:t>-d</w:t>
      </w:r>
      <w:r w:rsidRPr="00BF46A2">
        <w:t xml:space="preserve">efinition and </w:t>
      </w:r>
      <w:r w:rsidR="000B6C99" w:rsidRPr="00BF46A2">
        <w:t>u</w:t>
      </w:r>
      <w:r w:rsidRPr="00BF46A2">
        <w:t>ltra-</w:t>
      </w:r>
      <w:r w:rsidR="000B6C99" w:rsidRPr="00BF46A2">
        <w:t>h</w:t>
      </w:r>
      <w:r w:rsidRPr="00BF46A2">
        <w:t>igh-</w:t>
      </w:r>
      <w:r w:rsidR="000B6C99" w:rsidRPr="00BF46A2">
        <w:t>d</w:t>
      </w:r>
      <w:r w:rsidRPr="00BF46A2">
        <w:t xml:space="preserve">efinition </w:t>
      </w:r>
      <w:r w:rsidR="000B6C99" w:rsidRPr="00BF46A2">
        <w:t>t</w:t>
      </w:r>
      <w:r w:rsidRPr="00BF46A2">
        <w:t>elevision. These transitions enabled more services, and improved picture and sound quality.</w:t>
      </w:r>
    </w:p>
    <w:p w14:paraId="13C26E5F" w14:textId="56E1F134" w:rsidR="00C50A1D" w:rsidRPr="00BF46A2" w:rsidRDefault="00C50A1D" w:rsidP="0096149F">
      <w:r w:rsidRPr="00BF46A2">
        <w:t>ITU has been crucial in developing services that improve the accessibility of audiovisual content, leading to a massive increase in the availability of subtitles, audio description and multiple languages.</w:t>
      </w:r>
    </w:p>
    <w:p w14:paraId="2510EA69" w14:textId="34EF45D0" w:rsidR="00C50A1D" w:rsidRPr="00BF46A2" w:rsidRDefault="00C50A1D" w:rsidP="0096149F">
      <w:r w:rsidRPr="00BF46A2">
        <w:t>Today, the convergence of traditional broadcasting and Internet services is merging media content, data and applications using broadband networks delivered via terrestrial, satellite and Internet platforms. Streaming on multiple portable devices has made TV an integral part of life, accounting for 80 per cent of all consumer Internet traffic.</w:t>
      </w:r>
    </w:p>
    <w:p w14:paraId="14FD84F4" w14:textId="30958266" w:rsidR="00C50A1D" w:rsidRPr="00BF46A2" w:rsidRDefault="00C50A1D" w:rsidP="0096149F">
      <w:r w:rsidRPr="00BF46A2">
        <w:t>Exciting recent developments include DVB-I, integrating broadband applications into broadcast services, and 5G Broadcast, leveraging technologies from mobile networks to maximi</w:t>
      </w:r>
      <w:r w:rsidR="000B6C99" w:rsidRPr="00BF46A2">
        <w:t>z</w:t>
      </w:r>
      <w:r w:rsidRPr="00BF46A2">
        <w:t xml:space="preserve">e reach on handheld devices. You can explore these developments in the Exhibition Area near this </w:t>
      </w:r>
      <w:r w:rsidR="000B6C99" w:rsidRPr="00BF46A2">
        <w:t>p</w:t>
      </w:r>
      <w:r w:rsidRPr="00BF46A2">
        <w:t xml:space="preserve">lenary room. </w:t>
      </w:r>
    </w:p>
    <w:p w14:paraId="5CE25111" w14:textId="77777777" w:rsidR="00C50A1D" w:rsidRPr="00BF46A2" w:rsidRDefault="00C50A1D" w:rsidP="0096149F">
      <w:r w:rsidRPr="00BF46A2">
        <w:t xml:space="preserve">Ladies and gentlemen, </w:t>
      </w:r>
    </w:p>
    <w:p w14:paraId="644DF612" w14:textId="714CDD81" w:rsidR="00C50A1D" w:rsidRPr="00BF46A2" w:rsidRDefault="00C50A1D" w:rsidP="0096149F">
      <w:r w:rsidRPr="00BF46A2">
        <w:t>Please join me in celebrating World TV Day and applauding the achievements in broadcast technologies that have connected our world to information and knowledge, transforming it into a global village.</w:t>
      </w:r>
    </w:p>
    <w:p w14:paraId="667AAE71" w14:textId="68B996C1" w:rsidR="000A27F5" w:rsidRPr="00BF46A2" w:rsidRDefault="000A27F5" w:rsidP="00F514E1">
      <w:pPr>
        <w:spacing w:after="120"/>
        <w:jc w:val="center"/>
        <w:rPr>
          <w:bCs/>
          <w:szCs w:val="24"/>
        </w:rPr>
      </w:pPr>
      <w:r w:rsidRPr="00BF46A2">
        <w:rPr>
          <w:bCs/>
          <w:szCs w:val="24"/>
        </w:rPr>
        <w:br w:type="page"/>
      </w:r>
    </w:p>
    <w:p w14:paraId="0B8307A9" w14:textId="77777777" w:rsidR="000A27F5" w:rsidRPr="00BF46A2" w:rsidRDefault="000A27F5" w:rsidP="007E6B7D">
      <w:pPr>
        <w:spacing w:after="120"/>
        <w:jc w:val="right"/>
      </w:pPr>
      <w:bookmarkStart w:id="5" w:name="_Hlk151633703"/>
      <w:r w:rsidRPr="00BF46A2">
        <w:lastRenderedPageBreak/>
        <w:t>Original: English</w:t>
      </w:r>
    </w:p>
    <w:p w14:paraId="3CC9935F" w14:textId="72B84297" w:rsidR="000A27F5" w:rsidRPr="00BF46A2" w:rsidRDefault="000A27F5" w:rsidP="0096149F">
      <w:pPr>
        <w:pStyle w:val="AnnexNo"/>
      </w:pPr>
      <w:r w:rsidRPr="00BF46A2">
        <w:t xml:space="preserve">ANNEX </w:t>
      </w:r>
      <w:r w:rsidR="00091C85" w:rsidRPr="00BF46A2">
        <w:t>B</w:t>
      </w:r>
    </w:p>
    <w:p w14:paraId="658944C3" w14:textId="6B6D2E0F" w:rsidR="00C94989" w:rsidRPr="00BF46A2" w:rsidRDefault="000A27F5" w:rsidP="0096149F">
      <w:pPr>
        <w:pStyle w:val="Annextitle"/>
      </w:pPr>
      <w:r w:rsidRPr="00BF46A2">
        <w:t xml:space="preserve">Statement by the </w:t>
      </w:r>
      <w:r w:rsidR="009F2DCC" w:rsidRPr="00BF46A2">
        <w:t xml:space="preserve">delegate of the </w:t>
      </w:r>
      <w:r w:rsidRPr="00BF46A2">
        <w:t>Islamic Republic of Iran</w:t>
      </w:r>
    </w:p>
    <w:p w14:paraId="34D6A2A1" w14:textId="568CF3A1" w:rsidR="00397A3F" w:rsidRPr="00BF46A2" w:rsidRDefault="00397A3F" w:rsidP="0096149F">
      <w:pPr>
        <w:pStyle w:val="Normalaftertitle"/>
      </w:pPr>
      <w:r w:rsidRPr="00BF46A2">
        <w:t>Dear Chairman,</w:t>
      </w:r>
    </w:p>
    <w:p w14:paraId="4906A7DB" w14:textId="77777777" w:rsidR="00397A3F" w:rsidRPr="00BF46A2" w:rsidRDefault="00397A3F" w:rsidP="0096149F">
      <w:r w:rsidRPr="00BF46A2">
        <w:t>This is the first time that I’m taking the floor in this conference, so I would like to congratulate you and your team for holding this great event.</w:t>
      </w:r>
    </w:p>
    <w:p w14:paraId="1F625799" w14:textId="77777777" w:rsidR="00397A3F" w:rsidRPr="00BF46A2" w:rsidRDefault="00397A3F" w:rsidP="0096149F">
      <w:r w:rsidRPr="00BF46A2">
        <w:t xml:space="preserve">Regarding the ongoing catastrophic situation in occupied Palestine and Gaza Strip, I want to echo what was stated earlier by some governments such as Palestine, Saudi </w:t>
      </w:r>
      <w:proofErr w:type="gramStart"/>
      <w:r w:rsidRPr="00BF46A2">
        <w:t>Arabia</w:t>
      </w:r>
      <w:proofErr w:type="gramEnd"/>
      <w:r w:rsidRPr="00BF46A2">
        <w:t xml:space="preserve"> and Egypt.</w:t>
      </w:r>
    </w:p>
    <w:p w14:paraId="1AC756A9" w14:textId="77777777" w:rsidR="00397A3F" w:rsidRPr="00BF46A2" w:rsidRDefault="00397A3F" w:rsidP="0096149F">
      <w:r w:rsidRPr="00BF46A2">
        <w:t xml:space="preserve">We know very well that for more than 75 years, the Palestinian people have been the victim of severe aggression, violence, racial </w:t>
      </w:r>
      <w:proofErr w:type="gramStart"/>
      <w:r w:rsidRPr="00BF46A2">
        <w:t>discrimination</w:t>
      </w:r>
      <w:proofErr w:type="gramEnd"/>
      <w:r w:rsidRPr="00BF46A2">
        <w:t xml:space="preserve"> and apartheid policies. There is no need to remind my distinguished colleagues of all that painful history. Nor do we have the time or ability to name the more than 13 000 innocent humans killed just recently in the carpet-bombing of Gaza, more than 7 000 of them women and children! Just as a reference and to give you an idea, it is in the order of 10 times all the esteemed participants present in this hall right now.</w:t>
      </w:r>
    </w:p>
    <w:p w14:paraId="6C544F35" w14:textId="77777777" w:rsidR="00397A3F" w:rsidRPr="00BF46A2" w:rsidRDefault="00397A3F" w:rsidP="0096149F">
      <w:r w:rsidRPr="00BF46A2">
        <w:t xml:space="preserve">Unequivocally and in the strongest possible terms, this Administration condemns all crimes of the Israeli regime against Palestinians, especially the ongoing indiscriminate attacks which have resulted in a complete cut in communications and Internet services in the Gaza Strip. Although it is not surprising news, as even hospitals and schools are being attacked, </w:t>
      </w:r>
      <w:proofErr w:type="gramStart"/>
      <w:r w:rsidRPr="00BF46A2">
        <w:t>blocked</w:t>
      </w:r>
      <w:proofErr w:type="gramEnd"/>
      <w:r w:rsidRPr="00BF46A2">
        <w:t xml:space="preserve"> and forced to stop serving people, I should nonetheless bring to your attention that heavy bombing has led to the drastic destruction of feeder lines, towers and networks, in addition to many other vital infrastructures.</w:t>
      </w:r>
    </w:p>
    <w:p w14:paraId="3643F1C3" w14:textId="786B3CD4" w:rsidR="00397A3F" w:rsidRPr="00BF46A2" w:rsidRDefault="00397A3F" w:rsidP="0096149F">
      <w:r w:rsidRPr="00BF46A2">
        <w:t>The Islamic Republic of Iran reiterates its support for the just cause of the Palestinian people and the full realization of all their absolute rights, particularly their inherent right to self-determination.</w:t>
      </w:r>
    </w:p>
    <w:p w14:paraId="4A2D57E0" w14:textId="77777777" w:rsidR="00397A3F" w:rsidRPr="00BF46A2" w:rsidRDefault="00397A3F" w:rsidP="0096149F">
      <w:r w:rsidRPr="00BF46A2">
        <w:t>Thank you.</w:t>
      </w:r>
    </w:p>
    <w:p w14:paraId="5C884836" w14:textId="77777777" w:rsidR="00C94989" w:rsidRPr="00BF46A2" w:rsidRDefault="00C94989" w:rsidP="00F514E1"/>
    <w:bookmarkEnd w:id="5"/>
    <w:p w14:paraId="7047F385" w14:textId="30E25367" w:rsidR="00C50A1D" w:rsidRPr="00BF46A2" w:rsidRDefault="00C3200B" w:rsidP="00F514E1">
      <w:pPr>
        <w:jc w:val="center"/>
      </w:pPr>
      <w:r w:rsidRPr="00BF46A2">
        <w:t>______________</w:t>
      </w:r>
    </w:p>
    <w:sectPr w:rsidR="00C50A1D" w:rsidRPr="00BF46A2">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EA1C" w14:textId="77777777" w:rsidR="0054728D" w:rsidRDefault="0054728D">
      <w:r>
        <w:separator/>
      </w:r>
    </w:p>
  </w:endnote>
  <w:endnote w:type="continuationSeparator" w:id="0">
    <w:p w14:paraId="1E1B02A7" w14:textId="77777777" w:rsidR="0054728D" w:rsidRDefault="0054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27EE" w14:textId="77777777" w:rsidR="00E45D05" w:rsidRDefault="00E45D05">
    <w:pPr>
      <w:framePr w:wrap="around" w:vAnchor="text" w:hAnchor="margin" w:xAlign="right" w:y="1"/>
    </w:pPr>
    <w:r>
      <w:fldChar w:fldCharType="begin"/>
    </w:r>
    <w:r>
      <w:instrText xml:space="preserve">PAGE  </w:instrText>
    </w:r>
    <w:r>
      <w:fldChar w:fldCharType="end"/>
    </w:r>
  </w:p>
  <w:p w14:paraId="57E2B571" w14:textId="010B0C9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135A5">
      <w:rPr>
        <w:noProof/>
        <w:lang w:val="en-US"/>
      </w:rPr>
      <w:t>C:\Users\pitt\Documents\WRC-PV\PL2\DRAFTS\PLENARY 2 - FINAL (clean).docx</w:t>
    </w:r>
    <w:r>
      <w:fldChar w:fldCharType="end"/>
    </w:r>
    <w:r w:rsidRPr="0041348E">
      <w:rPr>
        <w:lang w:val="en-US"/>
      </w:rPr>
      <w:tab/>
    </w:r>
    <w:r>
      <w:fldChar w:fldCharType="begin"/>
    </w:r>
    <w:r>
      <w:instrText xml:space="preserve"> SAVEDATE \@ DD.MM.YY </w:instrText>
    </w:r>
    <w:r>
      <w:fldChar w:fldCharType="separate"/>
    </w:r>
    <w:r w:rsidR="00B700CE">
      <w:rPr>
        <w:noProof/>
      </w:rPr>
      <w:t>28.11.23</w:t>
    </w:r>
    <w:r>
      <w:fldChar w:fldCharType="end"/>
    </w:r>
    <w:r w:rsidRPr="0041348E">
      <w:rPr>
        <w:lang w:val="en-US"/>
      </w:rPr>
      <w:tab/>
    </w:r>
    <w:r>
      <w:fldChar w:fldCharType="begin"/>
    </w:r>
    <w:r>
      <w:instrText xml:space="preserve"> PRINTDATE \@ DD.MM.YY </w:instrText>
    </w:r>
    <w:r>
      <w:fldChar w:fldCharType="separate"/>
    </w:r>
    <w:r w:rsidR="00A135A5">
      <w:rPr>
        <w:noProof/>
      </w:rPr>
      <w:t>24.11.23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E0B3" w14:textId="61C14379" w:rsidR="00D81374" w:rsidRDefault="00D81374">
    <w:pPr>
      <w:pStyle w:val="Footer"/>
    </w:pPr>
    <w:r>
      <w:fldChar w:fldCharType="begin"/>
    </w:r>
    <w:r w:rsidRPr="00B700CE">
      <w:instrText xml:space="preserve"> FILENAME \p \* MERGEFORMAT </w:instrText>
    </w:r>
    <w:r>
      <w:fldChar w:fldCharType="separate"/>
    </w:r>
    <w:r w:rsidRPr="00B700CE">
      <w:t>P:\ENG\ITU-R\CONF-R\CMR23\200\258E.docx</w:t>
    </w:r>
    <w:r>
      <w:fldChar w:fldCharType="end"/>
    </w:r>
    <w:r w:rsidRPr="00B700CE">
      <w:t xml:space="preserve"> (531889)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E699" w14:textId="3247C875" w:rsidR="00D81374" w:rsidRPr="00B700CE" w:rsidRDefault="00BD182F">
    <w:pPr>
      <w:pStyle w:val="Footer"/>
    </w:pPr>
    <w:fldSimple w:instr=" FILENAME \p \* MERGEFORMAT ">
      <w:r w:rsidR="00D81374">
        <w:t>P:\ENG\ITU-R\CONF-R\CMR23\200\258E.docx</w:t>
      </w:r>
    </w:fldSimple>
    <w:r w:rsidR="00D81374">
      <w:t xml:space="preserve"> </w:t>
    </w:r>
    <w:r w:rsidR="00D81374" w:rsidRPr="00B700CE">
      <w:t>(531889)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14ED6" w14:textId="77777777" w:rsidR="0054728D" w:rsidRDefault="0054728D">
      <w:r>
        <w:rPr>
          <w:b/>
        </w:rPr>
        <w:t>_______________</w:t>
      </w:r>
    </w:p>
  </w:footnote>
  <w:footnote w:type="continuationSeparator" w:id="0">
    <w:p w14:paraId="07472237" w14:textId="77777777" w:rsidR="0054728D" w:rsidRDefault="0054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3E0B" w14:textId="77777777" w:rsidR="00E45D05" w:rsidRDefault="00E45D05" w:rsidP="00A30305">
    <w:pPr>
      <w:pStyle w:val="Header"/>
    </w:pPr>
    <w:r>
      <w:fldChar w:fldCharType="begin"/>
    </w:r>
    <w:r>
      <w:instrText xml:space="preserve"> PAGE </w:instrText>
    </w:r>
    <w:r>
      <w:fldChar w:fldCharType="separate"/>
    </w:r>
    <w:r w:rsidR="00EE069E">
      <w:rPr>
        <w:noProof/>
      </w:rPr>
      <w:t>2</w:t>
    </w:r>
    <w:r>
      <w:fldChar w:fldCharType="end"/>
    </w:r>
  </w:p>
  <w:p w14:paraId="672DCFE0" w14:textId="1AB4DE54" w:rsidR="00BD182F" w:rsidRDefault="00BD182F" w:rsidP="00A30305">
    <w:pPr>
      <w:pStyle w:val="Header"/>
    </w:pPr>
    <w:r>
      <w:t>WRC23/258-E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B2E7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FC61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12F0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CC25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7A94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5241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0E45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D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0AD7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C034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828091258">
    <w:abstractNumId w:val="8"/>
  </w:num>
  <w:num w:numId="2" w16cid:durableId="183784320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3182153">
    <w:abstractNumId w:val="9"/>
  </w:num>
  <w:num w:numId="4" w16cid:durableId="1793936423">
    <w:abstractNumId w:val="7"/>
  </w:num>
  <w:num w:numId="5" w16cid:durableId="930118773">
    <w:abstractNumId w:val="6"/>
  </w:num>
  <w:num w:numId="6" w16cid:durableId="989014637">
    <w:abstractNumId w:val="5"/>
  </w:num>
  <w:num w:numId="7" w16cid:durableId="580413190">
    <w:abstractNumId w:val="4"/>
  </w:num>
  <w:num w:numId="8" w16cid:durableId="1925147060">
    <w:abstractNumId w:val="3"/>
  </w:num>
  <w:num w:numId="9" w16cid:durableId="1172601128">
    <w:abstractNumId w:val="2"/>
  </w:num>
  <w:num w:numId="10" w16cid:durableId="1803963327">
    <w:abstractNumId w:val="1"/>
  </w:num>
  <w:num w:numId="11" w16cid:durableId="91871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wMjAxMzAwMbcwMjNW0lEKTi0uzszPAykwrAUAL9HL3CwAAAA="/>
  </w:docVars>
  <w:rsids>
    <w:rsidRoot w:val="00C02572"/>
    <w:rsid w:val="000041EA"/>
    <w:rsid w:val="00022A29"/>
    <w:rsid w:val="000355FD"/>
    <w:rsid w:val="00036FF9"/>
    <w:rsid w:val="0004366F"/>
    <w:rsid w:val="00051E39"/>
    <w:rsid w:val="00061C3A"/>
    <w:rsid w:val="0007459B"/>
    <w:rsid w:val="00077239"/>
    <w:rsid w:val="00086491"/>
    <w:rsid w:val="00091346"/>
    <w:rsid w:val="00091C85"/>
    <w:rsid w:val="00092EFB"/>
    <w:rsid w:val="00093DD2"/>
    <w:rsid w:val="000A27F5"/>
    <w:rsid w:val="000B3F7A"/>
    <w:rsid w:val="000B6C99"/>
    <w:rsid w:val="000F73FF"/>
    <w:rsid w:val="00103055"/>
    <w:rsid w:val="00114CF7"/>
    <w:rsid w:val="00122AFC"/>
    <w:rsid w:val="00123B68"/>
    <w:rsid w:val="00126F2E"/>
    <w:rsid w:val="00146F6F"/>
    <w:rsid w:val="001860CD"/>
    <w:rsid w:val="00190B55"/>
    <w:rsid w:val="001C3B5F"/>
    <w:rsid w:val="001C702D"/>
    <w:rsid w:val="001D058F"/>
    <w:rsid w:val="001E55D2"/>
    <w:rsid w:val="002009EA"/>
    <w:rsid w:val="00202CA0"/>
    <w:rsid w:val="00204EBB"/>
    <w:rsid w:val="00250FB3"/>
    <w:rsid w:val="00261CAF"/>
    <w:rsid w:val="00271316"/>
    <w:rsid w:val="00280B6B"/>
    <w:rsid w:val="00293146"/>
    <w:rsid w:val="002D0D7A"/>
    <w:rsid w:val="002D58BE"/>
    <w:rsid w:val="002E1DAC"/>
    <w:rsid w:val="00315E57"/>
    <w:rsid w:val="00317F55"/>
    <w:rsid w:val="00342A88"/>
    <w:rsid w:val="00377BD3"/>
    <w:rsid w:val="00384088"/>
    <w:rsid w:val="00391540"/>
    <w:rsid w:val="00397A3F"/>
    <w:rsid w:val="003A249D"/>
    <w:rsid w:val="003A6C98"/>
    <w:rsid w:val="003A7F8C"/>
    <w:rsid w:val="003B532E"/>
    <w:rsid w:val="003D0F8B"/>
    <w:rsid w:val="003E45FC"/>
    <w:rsid w:val="0041348E"/>
    <w:rsid w:val="0043444A"/>
    <w:rsid w:val="004377D5"/>
    <w:rsid w:val="00461086"/>
    <w:rsid w:val="00492075"/>
    <w:rsid w:val="004969AD"/>
    <w:rsid w:val="00497C9C"/>
    <w:rsid w:val="004D1BC9"/>
    <w:rsid w:val="004D5D5C"/>
    <w:rsid w:val="0050139F"/>
    <w:rsid w:val="00502BAE"/>
    <w:rsid w:val="0054728D"/>
    <w:rsid w:val="00560BA1"/>
    <w:rsid w:val="00564452"/>
    <w:rsid w:val="005964AB"/>
    <w:rsid w:val="005C099A"/>
    <w:rsid w:val="005C31A5"/>
    <w:rsid w:val="005E61DD"/>
    <w:rsid w:val="006023DF"/>
    <w:rsid w:val="006068FF"/>
    <w:rsid w:val="00611B23"/>
    <w:rsid w:val="00621502"/>
    <w:rsid w:val="0065020C"/>
    <w:rsid w:val="00657DE0"/>
    <w:rsid w:val="00666EC1"/>
    <w:rsid w:val="00685313"/>
    <w:rsid w:val="006916EA"/>
    <w:rsid w:val="006A2E9A"/>
    <w:rsid w:val="006A6E9B"/>
    <w:rsid w:val="006D151F"/>
    <w:rsid w:val="006E7E9A"/>
    <w:rsid w:val="007149F9"/>
    <w:rsid w:val="00717197"/>
    <w:rsid w:val="007206CE"/>
    <w:rsid w:val="00733A30"/>
    <w:rsid w:val="00745AEE"/>
    <w:rsid w:val="00753AD1"/>
    <w:rsid w:val="007671A5"/>
    <w:rsid w:val="007742CA"/>
    <w:rsid w:val="007867EA"/>
    <w:rsid w:val="0078732A"/>
    <w:rsid w:val="007A27B5"/>
    <w:rsid w:val="007B0BF7"/>
    <w:rsid w:val="007F0B5F"/>
    <w:rsid w:val="007F1425"/>
    <w:rsid w:val="007F6FFB"/>
    <w:rsid w:val="00800972"/>
    <w:rsid w:val="00811633"/>
    <w:rsid w:val="00822627"/>
    <w:rsid w:val="008519C4"/>
    <w:rsid w:val="00872FC8"/>
    <w:rsid w:val="0088298A"/>
    <w:rsid w:val="008845D0"/>
    <w:rsid w:val="008A4C08"/>
    <w:rsid w:val="008A7CB7"/>
    <w:rsid w:val="008B0330"/>
    <w:rsid w:val="008B43F2"/>
    <w:rsid w:val="008C4CFE"/>
    <w:rsid w:val="008C5046"/>
    <w:rsid w:val="0090686C"/>
    <w:rsid w:val="00915398"/>
    <w:rsid w:val="009274B4"/>
    <w:rsid w:val="00944A5C"/>
    <w:rsid w:val="00951F3E"/>
    <w:rsid w:val="00952A66"/>
    <w:rsid w:val="0096149F"/>
    <w:rsid w:val="009644AB"/>
    <w:rsid w:val="00974431"/>
    <w:rsid w:val="00995D74"/>
    <w:rsid w:val="009A7C4C"/>
    <w:rsid w:val="009C56E5"/>
    <w:rsid w:val="009C7E67"/>
    <w:rsid w:val="009E5FC8"/>
    <w:rsid w:val="009E687A"/>
    <w:rsid w:val="009F2DCC"/>
    <w:rsid w:val="00A11440"/>
    <w:rsid w:val="00A135A5"/>
    <w:rsid w:val="00A141AF"/>
    <w:rsid w:val="00A16D29"/>
    <w:rsid w:val="00A2048C"/>
    <w:rsid w:val="00A30305"/>
    <w:rsid w:val="00A31D2D"/>
    <w:rsid w:val="00A37EF0"/>
    <w:rsid w:val="00A4596C"/>
    <w:rsid w:val="00A4600A"/>
    <w:rsid w:val="00A54ACF"/>
    <w:rsid w:val="00A54C25"/>
    <w:rsid w:val="00A710E7"/>
    <w:rsid w:val="00A7372E"/>
    <w:rsid w:val="00A777AB"/>
    <w:rsid w:val="00A93B85"/>
    <w:rsid w:val="00AA0B18"/>
    <w:rsid w:val="00B37A1C"/>
    <w:rsid w:val="00B545DF"/>
    <w:rsid w:val="00B639E9"/>
    <w:rsid w:val="00B700CE"/>
    <w:rsid w:val="00B817CD"/>
    <w:rsid w:val="00BB3A95"/>
    <w:rsid w:val="00BD182F"/>
    <w:rsid w:val="00BD5ED4"/>
    <w:rsid w:val="00BF46A2"/>
    <w:rsid w:val="00C0018F"/>
    <w:rsid w:val="00C02572"/>
    <w:rsid w:val="00C20466"/>
    <w:rsid w:val="00C214ED"/>
    <w:rsid w:val="00C234E6"/>
    <w:rsid w:val="00C3200B"/>
    <w:rsid w:val="00C324A8"/>
    <w:rsid w:val="00C422F4"/>
    <w:rsid w:val="00C43B74"/>
    <w:rsid w:val="00C50A1D"/>
    <w:rsid w:val="00C54517"/>
    <w:rsid w:val="00C62492"/>
    <w:rsid w:val="00C63535"/>
    <w:rsid w:val="00C6532C"/>
    <w:rsid w:val="00C705AB"/>
    <w:rsid w:val="00C94989"/>
    <w:rsid w:val="00C97C68"/>
    <w:rsid w:val="00CA1A47"/>
    <w:rsid w:val="00CA2CE9"/>
    <w:rsid w:val="00CC247A"/>
    <w:rsid w:val="00CD6BB9"/>
    <w:rsid w:val="00CE5E47"/>
    <w:rsid w:val="00CF020F"/>
    <w:rsid w:val="00CF2B5B"/>
    <w:rsid w:val="00CF42C2"/>
    <w:rsid w:val="00D13F67"/>
    <w:rsid w:val="00D14CE0"/>
    <w:rsid w:val="00D47AD9"/>
    <w:rsid w:val="00D5651D"/>
    <w:rsid w:val="00D70BF5"/>
    <w:rsid w:val="00D74898"/>
    <w:rsid w:val="00D750E8"/>
    <w:rsid w:val="00D767C2"/>
    <w:rsid w:val="00D801ED"/>
    <w:rsid w:val="00D81374"/>
    <w:rsid w:val="00D91769"/>
    <w:rsid w:val="00D936BC"/>
    <w:rsid w:val="00D962FB"/>
    <w:rsid w:val="00D96530"/>
    <w:rsid w:val="00DB43F5"/>
    <w:rsid w:val="00DB44BE"/>
    <w:rsid w:val="00DC5C58"/>
    <w:rsid w:val="00DD108B"/>
    <w:rsid w:val="00DD44AF"/>
    <w:rsid w:val="00DE2AC3"/>
    <w:rsid w:val="00DE5692"/>
    <w:rsid w:val="00E03C94"/>
    <w:rsid w:val="00E048E6"/>
    <w:rsid w:val="00E26226"/>
    <w:rsid w:val="00E30377"/>
    <w:rsid w:val="00E3139E"/>
    <w:rsid w:val="00E45D05"/>
    <w:rsid w:val="00E55AEF"/>
    <w:rsid w:val="00E622D6"/>
    <w:rsid w:val="00E6419D"/>
    <w:rsid w:val="00E928C4"/>
    <w:rsid w:val="00E95CF4"/>
    <w:rsid w:val="00E976C1"/>
    <w:rsid w:val="00EA12E5"/>
    <w:rsid w:val="00EA4FEF"/>
    <w:rsid w:val="00EB6358"/>
    <w:rsid w:val="00EC79BF"/>
    <w:rsid w:val="00ED0B45"/>
    <w:rsid w:val="00EE069E"/>
    <w:rsid w:val="00EF6E31"/>
    <w:rsid w:val="00F02766"/>
    <w:rsid w:val="00F05BD4"/>
    <w:rsid w:val="00F4569E"/>
    <w:rsid w:val="00F46367"/>
    <w:rsid w:val="00F514E1"/>
    <w:rsid w:val="00F6280C"/>
    <w:rsid w:val="00F65C19"/>
    <w:rsid w:val="00F677B1"/>
    <w:rsid w:val="00F705C3"/>
    <w:rsid w:val="00F91634"/>
    <w:rsid w:val="00FC3FCF"/>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B436E"/>
  <w15:docId w15:val="{B6FD0A6D-713A-40B9-AF23-1EE29976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7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767C2"/>
    <w:pPr>
      <w:keepNext/>
      <w:keepLines/>
      <w:spacing w:before="280"/>
      <w:ind w:left="1134" w:hanging="1134"/>
      <w:outlineLvl w:val="0"/>
    </w:pPr>
    <w:rPr>
      <w:b/>
      <w:sz w:val="28"/>
    </w:rPr>
  </w:style>
  <w:style w:type="paragraph" w:styleId="Heading2">
    <w:name w:val="heading 2"/>
    <w:basedOn w:val="Heading1"/>
    <w:next w:val="Normal"/>
    <w:qFormat/>
    <w:rsid w:val="00D767C2"/>
    <w:pPr>
      <w:spacing w:before="200"/>
      <w:outlineLvl w:val="1"/>
    </w:pPr>
    <w:rPr>
      <w:sz w:val="24"/>
    </w:rPr>
  </w:style>
  <w:style w:type="paragraph" w:styleId="Heading3">
    <w:name w:val="heading 3"/>
    <w:basedOn w:val="Heading1"/>
    <w:next w:val="Normal"/>
    <w:qFormat/>
    <w:rsid w:val="00D767C2"/>
    <w:pPr>
      <w:tabs>
        <w:tab w:val="clear" w:pos="1134"/>
      </w:tabs>
      <w:spacing w:before="200"/>
      <w:outlineLvl w:val="2"/>
    </w:pPr>
    <w:rPr>
      <w:sz w:val="24"/>
    </w:rPr>
  </w:style>
  <w:style w:type="paragraph" w:styleId="Heading4">
    <w:name w:val="heading 4"/>
    <w:basedOn w:val="Heading3"/>
    <w:next w:val="Normal"/>
    <w:qFormat/>
    <w:rsid w:val="00D767C2"/>
    <w:pPr>
      <w:outlineLvl w:val="3"/>
    </w:pPr>
  </w:style>
  <w:style w:type="paragraph" w:styleId="Heading5">
    <w:name w:val="heading 5"/>
    <w:basedOn w:val="Heading4"/>
    <w:next w:val="Normal"/>
    <w:qFormat/>
    <w:rsid w:val="00D767C2"/>
    <w:pPr>
      <w:outlineLvl w:val="4"/>
    </w:pPr>
  </w:style>
  <w:style w:type="paragraph" w:styleId="Heading6">
    <w:name w:val="heading 6"/>
    <w:basedOn w:val="Heading4"/>
    <w:next w:val="Normal"/>
    <w:qFormat/>
    <w:rsid w:val="00D767C2"/>
    <w:pPr>
      <w:outlineLvl w:val="5"/>
    </w:pPr>
  </w:style>
  <w:style w:type="paragraph" w:styleId="Heading7">
    <w:name w:val="heading 7"/>
    <w:basedOn w:val="Heading6"/>
    <w:next w:val="Normal"/>
    <w:qFormat/>
    <w:rsid w:val="00D767C2"/>
    <w:pPr>
      <w:outlineLvl w:val="6"/>
    </w:pPr>
  </w:style>
  <w:style w:type="paragraph" w:styleId="Heading8">
    <w:name w:val="heading 8"/>
    <w:basedOn w:val="Heading6"/>
    <w:next w:val="Normal"/>
    <w:qFormat/>
    <w:rsid w:val="00D767C2"/>
    <w:pPr>
      <w:outlineLvl w:val="7"/>
    </w:pPr>
  </w:style>
  <w:style w:type="paragraph" w:styleId="Heading9">
    <w:name w:val="heading 9"/>
    <w:basedOn w:val="Heading6"/>
    <w:next w:val="Normal"/>
    <w:qFormat/>
    <w:rsid w:val="00D767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D767C2"/>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767C2"/>
    <w:pPr>
      <w:keepNext/>
      <w:keepLines/>
      <w:spacing w:before="480" w:after="80"/>
      <w:jc w:val="center"/>
    </w:pPr>
    <w:rPr>
      <w:caps/>
      <w:sz w:val="28"/>
    </w:rPr>
  </w:style>
  <w:style w:type="paragraph" w:customStyle="1" w:styleId="Annexref">
    <w:name w:val="Annex_ref"/>
    <w:basedOn w:val="Normal"/>
    <w:next w:val="Normal"/>
    <w:rsid w:val="00D767C2"/>
    <w:pPr>
      <w:keepNext/>
      <w:keepLines/>
      <w:spacing w:after="280"/>
      <w:jc w:val="center"/>
    </w:pPr>
  </w:style>
  <w:style w:type="paragraph" w:customStyle="1" w:styleId="Annextitle">
    <w:name w:val="Annex_title"/>
    <w:basedOn w:val="Normal"/>
    <w:next w:val="Normal"/>
    <w:rsid w:val="00D767C2"/>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D767C2"/>
    <w:rPr>
      <w:rFonts w:ascii="Times New Roman" w:hAnsi="Times New Roman"/>
      <w:b/>
    </w:rPr>
  </w:style>
  <w:style w:type="character" w:customStyle="1" w:styleId="Appref">
    <w:name w:val="App_ref"/>
    <w:basedOn w:val="DefaultParagraphFont"/>
    <w:rsid w:val="00D767C2"/>
  </w:style>
  <w:style w:type="paragraph" w:customStyle="1" w:styleId="AppendixNo">
    <w:name w:val="Appendix_No"/>
    <w:basedOn w:val="AnnexNo"/>
    <w:next w:val="Annexref"/>
    <w:rsid w:val="00D767C2"/>
  </w:style>
  <w:style w:type="paragraph" w:customStyle="1" w:styleId="ApptoAnnex">
    <w:name w:val="App_to_Annex"/>
    <w:basedOn w:val="AppendixNo"/>
    <w:next w:val="Normal"/>
    <w:qFormat/>
    <w:rsid w:val="00D767C2"/>
  </w:style>
  <w:style w:type="paragraph" w:customStyle="1" w:styleId="Appendixref">
    <w:name w:val="Appendix_ref"/>
    <w:basedOn w:val="Annexref"/>
    <w:next w:val="Annextitle"/>
    <w:rsid w:val="00D767C2"/>
  </w:style>
  <w:style w:type="paragraph" w:customStyle="1" w:styleId="Appendixtitle">
    <w:name w:val="Appendix_title"/>
    <w:basedOn w:val="Annextitle"/>
    <w:next w:val="Normal"/>
    <w:rsid w:val="00D767C2"/>
  </w:style>
  <w:style w:type="character" w:customStyle="1" w:styleId="Artdef">
    <w:name w:val="Art_def"/>
    <w:basedOn w:val="DefaultParagraphFont"/>
    <w:rsid w:val="00D767C2"/>
    <w:rPr>
      <w:rFonts w:ascii="Times New Roman" w:hAnsi="Times New Roman"/>
      <w:b/>
    </w:rPr>
  </w:style>
  <w:style w:type="paragraph" w:customStyle="1" w:styleId="Artheading">
    <w:name w:val="Art_heading"/>
    <w:basedOn w:val="Normal"/>
    <w:next w:val="Normal"/>
    <w:rsid w:val="00D767C2"/>
    <w:pPr>
      <w:spacing w:before="480"/>
      <w:jc w:val="center"/>
    </w:pPr>
    <w:rPr>
      <w:rFonts w:ascii="Times New Roman Bold" w:hAnsi="Times New Roman Bold"/>
      <w:b/>
      <w:sz w:val="28"/>
    </w:rPr>
  </w:style>
  <w:style w:type="paragraph" w:customStyle="1" w:styleId="ArtNo">
    <w:name w:val="Art_No"/>
    <w:basedOn w:val="Normal"/>
    <w:next w:val="Normal"/>
    <w:rsid w:val="00D767C2"/>
    <w:pPr>
      <w:keepNext/>
      <w:keepLines/>
      <w:spacing w:before="480"/>
      <w:jc w:val="center"/>
    </w:pPr>
    <w:rPr>
      <w:caps/>
      <w:sz w:val="28"/>
    </w:rPr>
  </w:style>
  <w:style w:type="character" w:customStyle="1" w:styleId="Artref">
    <w:name w:val="Art_ref"/>
    <w:basedOn w:val="DefaultParagraphFont"/>
    <w:rsid w:val="00D767C2"/>
  </w:style>
  <w:style w:type="paragraph" w:customStyle="1" w:styleId="Arttitle">
    <w:name w:val="Art_title"/>
    <w:basedOn w:val="Normal"/>
    <w:next w:val="Normal"/>
    <w:rsid w:val="00D767C2"/>
    <w:pPr>
      <w:keepNext/>
      <w:keepLines/>
      <w:spacing w:before="240"/>
      <w:jc w:val="center"/>
    </w:pPr>
    <w:rPr>
      <w:b/>
      <w:sz w:val="28"/>
    </w:rPr>
  </w:style>
  <w:style w:type="paragraph" w:customStyle="1" w:styleId="Border">
    <w:name w:val="Border"/>
    <w:basedOn w:val="Normal"/>
    <w:rsid w:val="00D767C2"/>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767C2"/>
    <w:pPr>
      <w:keepNext/>
      <w:keepLines/>
      <w:spacing w:before="160"/>
      <w:ind w:left="1134"/>
    </w:pPr>
    <w:rPr>
      <w:i/>
    </w:rPr>
  </w:style>
  <w:style w:type="paragraph" w:customStyle="1" w:styleId="ChapNo">
    <w:name w:val="Chap_No"/>
    <w:basedOn w:val="ArtNo"/>
    <w:next w:val="Normal"/>
    <w:rsid w:val="00D767C2"/>
    <w:rPr>
      <w:rFonts w:ascii="Times New Roman Bold" w:hAnsi="Times New Roman Bold"/>
      <w:b/>
    </w:rPr>
  </w:style>
  <w:style w:type="paragraph" w:customStyle="1" w:styleId="Chaptitle">
    <w:name w:val="Chap_title"/>
    <w:basedOn w:val="Arttitle"/>
    <w:next w:val="Normal"/>
    <w:rsid w:val="00D767C2"/>
  </w:style>
  <w:style w:type="character" w:styleId="EndnoteReference">
    <w:name w:val="endnote reference"/>
    <w:basedOn w:val="DefaultParagraphFont"/>
    <w:rsid w:val="00D767C2"/>
    <w:rPr>
      <w:vertAlign w:val="superscript"/>
    </w:rPr>
  </w:style>
  <w:style w:type="paragraph" w:customStyle="1" w:styleId="enumlev1">
    <w:name w:val="enumlev1"/>
    <w:basedOn w:val="Normal"/>
    <w:link w:val="enumlev1Char"/>
    <w:qFormat/>
    <w:rsid w:val="00D767C2"/>
    <w:pPr>
      <w:tabs>
        <w:tab w:val="clear" w:pos="2268"/>
        <w:tab w:val="left" w:pos="2608"/>
        <w:tab w:val="left" w:pos="3345"/>
      </w:tabs>
      <w:spacing w:before="80"/>
      <w:ind w:left="1134" w:hanging="1134"/>
    </w:pPr>
  </w:style>
  <w:style w:type="paragraph" w:customStyle="1" w:styleId="enumlev2">
    <w:name w:val="enumlev2"/>
    <w:basedOn w:val="enumlev1"/>
    <w:rsid w:val="00D767C2"/>
    <w:pPr>
      <w:ind w:left="1871" w:hanging="737"/>
    </w:pPr>
  </w:style>
  <w:style w:type="paragraph" w:customStyle="1" w:styleId="enumlev3">
    <w:name w:val="enumlev3"/>
    <w:basedOn w:val="enumlev2"/>
    <w:rsid w:val="00D767C2"/>
    <w:pPr>
      <w:ind w:left="2268" w:hanging="397"/>
    </w:pPr>
  </w:style>
  <w:style w:type="paragraph" w:customStyle="1" w:styleId="Equation">
    <w:name w:val="Equation"/>
    <w:basedOn w:val="Normal"/>
    <w:rsid w:val="00D767C2"/>
    <w:pPr>
      <w:tabs>
        <w:tab w:val="clear" w:pos="1871"/>
        <w:tab w:val="clear" w:pos="2268"/>
        <w:tab w:val="center" w:pos="4820"/>
        <w:tab w:val="right" w:pos="9639"/>
      </w:tabs>
    </w:pPr>
  </w:style>
  <w:style w:type="paragraph" w:customStyle="1" w:styleId="Equationlegend">
    <w:name w:val="Equation_legend"/>
    <w:basedOn w:val="NormalIndent"/>
    <w:rsid w:val="00D767C2"/>
    <w:pPr>
      <w:tabs>
        <w:tab w:val="clear" w:pos="1134"/>
        <w:tab w:val="clear" w:pos="2268"/>
        <w:tab w:val="right" w:pos="1871"/>
        <w:tab w:val="left" w:pos="2041"/>
      </w:tabs>
      <w:spacing w:before="80"/>
      <w:ind w:left="2041" w:hanging="2041"/>
    </w:pPr>
  </w:style>
  <w:style w:type="paragraph" w:styleId="NormalIndent">
    <w:name w:val="Normal Indent"/>
    <w:basedOn w:val="Normal"/>
    <w:rsid w:val="00D767C2"/>
    <w:pPr>
      <w:ind w:left="1134"/>
    </w:pPr>
  </w:style>
  <w:style w:type="paragraph" w:customStyle="1" w:styleId="Figure">
    <w:name w:val="Figure"/>
    <w:basedOn w:val="Normal"/>
    <w:next w:val="Normal"/>
    <w:rsid w:val="00E048E6"/>
    <w:pPr>
      <w:spacing w:after="240"/>
      <w:jc w:val="center"/>
    </w:pPr>
  </w:style>
  <w:style w:type="paragraph" w:customStyle="1" w:styleId="Figurelegend">
    <w:name w:val="Figure_legend"/>
    <w:basedOn w:val="Normal"/>
    <w:rsid w:val="00D767C2"/>
    <w:pPr>
      <w:keepNext/>
      <w:keepLines/>
      <w:spacing w:before="20" w:after="20"/>
    </w:pPr>
    <w:rPr>
      <w:sz w:val="18"/>
    </w:rPr>
  </w:style>
  <w:style w:type="paragraph" w:customStyle="1" w:styleId="FigureNo">
    <w:name w:val="Figure_No"/>
    <w:basedOn w:val="Normal"/>
    <w:next w:val="Normal"/>
    <w:rsid w:val="00D767C2"/>
    <w:pPr>
      <w:keepNext/>
      <w:keepLines/>
      <w:spacing w:before="480" w:after="120"/>
      <w:jc w:val="center"/>
    </w:pPr>
    <w:rPr>
      <w:caps/>
      <w:sz w:val="20"/>
    </w:rPr>
  </w:style>
  <w:style w:type="paragraph" w:customStyle="1" w:styleId="Figuretitle">
    <w:name w:val="Figure_title"/>
    <w:basedOn w:val="Normal"/>
    <w:next w:val="Normal"/>
    <w:rsid w:val="00E048E6"/>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D767C2"/>
    <w:pPr>
      <w:keepNext w:val="0"/>
    </w:pPr>
  </w:style>
  <w:style w:type="paragraph" w:styleId="Footer">
    <w:name w:val="footer"/>
    <w:basedOn w:val="Normal"/>
    <w:link w:val="FooterChar"/>
    <w:rsid w:val="00D767C2"/>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767C2"/>
    <w:rPr>
      <w:rFonts w:ascii="Times New Roman" w:hAnsi="Times New Roman"/>
      <w:caps/>
      <w:noProof/>
      <w:sz w:val="16"/>
      <w:lang w:val="en-GB" w:eastAsia="en-US"/>
    </w:rPr>
  </w:style>
  <w:style w:type="paragraph" w:customStyle="1" w:styleId="FirstFooter">
    <w:name w:val="FirstFooter"/>
    <w:basedOn w:val="Footer"/>
    <w:rsid w:val="00D767C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D767C2"/>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D767C2"/>
    <w:pPr>
      <w:keepLines/>
      <w:tabs>
        <w:tab w:val="left" w:pos="255"/>
      </w:tabs>
    </w:p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D767C2"/>
    <w:rPr>
      <w:rFonts w:ascii="Times New Roman" w:hAnsi="Times New Roman"/>
      <w:sz w:val="24"/>
      <w:lang w:val="en-GB" w:eastAsia="en-US"/>
    </w:rPr>
  </w:style>
  <w:style w:type="paragraph" w:styleId="Header">
    <w:name w:val="header"/>
    <w:basedOn w:val="Normal"/>
    <w:link w:val="HeaderChar"/>
    <w:rsid w:val="00D767C2"/>
    <w:pPr>
      <w:spacing w:before="0"/>
      <w:jc w:val="center"/>
    </w:pPr>
    <w:rPr>
      <w:sz w:val="18"/>
    </w:rPr>
  </w:style>
  <w:style w:type="character" w:customStyle="1" w:styleId="HeaderChar">
    <w:name w:val="Header Char"/>
    <w:basedOn w:val="DefaultParagraphFont"/>
    <w:link w:val="Header"/>
    <w:rsid w:val="00D767C2"/>
    <w:rPr>
      <w:rFonts w:ascii="Times New Roman" w:hAnsi="Times New Roman"/>
      <w:sz w:val="18"/>
      <w:lang w:val="en-GB" w:eastAsia="en-US"/>
    </w:rPr>
  </w:style>
  <w:style w:type="paragraph" w:customStyle="1" w:styleId="Normalaftertitle">
    <w:name w:val="Normal after title"/>
    <w:basedOn w:val="Normal"/>
    <w:next w:val="Normal"/>
    <w:rsid w:val="00D767C2"/>
    <w:pPr>
      <w:spacing w:before="280"/>
    </w:pPr>
  </w:style>
  <w:style w:type="paragraph" w:customStyle="1" w:styleId="Section1">
    <w:name w:val="Section_1"/>
    <w:basedOn w:val="Normal"/>
    <w:rsid w:val="00D767C2"/>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767C2"/>
    <w:rPr>
      <w:b w:val="0"/>
      <w:i/>
    </w:rPr>
  </w:style>
  <w:style w:type="paragraph" w:customStyle="1" w:styleId="Section3">
    <w:name w:val="Section_3"/>
    <w:basedOn w:val="Section1"/>
    <w:rsid w:val="00D767C2"/>
    <w:rPr>
      <w:b w:val="0"/>
    </w:rPr>
  </w:style>
  <w:style w:type="paragraph" w:customStyle="1" w:styleId="SectionNo">
    <w:name w:val="Section_No"/>
    <w:basedOn w:val="AnnexNo"/>
    <w:next w:val="Normal"/>
    <w:rsid w:val="00D767C2"/>
  </w:style>
  <w:style w:type="paragraph" w:customStyle="1" w:styleId="Sectiontitle">
    <w:name w:val="Section_title"/>
    <w:basedOn w:val="Annextitle"/>
    <w:next w:val="Normalaftertitle"/>
    <w:rsid w:val="00D767C2"/>
  </w:style>
  <w:style w:type="paragraph" w:customStyle="1" w:styleId="Source">
    <w:name w:val="Source"/>
    <w:basedOn w:val="Normal"/>
    <w:next w:val="Normal"/>
    <w:rsid w:val="00D767C2"/>
    <w:pPr>
      <w:spacing w:before="840"/>
      <w:jc w:val="center"/>
    </w:pPr>
    <w:rPr>
      <w:b/>
      <w:sz w:val="28"/>
    </w:rPr>
  </w:style>
  <w:style w:type="paragraph" w:customStyle="1" w:styleId="SpecialFooter">
    <w:name w:val="Special Footer"/>
    <w:basedOn w:val="Footer"/>
    <w:rsid w:val="00D767C2"/>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767C2"/>
  </w:style>
  <w:style w:type="character" w:customStyle="1" w:styleId="Tablefreq">
    <w:name w:val="Table_freq"/>
    <w:basedOn w:val="DefaultParagraphFont"/>
    <w:rsid w:val="00D767C2"/>
    <w:rPr>
      <w:b/>
      <w:color w:val="auto"/>
      <w:sz w:val="20"/>
    </w:rPr>
  </w:style>
  <w:style w:type="paragraph" w:customStyle="1" w:styleId="Tablehead">
    <w:name w:val="Table_head"/>
    <w:basedOn w:val="Normal"/>
    <w:rsid w:val="00D767C2"/>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048E6"/>
    <w:rPr>
      <w:sz w:val="18"/>
    </w:rPr>
  </w:style>
  <w:style w:type="paragraph" w:customStyle="1" w:styleId="TableNo">
    <w:name w:val="Table_No"/>
    <w:basedOn w:val="Normal"/>
    <w:next w:val="Normal"/>
    <w:rsid w:val="00D767C2"/>
    <w:pPr>
      <w:keepNext/>
      <w:spacing w:before="560" w:after="120"/>
      <w:jc w:val="center"/>
    </w:pPr>
    <w:rPr>
      <w:caps/>
      <w:sz w:val="20"/>
    </w:rPr>
  </w:style>
  <w:style w:type="paragraph" w:customStyle="1" w:styleId="Tableref">
    <w:name w:val="Table_ref"/>
    <w:basedOn w:val="Normal"/>
    <w:next w:val="Normal"/>
    <w:rsid w:val="00D767C2"/>
    <w:pPr>
      <w:keepNext/>
      <w:spacing w:before="560"/>
      <w:jc w:val="center"/>
    </w:pPr>
    <w:rPr>
      <w:sz w:val="20"/>
    </w:rPr>
  </w:style>
  <w:style w:type="paragraph" w:customStyle="1" w:styleId="Normalend">
    <w:name w:val="Normal_end"/>
    <w:basedOn w:val="Normal"/>
    <w:next w:val="Normal"/>
    <w:qFormat/>
    <w:rsid w:val="00D767C2"/>
    <w:rPr>
      <w:lang w:val="en-US"/>
    </w:rPr>
  </w:style>
  <w:style w:type="paragraph" w:customStyle="1" w:styleId="Proposal">
    <w:name w:val="Proposal"/>
    <w:basedOn w:val="Normal"/>
    <w:next w:val="Normal"/>
    <w:rsid w:val="00D767C2"/>
    <w:pPr>
      <w:keepNext/>
      <w:spacing w:before="240"/>
    </w:pPr>
    <w:rPr>
      <w:rFonts w:hAnsi="Times New Roman Bold"/>
      <w:b/>
    </w:rPr>
  </w:style>
  <w:style w:type="paragraph" w:customStyle="1" w:styleId="Reasons">
    <w:name w:val="Reasons"/>
    <w:basedOn w:val="Normal"/>
    <w:qFormat/>
    <w:rsid w:val="00D767C2"/>
    <w:pPr>
      <w:tabs>
        <w:tab w:val="clear" w:pos="1871"/>
        <w:tab w:val="clear" w:pos="2268"/>
        <w:tab w:val="left" w:pos="1588"/>
        <w:tab w:val="left" w:pos="1985"/>
      </w:tabs>
    </w:pPr>
  </w:style>
  <w:style w:type="paragraph" w:customStyle="1" w:styleId="Questiondate">
    <w:name w:val="Question_date"/>
    <w:basedOn w:val="Normal"/>
    <w:next w:val="Normalaftertitle"/>
    <w:rsid w:val="00D767C2"/>
    <w:pPr>
      <w:keepNext/>
      <w:keepLines/>
      <w:jc w:val="right"/>
    </w:pPr>
    <w:rPr>
      <w:sz w:val="22"/>
    </w:rPr>
  </w:style>
  <w:style w:type="paragraph" w:customStyle="1" w:styleId="QuestionNo">
    <w:name w:val="Question_No"/>
    <w:basedOn w:val="Normal"/>
    <w:next w:val="Normal"/>
    <w:rsid w:val="00D767C2"/>
    <w:pPr>
      <w:keepNext/>
      <w:keepLines/>
      <w:spacing w:before="480"/>
      <w:jc w:val="center"/>
    </w:pPr>
    <w:rPr>
      <w:caps/>
      <w:sz w:val="28"/>
    </w:rPr>
  </w:style>
  <w:style w:type="paragraph" w:customStyle="1" w:styleId="Questiontitle">
    <w:name w:val="Question_title"/>
    <w:basedOn w:val="Normal"/>
    <w:next w:val="Normal"/>
    <w:rsid w:val="00D767C2"/>
    <w:pPr>
      <w:keepNext/>
      <w:keepLines/>
      <w:spacing w:before="240"/>
      <w:jc w:val="center"/>
    </w:pPr>
    <w:rPr>
      <w:rFonts w:ascii="Times New Roman Bold" w:hAnsi="Times New Roman Bold"/>
      <w:b/>
      <w:sz w:val="28"/>
    </w:rPr>
  </w:style>
  <w:style w:type="paragraph" w:styleId="TOC1">
    <w:name w:val="toc 1"/>
    <w:basedOn w:val="Normal"/>
    <w:rsid w:val="00D767C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767C2"/>
    <w:pPr>
      <w:spacing w:before="120"/>
    </w:pPr>
  </w:style>
  <w:style w:type="paragraph" w:styleId="TOC3">
    <w:name w:val="toc 3"/>
    <w:basedOn w:val="TOC2"/>
    <w:rsid w:val="00D767C2"/>
  </w:style>
  <w:style w:type="paragraph" w:styleId="TOC4">
    <w:name w:val="toc 4"/>
    <w:basedOn w:val="TOC3"/>
    <w:rsid w:val="00D767C2"/>
  </w:style>
  <w:style w:type="paragraph" w:styleId="TOC5">
    <w:name w:val="toc 5"/>
    <w:basedOn w:val="TOC4"/>
    <w:rsid w:val="00D767C2"/>
  </w:style>
  <w:style w:type="paragraph" w:styleId="TOC6">
    <w:name w:val="toc 6"/>
    <w:basedOn w:val="TOC4"/>
    <w:rsid w:val="00D767C2"/>
  </w:style>
  <w:style w:type="paragraph" w:styleId="TOC7">
    <w:name w:val="toc 7"/>
    <w:basedOn w:val="TOC4"/>
    <w:rsid w:val="00D767C2"/>
  </w:style>
  <w:style w:type="paragraph" w:styleId="TOC8">
    <w:name w:val="toc 8"/>
    <w:basedOn w:val="TOC4"/>
    <w:rsid w:val="00D767C2"/>
  </w:style>
  <w:style w:type="paragraph" w:customStyle="1" w:styleId="Title1">
    <w:name w:val="Title 1"/>
    <w:basedOn w:val="Source"/>
    <w:next w:val="Normal"/>
    <w:uiPriority w:val="99"/>
    <w:rsid w:val="00D767C2"/>
    <w:pPr>
      <w:tabs>
        <w:tab w:val="left" w:pos="567"/>
        <w:tab w:val="left" w:pos="1701"/>
        <w:tab w:val="left" w:pos="2835"/>
      </w:tabs>
      <w:spacing w:before="240"/>
    </w:pPr>
    <w:rPr>
      <w:b w:val="0"/>
      <w:caps/>
    </w:rPr>
  </w:style>
  <w:style w:type="paragraph" w:customStyle="1" w:styleId="Title2">
    <w:name w:val="Title 2"/>
    <w:basedOn w:val="Source"/>
    <w:next w:val="Normal"/>
    <w:rsid w:val="00D767C2"/>
    <w:pPr>
      <w:overflowPunct/>
      <w:autoSpaceDE/>
      <w:autoSpaceDN/>
      <w:adjustRightInd/>
      <w:spacing w:before="480"/>
      <w:textAlignment w:val="auto"/>
    </w:pPr>
    <w:rPr>
      <w:b w:val="0"/>
      <w:caps/>
    </w:rPr>
  </w:style>
  <w:style w:type="paragraph" w:customStyle="1" w:styleId="Title3">
    <w:name w:val="Title 3"/>
    <w:basedOn w:val="Title2"/>
    <w:next w:val="Normal"/>
    <w:rsid w:val="00D767C2"/>
    <w:pPr>
      <w:spacing w:before="240"/>
    </w:pPr>
    <w:rPr>
      <w:caps w:val="0"/>
    </w:rPr>
  </w:style>
  <w:style w:type="paragraph" w:customStyle="1" w:styleId="Title4">
    <w:name w:val="Title 4"/>
    <w:basedOn w:val="Title3"/>
    <w:next w:val="Heading1"/>
    <w:rsid w:val="00D767C2"/>
    <w:rPr>
      <w:b/>
    </w:rPr>
  </w:style>
  <w:style w:type="paragraph" w:customStyle="1" w:styleId="Tabletext">
    <w:name w:val="Table_text"/>
    <w:basedOn w:val="Normal"/>
    <w:rsid w:val="00D767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9163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767C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D767C2"/>
    <w:pPr>
      <w:spacing w:before="160"/>
    </w:pPr>
    <w:rPr>
      <w:i/>
    </w:rPr>
  </w:style>
  <w:style w:type="paragraph" w:customStyle="1" w:styleId="Headingb">
    <w:name w:val="Heading_b"/>
    <w:basedOn w:val="Normal"/>
    <w:next w:val="Normal"/>
    <w:qFormat/>
    <w:rsid w:val="00E048E6"/>
    <w:pPr>
      <w:keepNext/>
      <w:spacing w:before="160"/>
    </w:pPr>
    <w:rPr>
      <w:rFonts w:ascii="Times New Roman Bold" w:hAnsi="Times New Roman Bold" w:cs="Times New Roman Bold"/>
      <w:b/>
      <w:lang w:val="fr-CH"/>
    </w:rPr>
  </w:style>
  <w:style w:type="paragraph" w:customStyle="1" w:styleId="Note">
    <w:name w:val="Note"/>
    <w:basedOn w:val="Normal"/>
    <w:next w:val="Normal"/>
    <w:rsid w:val="00D767C2"/>
    <w:pPr>
      <w:tabs>
        <w:tab w:val="left" w:pos="284"/>
      </w:tabs>
      <w:spacing w:before="80"/>
    </w:pPr>
  </w:style>
  <w:style w:type="paragraph" w:customStyle="1" w:styleId="Part1">
    <w:name w:val="Part_1"/>
    <w:basedOn w:val="Section1"/>
    <w:next w:val="Section1"/>
    <w:qFormat/>
    <w:rsid w:val="00D767C2"/>
  </w:style>
  <w:style w:type="paragraph" w:customStyle="1" w:styleId="PartNo">
    <w:name w:val="Part_No"/>
    <w:basedOn w:val="AnnexNo"/>
    <w:next w:val="Normal"/>
    <w:rsid w:val="00D767C2"/>
  </w:style>
  <w:style w:type="paragraph" w:customStyle="1" w:styleId="Partref">
    <w:name w:val="Part_ref"/>
    <w:basedOn w:val="Annexref"/>
    <w:next w:val="Normal"/>
    <w:rsid w:val="00D767C2"/>
  </w:style>
  <w:style w:type="paragraph" w:customStyle="1" w:styleId="Parttitle">
    <w:name w:val="Part_title"/>
    <w:basedOn w:val="Annextitle"/>
    <w:next w:val="Normalaftertitle"/>
    <w:rsid w:val="00D767C2"/>
  </w:style>
  <w:style w:type="paragraph" w:customStyle="1" w:styleId="Recdate">
    <w:name w:val="Rec_date"/>
    <w:basedOn w:val="Normal"/>
    <w:next w:val="Normalaftertitle"/>
    <w:rsid w:val="00D767C2"/>
    <w:pPr>
      <w:keepNext/>
      <w:keepLines/>
      <w:jc w:val="right"/>
    </w:pPr>
    <w:rPr>
      <w:sz w:val="22"/>
    </w:rPr>
  </w:style>
  <w:style w:type="paragraph" w:customStyle="1" w:styleId="RecNo">
    <w:name w:val="Rec_No"/>
    <w:basedOn w:val="Normal"/>
    <w:next w:val="Normal"/>
    <w:rsid w:val="00D767C2"/>
    <w:pPr>
      <w:keepNext/>
      <w:keepLines/>
      <w:spacing w:before="480"/>
      <w:jc w:val="center"/>
    </w:pPr>
    <w:rPr>
      <w:caps/>
      <w:sz w:val="28"/>
    </w:rPr>
  </w:style>
  <w:style w:type="paragraph" w:customStyle="1" w:styleId="Rectitle">
    <w:name w:val="Rec_title"/>
    <w:basedOn w:val="RecNo"/>
    <w:next w:val="Normal"/>
    <w:rsid w:val="00D767C2"/>
    <w:pPr>
      <w:spacing w:before="240"/>
    </w:pPr>
    <w:rPr>
      <w:rFonts w:ascii="Times New Roman Bold" w:hAnsi="Times New Roman Bold"/>
      <w:b/>
      <w:caps w:val="0"/>
    </w:rPr>
  </w:style>
  <w:style w:type="paragraph" w:customStyle="1" w:styleId="ResNo">
    <w:name w:val="Res_No"/>
    <w:basedOn w:val="RecNo"/>
    <w:next w:val="Normal"/>
    <w:rsid w:val="00D767C2"/>
  </w:style>
  <w:style w:type="paragraph" w:customStyle="1" w:styleId="Restitle">
    <w:name w:val="Res_title"/>
    <w:basedOn w:val="Rectitle"/>
    <w:next w:val="Normal"/>
    <w:rsid w:val="00D767C2"/>
  </w:style>
  <w:style w:type="paragraph" w:customStyle="1" w:styleId="AppArtNo">
    <w:name w:val="App_Art_No"/>
    <w:basedOn w:val="ArtNo"/>
    <w:qFormat/>
    <w:rsid w:val="00D767C2"/>
  </w:style>
  <w:style w:type="paragraph" w:customStyle="1" w:styleId="AppArttitle">
    <w:name w:val="App_Art_title"/>
    <w:basedOn w:val="Arttitle"/>
    <w:qFormat/>
    <w:rsid w:val="00D767C2"/>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D767C2"/>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D767C2"/>
    <w:pPr>
      <w:jc w:val="center"/>
    </w:pPr>
    <w:rPr>
      <w:b/>
      <w:bCs/>
      <w:sz w:val="28"/>
      <w:szCs w:val="28"/>
    </w:rPr>
  </w:style>
  <w:style w:type="paragraph" w:customStyle="1" w:styleId="Headingsplit">
    <w:name w:val="Heading_split"/>
    <w:basedOn w:val="Headingi"/>
    <w:qFormat/>
    <w:rsid w:val="00D767C2"/>
    <w:rPr>
      <w:lang w:val="en-US"/>
    </w:rPr>
  </w:style>
  <w:style w:type="paragraph" w:customStyle="1" w:styleId="Normalsplit">
    <w:name w:val="Normal_split"/>
    <w:basedOn w:val="Normal"/>
    <w:qFormat/>
    <w:rsid w:val="00D767C2"/>
  </w:style>
  <w:style w:type="character" w:customStyle="1" w:styleId="Provsplit">
    <w:name w:val="Prov_split"/>
    <w:basedOn w:val="DefaultParagraphFont"/>
    <w:qFormat/>
    <w:rsid w:val="00D767C2"/>
    <w:rPr>
      <w:rFonts w:ascii="Times New Roman" w:hAnsi="Times New Roman"/>
      <w:b w:val="0"/>
    </w:rPr>
  </w:style>
  <w:style w:type="paragraph" w:customStyle="1" w:styleId="Tablesplit">
    <w:name w:val="Table_split"/>
    <w:basedOn w:val="Tabletext"/>
    <w:qFormat/>
    <w:rsid w:val="00D767C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semiHidden/>
    <w:unhideWhenUsed/>
    <w:rsid w:val="00D767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767C2"/>
    <w:rPr>
      <w:rFonts w:ascii="Segoe UI" w:hAnsi="Segoe UI" w:cs="Segoe UI"/>
      <w:sz w:val="18"/>
      <w:szCs w:val="18"/>
      <w:lang w:val="en-GB" w:eastAsia="en-US"/>
    </w:rPr>
  </w:style>
  <w:style w:type="paragraph" w:customStyle="1" w:styleId="MethodHeadingb">
    <w:name w:val="Method_Headingb"/>
    <w:basedOn w:val="Headingb"/>
    <w:qFormat/>
    <w:rsid w:val="00E048E6"/>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D767C2"/>
  </w:style>
  <w:style w:type="paragraph" w:customStyle="1" w:styleId="Methodheading2">
    <w:name w:val="Method_heading2"/>
    <w:basedOn w:val="Heading2"/>
    <w:next w:val="Normal"/>
    <w:qFormat/>
    <w:rsid w:val="00D767C2"/>
  </w:style>
  <w:style w:type="paragraph" w:customStyle="1" w:styleId="Methodheading3">
    <w:name w:val="Method_heading3"/>
    <w:basedOn w:val="Heading3"/>
    <w:next w:val="Normal"/>
    <w:qFormat/>
    <w:rsid w:val="00D767C2"/>
  </w:style>
  <w:style w:type="paragraph" w:customStyle="1" w:styleId="Methodheading4">
    <w:name w:val="Method_heading4"/>
    <w:basedOn w:val="Heading4"/>
    <w:next w:val="Normal"/>
    <w:qFormat/>
    <w:rsid w:val="00D767C2"/>
  </w:style>
  <w:style w:type="paragraph" w:customStyle="1" w:styleId="EditorsNote">
    <w:name w:val="EditorsNote"/>
    <w:basedOn w:val="Normal"/>
    <w:qFormat/>
    <w:rsid w:val="00E048E6"/>
    <w:pPr>
      <w:spacing w:before="240" w:after="240"/>
    </w:pPr>
    <w:rPr>
      <w:i/>
    </w:rPr>
  </w:style>
  <w:style w:type="paragraph" w:customStyle="1" w:styleId="Tablefin">
    <w:name w:val="Table_fin"/>
    <w:basedOn w:val="Tabletext"/>
    <w:qFormat/>
    <w:rsid w:val="007B0BF7"/>
    <w:pPr>
      <w:spacing w:before="0" w:after="0"/>
    </w:pPr>
  </w:style>
  <w:style w:type="character" w:customStyle="1" w:styleId="enumlev1Char">
    <w:name w:val="enumlev1 Char"/>
    <w:basedOn w:val="DefaultParagraphFont"/>
    <w:link w:val="enumlev1"/>
    <w:rsid w:val="00C02572"/>
    <w:rPr>
      <w:rFonts w:ascii="Times New Roman" w:hAnsi="Times New Roman"/>
      <w:sz w:val="24"/>
      <w:lang w:val="en-GB" w:eastAsia="en-US"/>
    </w:rPr>
  </w:style>
  <w:style w:type="character" w:styleId="Hyperlink">
    <w:name w:val="Hyperlink"/>
    <w:basedOn w:val="DefaultParagraphFont"/>
    <w:uiPriority w:val="99"/>
    <w:unhideWhenUsed/>
    <w:rsid w:val="00C02572"/>
    <w:rPr>
      <w:color w:val="0000FF" w:themeColor="hyperlink"/>
      <w:u w:val="single"/>
    </w:rPr>
  </w:style>
  <w:style w:type="character" w:styleId="UnresolvedMention">
    <w:name w:val="Unresolved Mention"/>
    <w:basedOn w:val="DefaultParagraphFont"/>
    <w:uiPriority w:val="99"/>
    <w:semiHidden/>
    <w:unhideWhenUsed/>
    <w:rsid w:val="00C02572"/>
    <w:rPr>
      <w:color w:val="605E5C"/>
      <w:shd w:val="clear" w:color="auto" w:fill="E1DFDD"/>
    </w:rPr>
  </w:style>
  <w:style w:type="character" w:styleId="FollowedHyperlink">
    <w:name w:val="FollowedHyperlink"/>
    <w:basedOn w:val="DefaultParagraphFont"/>
    <w:semiHidden/>
    <w:unhideWhenUsed/>
    <w:rsid w:val="007867EA"/>
    <w:rPr>
      <w:color w:val="800080" w:themeColor="followedHyperlink"/>
      <w:u w:val="single"/>
    </w:rPr>
  </w:style>
  <w:style w:type="paragraph" w:styleId="Revision">
    <w:name w:val="Revision"/>
    <w:hidden/>
    <w:uiPriority w:val="99"/>
    <w:semiHidden/>
    <w:rsid w:val="00280B6B"/>
    <w:rPr>
      <w:rFonts w:ascii="Times New Roman" w:hAnsi="Times New Roman"/>
      <w:sz w:val="24"/>
      <w:lang w:val="en-GB" w:eastAsia="en-US"/>
    </w:rPr>
  </w:style>
  <w:style w:type="paragraph" w:customStyle="1" w:styleId="Normalaftertitle0">
    <w:name w:val="Normal_after_title"/>
    <w:basedOn w:val="Normal"/>
    <w:next w:val="Normal"/>
    <w:rsid w:val="00293146"/>
    <w:pPr>
      <w:tabs>
        <w:tab w:val="clear" w:pos="1134"/>
        <w:tab w:val="clear" w:pos="1871"/>
        <w:tab w:val="clear" w:pos="2268"/>
        <w:tab w:val="left" w:pos="794"/>
        <w:tab w:val="left" w:pos="1191"/>
        <w:tab w:val="left" w:pos="1588"/>
        <w:tab w:val="left" w:pos="1985"/>
      </w:tabs>
      <w:spacing w:before="400" w:line="280" w:lineRule="exact"/>
      <w:jc w:val="both"/>
    </w:pPr>
    <w:rPr>
      <w:rFonts w:ascii="Calibri" w:eastAsia="MS Mincho" w:hAnsi="Calibri" w:cs="Calibri"/>
      <w:sz w:val="22"/>
      <w:szCs w:val="22"/>
      <w:lang w:val="en-US"/>
    </w:rPr>
  </w:style>
  <w:style w:type="paragraph" w:customStyle="1" w:styleId="call0">
    <w:name w:val="call"/>
    <w:basedOn w:val="Normal"/>
    <w:next w:val="Normal"/>
    <w:rsid w:val="00293146"/>
    <w:pPr>
      <w:keepNext/>
      <w:keepLines/>
      <w:tabs>
        <w:tab w:val="clear" w:pos="1871"/>
        <w:tab w:val="left" w:pos="567"/>
        <w:tab w:val="left" w:pos="1701"/>
        <w:tab w:val="left" w:pos="2835"/>
      </w:tabs>
      <w:spacing w:before="160"/>
      <w:ind w:left="794" w:hanging="357"/>
    </w:pPr>
    <w:rPr>
      <w:rFonts w:ascii="Calibri" w:hAnsi="Calibri"/>
      <w:i/>
    </w:rPr>
  </w:style>
  <w:style w:type="character" w:styleId="CommentReference">
    <w:name w:val="annotation reference"/>
    <w:basedOn w:val="DefaultParagraphFont"/>
    <w:uiPriority w:val="99"/>
    <w:semiHidden/>
    <w:unhideWhenUsed/>
    <w:rsid w:val="000A27F5"/>
    <w:rPr>
      <w:sz w:val="16"/>
      <w:szCs w:val="16"/>
    </w:rPr>
  </w:style>
  <w:style w:type="paragraph" w:styleId="CommentText">
    <w:name w:val="annotation text"/>
    <w:basedOn w:val="Normal"/>
    <w:link w:val="CommentTextChar"/>
    <w:uiPriority w:val="99"/>
    <w:unhideWhenUsed/>
    <w:rsid w:val="000A27F5"/>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0A27F5"/>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BR\PE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8" ma:contentTypeDescription="Crée un document." ma:contentTypeScope="" ma:versionID="6817dcdd5a6870f8defdc4c165fd5a50">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6cc84c68011f6a5ad06561181c6add30"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Version xmlns="85ec4a98-16cb-46ec-9d96-8bcce9671b86" xsi:nil="true"/>
    <DPM_x0020_File_x0020_name xmlns="85ec4a98-16cb-46ec-9d96-8bcce9671b86" xsi:nil="true"/>
    <DPM_x0020_Author xmlns="85ec4a98-16cb-46ec-9d96-8bcce9671b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F065A-03ED-42E2-95D2-68D662044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53A12-8ACA-48EA-9838-3F3F34BC571F}">
  <ds:schemaRefs>
    <ds:schemaRef ds:uri="http://schemas.openxmlformats.org/officeDocument/2006/bibliography"/>
  </ds:schemaRefs>
</ds:datastoreItem>
</file>

<file path=customXml/itemProps3.xml><?xml version="1.0" encoding="utf-8"?>
<ds:datastoreItem xmlns:ds="http://schemas.openxmlformats.org/officeDocument/2006/customXml" ds:itemID="{D3C7FB28-767D-4A6B-914E-CCDE79DA8AB1}">
  <ds:schemaRefs>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85ec4a98-16cb-46ec-9d96-8bcce9671b86"/>
    <ds:schemaRef ds:uri="http://schemas.openxmlformats.org/package/2006/metadata/core-properties"/>
    <ds:schemaRef ds:uri="678c9661-739a-4074-998c-bf36002d0101"/>
    <ds:schemaRef ds:uri="http://purl.org/dc/elements/1.1/"/>
  </ds:schemaRefs>
</ds:datastoreItem>
</file>

<file path=customXml/itemProps4.xml><?xml version="1.0" encoding="utf-8"?>
<ds:datastoreItem xmlns:ds="http://schemas.openxmlformats.org/officeDocument/2006/customXml" ds:itemID="{5E00CE6B-CA1B-4DAC-BDDC-081270121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PE_WRC23.dotx</Template>
  <TotalTime>51</TotalTime>
  <Pages>6</Pages>
  <Words>1733</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WRC-23</vt:lpstr>
    </vt:vector>
  </TitlesOfParts>
  <Manager>General Secretariat - Pool</Manager>
  <Company>International Telecommunication Union (ITU)</Company>
  <LinksUpToDate>false</LinksUpToDate>
  <CharactersWithSpaces>10902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WRC-23</dc:title>
  <dc:subject>World Radiocommunication Conference - 2023</dc:subject>
  <dc:creator>MJD (ITU-R)</dc:creator>
  <cp:keywords>WRC-23</cp:keywords>
  <cp:lastModifiedBy>TPU E kt</cp:lastModifiedBy>
  <cp:revision>13</cp:revision>
  <cp:lastPrinted>2023-11-24T11:00:00Z</cp:lastPrinted>
  <dcterms:created xsi:type="dcterms:W3CDTF">2023-11-28T11:21:00Z</dcterms:created>
  <dcterms:modified xsi:type="dcterms:W3CDTF">2023-11-28T12:30:00Z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GrammarlyDocumentId">
    <vt:lpwstr>a3bff79af3c76e4ba40178814f485c2ebe9de3d28b4949cf92df1c61a89746a9</vt:lpwstr>
  </property>
</Properties>
</file>